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9617-2_4seq1.xml.htm"/>
      <w:bookmarkStart w:id="1" w:name="kstm2619617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Crane Heidi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 RYAN AVENUE, SUITE 125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95973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Lulu's Fashion Lounge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LVLU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8.25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27,544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Lulu's Fashion Lounge Holdings, Inc. to cover tax withholding obligations upon the vesting of a restricted stock unit award on June 30,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Alexa Miller, as Attorney-in-Fact for Heidi Crane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2553" TargetMode="External"/><Relationship Id="rId5" Type="http://schemas.openxmlformats.org/officeDocument/2006/relationships/hyperlink" Target="http://www.sec.gov/cgi-bin/browse-edgar?action=getcompany&amp;CIK=00017802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3224</Characters>
  <CharactersWithSpaces>3760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