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alibri" w:cs="Calibri" w:eastAsia="Calibri" w:hAnsi="Calibri"/>
          <w:sz w:val="11"/>
          <w:szCs w:val="11"/>
          <w:color w:val="003366"/>
        </w:rPr>
        <w:t>TABLE OF CONTENTS</w:t>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July 2, 2026</w:t>
      </w:r>
    </w:p>
    <w:p>
      <w:pPr>
        <w:spacing w:after="0" w:line="28"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13"/>
          <w:szCs w:val="13"/>
          <w:b w:val="1"/>
          <w:bCs w:val="1"/>
          <w:color w:val="auto"/>
        </w:rPr>
        <w:t>Registration No. 333-            ​</w:t>
      </w:r>
    </w:p>
    <w:p>
      <w:pPr>
        <w:spacing w:after="0" w:line="2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461010</wp:posOffset>
            </wp:positionH>
            <wp:positionV relativeFrom="paragraph">
              <wp:posOffset>-4445</wp:posOffset>
            </wp:positionV>
            <wp:extent cx="479742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97425" cy="1333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28575</wp:posOffset>
            </wp:positionV>
            <wp:extent cx="47974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97425" cy="6350"/>
                    </a:xfrm>
                    <a:prstGeom prst="rect">
                      <a:avLst/>
                    </a:prstGeom>
                    <a:noFill/>
                  </pic:spPr>
                </pic:pic>
              </a:graphicData>
            </a:graphic>
          </wp:anchor>
        </w:drawing>
      </w: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jc w:val="center"/>
        <w:ind w:right="39"/>
        <w:spacing w:after="0" w:line="218" w:lineRule="auto"/>
        <w:rPr>
          <w:sz w:val="20"/>
          <w:szCs w:val="20"/>
          <w:color w:val="auto"/>
        </w:rPr>
      </w:pPr>
      <w:r>
        <w:rPr>
          <w:rFonts w:ascii="Times New Roman" w:cs="Times New Roman" w:eastAsia="Times New Roman" w:hAnsi="Times New Roman"/>
          <w:sz w:val="13"/>
          <w:szCs w:val="13"/>
          <w:b w:val="1"/>
          <w:bCs w:val="1"/>
          <w:color w:val="auto"/>
        </w:rPr>
        <w:t>UNDER</w:t>
      </w:r>
    </w:p>
    <w:p>
      <w:pPr>
        <w:jc w:val="center"/>
        <w:spacing w:after="0"/>
        <w:rPr>
          <w:sz w:val="20"/>
          <w:szCs w:val="20"/>
          <w:color w:val="auto"/>
        </w:rPr>
      </w:pPr>
      <w:r>
        <w:rPr>
          <w:rFonts w:ascii="Times New Roman" w:cs="Times New Roman" w:eastAsia="Times New Roman" w:hAnsi="Times New Roman"/>
          <w:sz w:val="13"/>
          <w:szCs w:val="13"/>
          <w:b w:val="1"/>
          <w:bCs w:val="1"/>
          <w:color w:val="auto"/>
        </w:rPr>
        <w:t>THE SECURITIES ACT OF 1933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LULU’S FASHION LOUNGE HOLDINGS,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0"/>
          <w:szCs w:val="10"/>
          <w:color w:val="auto"/>
        </w:rPr>
        <w:t>(State or other jurisdiction of</w:t>
      </w:r>
    </w:p>
    <w:p>
      <w:pPr>
        <w:ind w:left="3880"/>
        <w:spacing w:after="0"/>
        <w:rPr>
          <w:sz w:val="20"/>
          <w:szCs w:val="20"/>
          <w:color w:val="auto"/>
        </w:rPr>
      </w:pPr>
      <w:r>
        <w:rPr>
          <w:rFonts w:ascii="Times New Roman" w:cs="Times New Roman" w:eastAsia="Times New Roman" w:hAnsi="Times New Roman"/>
          <w:sz w:val="10"/>
          <w:szCs w:val="10"/>
          <w:color w:val="auto"/>
        </w:rPr>
        <w:t>incorporation or organization)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20-8442468</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(IRS Employer Identification No.)</w:t>
      </w:r>
    </w:p>
    <w:p>
      <w:pPr>
        <w:spacing w:after="0" w:line="4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3"/>
          <w:szCs w:val="13"/>
          <w:b w:val="1"/>
          <w:bCs w:val="1"/>
          <w:color w:val="auto"/>
        </w:rPr>
        <w:t>495 Ryan Avenue, Suite 125</w:t>
      </w:r>
    </w:p>
    <w:p>
      <w:pPr>
        <w:ind w:left="3880"/>
        <w:spacing w:after="0" w:line="222" w:lineRule="auto"/>
        <w:rPr>
          <w:sz w:val="20"/>
          <w:szCs w:val="20"/>
          <w:color w:val="auto"/>
        </w:rPr>
      </w:pPr>
      <w:r>
        <w:rPr>
          <w:rFonts w:ascii="Times New Roman" w:cs="Times New Roman" w:eastAsia="Times New Roman" w:hAnsi="Times New Roman"/>
          <w:sz w:val="13"/>
          <w:szCs w:val="13"/>
          <w:b w:val="1"/>
          <w:bCs w:val="1"/>
          <w:color w:val="auto"/>
        </w:rPr>
        <w:t>Chico, California 95973</w:t>
      </w:r>
    </w:p>
    <w:p>
      <w:pPr>
        <w:ind w:left="4120"/>
        <w:spacing w:after="0"/>
        <w:rPr>
          <w:sz w:val="20"/>
          <w:szCs w:val="20"/>
          <w:color w:val="auto"/>
        </w:rPr>
      </w:pPr>
      <w:r>
        <w:rPr>
          <w:rFonts w:ascii="Times New Roman" w:cs="Times New Roman" w:eastAsia="Times New Roman" w:hAnsi="Times New Roman"/>
          <w:sz w:val="13"/>
          <w:szCs w:val="13"/>
          <w:b w:val="1"/>
          <w:bCs w:val="1"/>
          <w:color w:val="auto"/>
        </w:rPr>
        <w:t>(530) 343-3545</w:t>
      </w:r>
    </w:p>
    <w:p>
      <w:pPr>
        <w:jc w:val="center"/>
        <w:spacing w:after="0"/>
        <w:rPr>
          <w:sz w:val="20"/>
          <w:szCs w:val="20"/>
          <w:color w:val="auto"/>
        </w:rPr>
      </w:pPr>
      <w:r>
        <w:rPr>
          <w:rFonts w:ascii="Times New Roman" w:cs="Times New Roman" w:eastAsia="Times New Roman" w:hAnsi="Times New Roman"/>
          <w:sz w:val="10"/>
          <w:szCs w:val="10"/>
          <w:color w:val="auto"/>
        </w:rPr>
        <w:t>(Address, including zip code, and telephone number, including area code, of registrant’s principal executive offices</w:t>
      </w:r>
      <w:r>
        <w:rPr>
          <w:rFonts w:ascii="Times New Roman" w:cs="Times New Roman" w:eastAsia="Times New Roman" w:hAnsi="Times New Roman"/>
          <w:sz w:val="10"/>
          <w:szCs w:val="10"/>
          <w:b w:val="1"/>
          <w:bCs w:val="1"/>
          <w:color w:val="auto"/>
        </w:rPr>
        <w: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Crystal Landsem</w:t>
      </w:r>
    </w:p>
    <w:p>
      <w:pPr>
        <w:jc w:val="center"/>
        <w:ind w:right="39"/>
        <w:spacing w:after="0" w:line="218" w:lineRule="auto"/>
        <w:rPr>
          <w:sz w:val="20"/>
          <w:szCs w:val="20"/>
          <w:color w:val="auto"/>
        </w:rPr>
      </w:pPr>
      <w:r>
        <w:rPr>
          <w:rFonts w:ascii="Times New Roman" w:cs="Times New Roman" w:eastAsia="Times New Roman" w:hAnsi="Times New Roman"/>
          <w:sz w:val="13"/>
          <w:szCs w:val="13"/>
          <w:b w:val="1"/>
          <w:bCs w:val="1"/>
          <w:color w:val="auto"/>
        </w:rPr>
        <w:t>Chief Executive Officer</w:t>
      </w:r>
    </w:p>
    <w:p>
      <w:pPr>
        <w:jc w:val="center"/>
        <w:ind w:right="19"/>
        <w:spacing w:after="0" w:line="202" w:lineRule="auto"/>
        <w:rPr>
          <w:sz w:val="20"/>
          <w:szCs w:val="20"/>
          <w:color w:val="auto"/>
        </w:rPr>
      </w:pPr>
      <w:r>
        <w:rPr>
          <w:rFonts w:ascii="Times New Roman" w:cs="Times New Roman" w:eastAsia="Times New Roman" w:hAnsi="Times New Roman"/>
          <w:sz w:val="13"/>
          <w:szCs w:val="13"/>
          <w:b w:val="1"/>
          <w:bCs w:val="1"/>
          <w:color w:val="auto"/>
        </w:rPr>
        <w:t>495 Ryan Avenue, Suite 125</w:t>
      </w:r>
    </w:p>
    <w:p>
      <w:pPr>
        <w:jc w:val="center"/>
        <w:ind w:right="19"/>
        <w:spacing w:after="0" w:line="218" w:lineRule="auto"/>
        <w:rPr>
          <w:sz w:val="20"/>
          <w:szCs w:val="20"/>
          <w:color w:val="auto"/>
        </w:rPr>
      </w:pPr>
      <w:r>
        <w:rPr>
          <w:rFonts w:ascii="Times New Roman" w:cs="Times New Roman" w:eastAsia="Times New Roman" w:hAnsi="Times New Roman"/>
          <w:sz w:val="13"/>
          <w:szCs w:val="13"/>
          <w:b w:val="1"/>
          <w:bCs w:val="1"/>
          <w:color w:val="auto"/>
        </w:rPr>
        <w:t>Chico, California 95973</w:t>
      </w:r>
    </w:p>
    <w:p>
      <w:pPr>
        <w:jc w:val="center"/>
        <w:spacing w:after="0"/>
        <w:rPr>
          <w:sz w:val="20"/>
          <w:szCs w:val="20"/>
          <w:color w:val="auto"/>
        </w:rPr>
      </w:pPr>
      <w:r>
        <w:rPr>
          <w:rFonts w:ascii="Times New Roman" w:cs="Times New Roman" w:eastAsia="Times New Roman" w:hAnsi="Times New Roman"/>
          <w:sz w:val="13"/>
          <w:szCs w:val="13"/>
          <w:b w:val="1"/>
          <w:bCs w:val="1"/>
          <w:color w:val="auto"/>
        </w:rPr>
        <w:t>Telephone: (530) 343-3545</w:t>
      </w:r>
    </w:p>
    <w:p>
      <w:pPr>
        <w:jc w:val="center"/>
        <w:spacing w:after="0"/>
        <w:rPr>
          <w:sz w:val="20"/>
          <w:szCs w:val="20"/>
          <w:color w:val="auto"/>
        </w:rPr>
      </w:pPr>
      <w:r>
        <w:rPr>
          <w:rFonts w:ascii="Times New Roman" w:cs="Times New Roman" w:eastAsia="Times New Roman" w:hAnsi="Times New Roman"/>
          <w:sz w:val="10"/>
          <w:szCs w:val="10"/>
          <w:color w:val="auto"/>
        </w:rPr>
        <w:t>(Name, address, including zip code, and telephone number, including area code, of agent for service)</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Copies of all correspondence to:</w:t>
      </w:r>
    </w:p>
    <w:p>
      <w:pPr>
        <w:spacing w:after="0" w:line="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3"/>
          <w:szCs w:val="13"/>
          <w:b w:val="1"/>
          <w:bCs w:val="1"/>
          <w:color w:val="auto"/>
        </w:rPr>
        <w:t>Christina C. Russo, Esq.</w:t>
      </w:r>
    </w:p>
    <w:p>
      <w:pPr>
        <w:ind w:left="3900"/>
        <w:spacing w:after="0" w:line="218" w:lineRule="auto"/>
        <w:rPr>
          <w:sz w:val="20"/>
          <w:szCs w:val="20"/>
          <w:color w:val="auto"/>
        </w:rPr>
      </w:pPr>
      <w:r>
        <w:rPr>
          <w:rFonts w:ascii="Times New Roman" w:cs="Times New Roman" w:eastAsia="Times New Roman" w:hAnsi="Times New Roman"/>
          <w:sz w:val="13"/>
          <w:szCs w:val="13"/>
          <w:b w:val="1"/>
          <w:bCs w:val="1"/>
          <w:color w:val="auto"/>
        </w:rPr>
        <w:t>Esther L. Moreno, Esq.</w:t>
      </w:r>
    </w:p>
    <w:p>
      <w:pPr>
        <w:ind w:left="4120"/>
        <w:spacing w:after="0" w:line="218" w:lineRule="auto"/>
        <w:rPr>
          <w:sz w:val="20"/>
          <w:szCs w:val="20"/>
          <w:color w:val="auto"/>
        </w:rPr>
      </w:pPr>
      <w:r>
        <w:rPr>
          <w:rFonts w:ascii="Times New Roman" w:cs="Times New Roman" w:eastAsia="Times New Roman" w:hAnsi="Times New Roman"/>
          <w:sz w:val="13"/>
          <w:szCs w:val="13"/>
          <w:b w:val="1"/>
          <w:bCs w:val="1"/>
          <w:color w:val="auto"/>
        </w:rPr>
        <w:t>Akerman LLP</w:t>
      </w:r>
    </w:p>
    <w:p>
      <w:pPr>
        <w:ind w:left="3800"/>
        <w:spacing w:after="0" w:line="202" w:lineRule="auto"/>
        <w:rPr>
          <w:sz w:val="20"/>
          <w:szCs w:val="20"/>
          <w:color w:val="auto"/>
        </w:rPr>
      </w:pPr>
      <w:r>
        <w:rPr>
          <w:rFonts w:ascii="Times New Roman" w:cs="Times New Roman" w:eastAsia="Times New Roman" w:hAnsi="Times New Roman"/>
          <w:sz w:val="13"/>
          <w:szCs w:val="13"/>
          <w:b w:val="1"/>
          <w:bCs w:val="1"/>
          <w:color w:val="auto"/>
        </w:rPr>
        <w:t>Three Brickell City Centre</w:t>
      </w:r>
    </w:p>
    <w:p>
      <w:pPr>
        <w:ind w:left="3480"/>
        <w:spacing w:after="0" w:line="218" w:lineRule="auto"/>
        <w:rPr>
          <w:sz w:val="20"/>
          <w:szCs w:val="20"/>
          <w:color w:val="auto"/>
        </w:rPr>
      </w:pPr>
      <w:r>
        <w:rPr>
          <w:rFonts w:ascii="Times New Roman" w:cs="Times New Roman" w:eastAsia="Times New Roman" w:hAnsi="Times New Roman"/>
          <w:sz w:val="13"/>
          <w:szCs w:val="13"/>
          <w:b w:val="1"/>
          <w:bCs w:val="1"/>
          <w:color w:val="auto"/>
        </w:rPr>
        <w:t>98 Southeast Seventh Street, Suite 1100</w:t>
      </w:r>
    </w:p>
    <w:p>
      <w:pPr>
        <w:ind w:left="3940"/>
        <w:spacing w:after="0" w:line="219" w:lineRule="auto"/>
        <w:rPr>
          <w:sz w:val="20"/>
          <w:szCs w:val="20"/>
          <w:color w:val="auto"/>
        </w:rPr>
      </w:pPr>
      <w:r>
        <w:rPr>
          <w:rFonts w:ascii="Times New Roman" w:cs="Times New Roman" w:eastAsia="Times New Roman" w:hAnsi="Times New Roman"/>
          <w:sz w:val="13"/>
          <w:szCs w:val="13"/>
          <w:b w:val="1"/>
          <w:bCs w:val="1"/>
          <w:color w:val="auto"/>
        </w:rPr>
        <w:t>Miami, Florida 33131</w:t>
      </w:r>
    </w:p>
    <w:p>
      <w:pPr>
        <w:ind w:left="4120"/>
        <w:spacing w:after="0"/>
        <w:rPr>
          <w:sz w:val="20"/>
          <w:szCs w:val="20"/>
          <w:color w:val="auto"/>
        </w:rPr>
      </w:pPr>
      <w:r>
        <w:rPr>
          <w:rFonts w:ascii="Times New Roman" w:cs="Times New Roman" w:eastAsia="Times New Roman" w:hAnsi="Times New Roman"/>
          <w:sz w:val="13"/>
          <w:szCs w:val="13"/>
          <w:b w:val="1"/>
          <w:bCs w:val="1"/>
          <w:color w:val="auto"/>
        </w:rPr>
        <w:t>(305) 374-5600</w:t>
      </w:r>
    </w:p>
    <w:p>
      <w:pPr>
        <w:spacing w:after="0" w:line="23" w:lineRule="exact"/>
        <w:rPr>
          <w:sz w:val="24"/>
          <w:szCs w:val="24"/>
          <w:color w:val="auto"/>
        </w:rPr>
      </w:pPr>
    </w:p>
    <w:p>
      <w:pPr>
        <w:ind w:left="720" w:right="1279" w:firstLine="279"/>
        <w:spacing w:after="0" w:line="244" w:lineRule="auto"/>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Statement.</w:t>
      </w:r>
    </w:p>
    <w:p>
      <w:pPr>
        <w:spacing w:after="0" w:line="33" w:lineRule="exact"/>
        <w:rPr>
          <w:sz w:val="24"/>
          <w:szCs w:val="24"/>
          <w:color w:val="auto"/>
        </w:rPr>
      </w:pPr>
    </w:p>
    <w:p>
      <w:pPr>
        <w:ind w:left="720" w:right="779" w:firstLine="279"/>
        <w:spacing w:after="0" w:line="155"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5" w:lineRule="exact"/>
        <w:rPr>
          <w:sz w:val="24"/>
          <w:szCs w:val="24"/>
          <w:color w:val="auto"/>
        </w:rPr>
      </w:pPr>
    </w:p>
    <w:p>
      <w:pPr>
        <w:ind w:left="720" w:right="939" w:firstLine="279"/>
        <w:spacing w:after="0" w:line="152"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4" w:lineRule="exact"/>
        <w:rPr>
          <w:sz w:val="24"/>
          <w:szCs w:val="24"/>
          <w:color w:val="auto"/>
        </w:rPr>
      </w:pPr>
    </w:p>
    <w:p>
      <w:pPr>
        <w:ind w:left="720" w:right="859" w:firstLine="279"/>
        <w:spacing w:after="0" w:line="155"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 w:lineRule="exact"/>
        <w:rPr>
          <w:sz w:val="24"/>
          <w:szCs w:val="24"/>
          <w:color w:val="auto"/>
        </w:rPr>
      </w:pPr>
    </w:p>
    <w:p>
      <w:pPr>
        <w:ind w:left="720" w:right="959" w:firstLine="279"/>
        <w:spacing w:after="0" w:line="160"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 w:lineRule="exact"/>
        <w:rPr>
          <w:sz w:val="24"/>
          <w:szCs w:val="24"/>
          <w:color w:val="auto"/>
        </w:rPr>
      </w:pPr>
    </w:p>
    <w:p>
      <w:pPr>
        <w:ind w:left="720" w:right="1079" w:firstLine="279"/>
        <w:spacing w:after="0" w:line="160"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5" w:lineRule="exact"/>
        <w:rPr>
          <w:sz w:val="24"/>
          <w:szCs w:val="24"/>
          <w:color w:val="auto"/>
        </w:rPr>
      </w:pPr>
    </w:p>
    <w:p>
      <w:pPr>
        <w:ind w:left="720" w:right="779" w:firstLine="279"/>
        <w:spacing w:after="0" w:line="155"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5" w:lineRule="exact"/>
        <w:rPr>
          <w:sz w:val="24"/>
          <w:szCs w:val="24"/>
          <w:color w:val="auto"/>
        </w:rPr>
      </w:pPr>
    </w:p>
    <w:p>
      <w:pPr>
        <w:ind w:left="720" w:right="739" w:firstLine="279"/>
        <w:spacing w:after="0" w:line="23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88" w:right="1440" w:bottom="1440" w:gutter="0" w:footer="0" w:header="0"/>
        </w:sectPr>
      </w:pPr>
    </w:p>
    <w:p>
      <w:pPr>
        <w:spacing w:after="0" w:line="1" w:lineRule="exact"/>
        <w:rPr>
          <w:sz w:val="24"/>
          <w:szCs w:val="24"/>
          <w:color w:val="auto"/>
        </w:rPr>
      </w:pPr>
    </w:p>
    <w:tbl>
      <w:tblPr>
        <w:tblLayout w:type="fixed"/>
        <w:tblInd w:w="1000" w:type="dxa"/>
        <w:tblCellMar>
          <w:top w:w="0" w:type="dxa"/>
          <w:left w:w="0" w:type="dxa"/>
          <w:bottom w:w="0" w:type="dxa"/>
          <w:right w:w="0" w:type="dxa"/>
        </w:tblCellMar>
      </w:tblPr>
      <w:tr>
        <w:trPr>
          <w:trHeight w:val="149"/>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104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vMerge w:val="restart"/>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0"/>
        </w:trPr>
        <w:tc>
          <w:tcPr>
            <w:tcW w:w="1260" w:type="dxa"/>
            <w:vAlign w:val="bottom"/>
          </w:tcPr>
          <w:p>
            <w:pPr>
              <w:spacing w:after="0" w:line="11" w:lineRule="exact"/>
              <w:rPr>
                <w:sz w:val="20"/>
                <w:szCs w:val="20"/>
                <w:color w:val="auto"/>
              </w:rPr>
            </w:pPr>
            <w:r>
              <w:rPr>
                <w:rFonts w:ascii="Times New Roman" w:cs="Times New Roman" w:eastAsia="Times New Roman" w:hAnsi="Times New Roman"/>
                <w:sz w:val="1"/>
                <w:szCs w:val="1"/>
                <w:color w:val="auto"/>
              </w:rPr>
              <w:t>Large accelerated filer</w:t>
            </w:r>
          </w:p>
        </w:tc>
        <w:tc>
          <w:tcPr>
            <w:tcW w:w="1180" w:type="dxa"/>
            <w:vAlign w:val="bottom"/>
            <w:vMerge w:val="continue"/>
          </w:tcPr>
          <w:p>
            <w:pPr>
              <w:spacing w:after="0" w:line="20" w:lineRule="exact"/>
              <w:rPr>
                <w:sz w:val="1"/>
                <w:szCs w:val="1"/>
                <w:color w:val="auto"/>
              </w:rPr>
            </w:pPr>
          </w:p>
        </w:tc>
        <w:tc>
          <w:tcPr>
            <w:tcW w:w="1040" w:type="dxa"/>
            <w:vAlign w:val="bottom"/>
            <w:vMerge w:val="restart"/>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vMerge w:val="restart"/>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10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vMerge w:val="restart"/>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52"/>
        </w:trPr>
        <w:tc>
          <w:tcPr>
            <w:tcW w:w="1260" w:type="dxa"/>
            <w:vAlign w:val="bottom"/>
          </w:tcPr>
          <w:p>
            <w:pPr>
              <w:spacing w:after="0" w:line="52" w:lineRule="exact"/>
              <w:rPr>
                <w:sz w:val="20"/>
                <w:szCs w:val="20"/>
                <w:color w:val="auto"/>
              </w:rPr>
            </w:pPr>
            <w:r>
              <w:rPr>
                <w:rFonts w:ascii="Times New Roman" w:cs="Times New Roman" w:eastAsia="Times New Roman" w:hAnsi="Times New Roman"/>
                <w:sz w:val="6"/>
                <w:szCs w:val="6"/>
                <w:color w:val="auto"/>
              </w:rPr>
              <w:t>Non-accelerated filer</w:t>
            </w:r>
          </w:p>
        </w:tc>
        <w:tc>
          <w:tcPr>
            <w:tcW w:w="11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spacing w:after="0"/>
              <w:rPr>
                <w:sz w:val="24"/>
                <w:szCs w:val="24"/>
                <w:color w:val="auto"/>
              </w:rPr>
            </w:pPr>
          </w:p>
        </w:tc>
        <w:tc>
          <w:tcPr>
            <w:tcW w:w="2700" w:type="dxa"/>
            <w:vAlign w:val="bottom"/>
            <w:gridSpan w:val="3"/>
          </w:tcPr>
          <w:p>
            <w:pPr>
              <w:ind w:left="980"/>
              <w:spacing w:after="0"/>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ind w:left="720" w:right="40" w:firstLine="279"/>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pacing w:after="0" w:line="617" w:lineRule="exact"/>
        <w:rPr>
          <w:sz w:val="24"/>
          <w:szCs w:val="24"/>
          <w:color w:val="auto"/>
        </w:rPr>
      </w:pPr>
    </w:p>
    <w:p>
      <w:pPr>
        <w:sectPr>
          <w:pgSz w:w="11900" w:h="16838" w:orient="portrait"/>
          <w:cols w:equalWidth="0" w:num="2">
            <w:col w:w="7820" w:space="180"/>
            <w:col w:w="1019"/>
          </w:cols>
          <w:pgMar w:left="1440" w:top="188" w:right="1440" w:bottom="1440" w:gutter="0" w:footer="0" w:header="0"/>
          <w:type w:val="continuous"/>
        </w:sectPr>
      </w:pPr>
    </w:p>
    <w:p>
      <w:pPr>
        <w:ind w:left="720" w:right="759"/>
        <w:spacing w:after="0" w:line="273" w:lineRule="auto"/>
        <w:rPr>
          <w:sz w:val="20"/>
          <w:szCs w:val="20"/>
          <w:color w:val="auto"/>
        </w:rPr>
      </w:pPr>
      <w:r>
        <w:rPr>
          <w:rFonts w:ascii="Times New Roman" w:cs="Times New Roman" w:eastAsia="Times New Roman" w:hAnsi="Times New Roman"/>
          <w:sz w:val="10"/>
          <w:szCs w:val="10"/>
          <w:b w:val="1"/>
          <w:bCs w:val="1"/>
          <w:color w:val="auto"/>
        </w:rPr>
        <w:t>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w:t>
      </w:r>
    </w:p>
    <w:p>
      <w:pPr>
        <w:ind w:left="720"/>
        <w:spacing w:after="0"/>
        <w:rPr>
          <w:sz w:val="20"/>
          <w:szCs w:val="20"/>
          <w:color w:val="auto"/>
        </w:rPr>
      </w:pPr>
      <w:r>
        <w:rPr>
          <w:rFonts w:ascii="Times New Roman" w:cs="Times New Roman" w:eastAsia="Times New Roman" w:hAnsi="Times New Roman"/>
          <w:sz w:val="13"/>
          <w:szCs w:val="13"/>
          <w:b w:val="1"/>
          <w:bCs w:val="1"/>
          <w:color w:val="auto"/>
        </w:rPr>
        <w:t>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461010</wp:posOffset>
            </wp:positionH>
            <wp:positionV relativeFrom="paragraph">
              <wp:posOffset>42545</wp:posOffset>
            </wp:positionV>
            <wp:extent cx="47974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97425" cy="6350"/>
                    </a:xfrm>
                    <a:prstGeom prst="rect">
                      <a:avLst/>
                    </a:prstGeom>
                    <a:noFill/>
                  </pic:spPr>
                </pic:pic>
              </a:graphicData>
            </a:graphic>
          </wp:anchor>
        </w:drawing>
      </w:r>
    </w:p>
    <w:p>
      <w:pPr>
        <w:spacing w:after="0" w:line="6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461010</wp:posOffset>
            </wp:positionH>
            <wp:positionV relativeFrom="paragraph">
              <wp:posOffset>-4445</wp:posOffset>
            </wp:positionV>
            <wp:extent cx="479742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97425" cy="1333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188595</wp:posOffset>
            </wp:positionV>
            <wp:extent cx="530161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type w:val="continuous"/>
        </w:sectPr>
      </w:pPr>
    </w:p>
    <w:bookmarkStart w:id="1" w:name="page2"/>
    <w:bookmarkEnd w:id="1"/>
    <w:p>
      <w:pPr>
        <w:ind w:left="360"/>
        <w:spacing w:after="0"/>
        <w:rPr>
          <w:sz w:val="20"/>
          <w:szCs w:val="20"/>
          <w:color w:val="auto"/>
        </w:rPr>
      </w:pPr>
      <w:r>
        <w:rPr>
          <w:rFonts w:ascii="Calibri" w:cs="Calibri" w:eastAsia="Calibri" w:hAnsi="Calibri"/>
          <w:sz w:val="10"/>
          <w:szCs w:val="10"/>
          <w:color w:val="003366"/>
        </w:rPr>
        <w:t>TABLE OF CONTENTS</w:t>
      </w:r>
    </w:p>
    <w:p>
      <w:pPr>
        <w:spacing w:after="0" w:line="368" w:lineRule="exact"/>
        <w:rPr>
          <w:sz w:val="20"/>
          <w:szCs w:val="20"/>
          <w:color w:val="auto"/>
        </w:rPr>
      </w:pPr>
    </w:p>
    <w:tbl>
      <w:tblPr>
        <w:tblLayout w:type="fixed"/>
        <w:tblInd w:w="1040" w:type="dxa"/>
        <w:tblCellMar>
          <w:top w:w="0" w:type="dxa"/>
          <w:left w:w="0" w:type="dxa"/>
          <w:bottom w:w="0" w:type="dxa"/>
          <w:right w:w="0" w:type="dxa"/>
        </w:tblCellMar>
      </w:tblPr>
      <w:tr>
        <w:trPr>
          <w:trHeight w:val="120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Exchange Commission</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not permitted.</w:t>
            </w:r>
          </w:p>
        </w:tc>
      </w:tr>
      <w:tr>
        <w:trPr>
          <w:trHeight w:val="779"/>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Securities and</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offer or sale is</w:t>
            </w:r>
          </w:p>
        </w:tc>
      </w:tr>
      <w:tr>
        <w:trPr>
          <w:trHeight w:val="2356"/>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until the registration statement filed with the</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to buy these securities in any state where the</w:t>
            </w:r>
          </w:p>
        </w:tc>
      </w:tr>
      <w:tr>
        <w:trPr>
          <w:trHeight w:val="1258"/>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not sell these securities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is not soliciting an offer</w:t>
            </w:r>
          </w:p>
        </w:tc>
      </w:tr>
      <w:tr>
        <w:trPr>
          <w:trHeight w:val="2294"/>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not complete and may be changed. We may</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is not an offer to sell these securities and it</w:t>
            </w:r>
          </w:p>
        </w:tc>
      </w:tr>
      <w:tr>
        <w:trPr>
          <w:trHeight w:val="1953"/>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The information in this prospectus is</w:t>
            </w:r>
          </w:p>
        </w:tc>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is declared effective. This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FC0014"/>
        </w:rPr>
        <w:t>Subject to completion, dated July 2, 2026</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C0014"/>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74295</wp:posOffset>
            </wp:positionV>
            <wp:extent cx="824230" cy="318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4230" cy="31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$7,500,000</w:t>
      </w:r>
    </w:p>
    <w:p>
      <w:pPr>
        <w:spacing w:after="0" w:line="63"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20"/>
          <w:szCs w:val="20"/>
          <w:b w:val="1"/>
          <w:bCs w:val="1"/>
          <w:color w:val="auto"/>
        </w:rPr>
        <w:t>Common Stock</w:t>
      </w:r>
    </w:p>
    <w:p>
      <w:pPr>
        <w:jc w:val="center"/>
        <w:ind w:right="1119"/>
        <w:spacing w:after="0" w:line="234" w:lineRule="auto"/>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1119"/>
        <w:spacing w:after="0" w:line="230" w:lineRule="auto"/>
        <w:rPr>
          <w:sz w:val="20"/>
          <w:szCs w:val="20"/>
          <w:color w:val="auto"/>
        </w:rPr>
      </w:pPr>
      <w:r>
        <w:rPr>
          <w:rFonts w:ascii="Times New Roman" w:cs="Times New Roman" w:eastAsia="Times New Roman" w:hAnsi="Times New Roman"/>
          <w:sz w:val="20"/>
          <w:szCs w:val="20"/>
          <w:b w:val="1"/>
          <w:bCs w:val="1"/>
          <w:color w:val="auto"/>
        </w:rPr>
        <w:t>Warrants</w:t>
      </w:r>
    </w:p>
    <w:p>
      <w:pPr>
        <w:jc w:val="center"/>
        <w:ind w:right="107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34" w:lineRule="exact"/>
        <w:rPr>
          <w:sz w:val="20"/>
          <w:szCs w:val="20"/>
          <w:color w:val="auto"/>
        </w:rPr>
      </w:pPr>
    </w:p>
    <w:p>
      <w:pPr>
        <w:ind w:right="1199" w:firstLine="279"/>
        <w:spacing w:after="0" w:line="231" w:lineRule="auto"/>
        <w:rPr>
          <w:sz w:val="20"/>
          <w:szCs w:val="20"/>
          <w:color w:val="auto"/>
        </w:rPr>
      </w:pPr>
      <w:r>
        <w:rPr>
          <w:rFonts w:ascii="Times New Roman" w:cs="Times New Roman" w:eastAsia="Times New Roman" w:hAnsi="Times New Roman"/>
          <w:sz w:val="14"/>
          <w:szCs w:val="14"/>
          <w:color w:val="auto"/>
        </w:rPr>
        <w:t>This prospectus relates to the sale from time to time in one or more offerings of up to $7,500,000 of shares of our common stock, par value $0.001 (“Common Stock”); shares of our preferred stock, par value $0.001 (“Preferred Stock”), which we may issue in one or more series or classes; warrants to purchase our Common Stock or Preferred Stock; and units (collectively referred to as the “securities”).</w:t>
      </w:r>
    </w:p>
    <w:p>
      <w:pPr>
        <w:spacing w:after="0" w:line="39" w:lineRule="exact"/>
        <w:rPr>
          <w:sz w:val="20"/>
          <w:szCs w:val="20"/>
          <w:color w:val="auto"/>
        </w:rPr>
      </w:pPr>
    </w:p>
    <w:p>
      <w:pPr>
        <w:ind w:right="1119" w:firstLine="279"/>
        <w:spacing w:after="0" w:line="231" w:lineRule="auto"/>
        <w:rPr>
          <w:sz w:val="20"/>
          <w:szCs w:val="20"/>
          <w:color w:val="auto"/>
        </w:rPr>
      </w:pPr>
      <w:r>
        <w:rPr>
          <w:rFonts w:ascii="Times New Roman" w:cs="Times New Roman" w:eastAsia="Times New Roman" w:hAnsi="Times New Roman"/>
          <w:sz w:val="14"/>
          <w:szCs w:val="14"/>
          <w:color w:val="auto"/>
        </w:rPr>
        <w:t>We will provide the specific terms of any securities to be offered in one or more supplements to this prospectus. The prospectus supplements may also add, update or change information contained in this prospectus. This prospectus may not be used to offer and sell securities unless accompanied by a prospectus supplement.</w:t>
      </w:r>
    </w:p>
    <w:p>
      <w:pPr>
        <w:spacing w:after="0" w:line="39" w:lineRule="exact"/>
        <w:rPr>
          <w:sz w:val="20"/>
          <w:szCs w:val="20"/>
          <w:color w:val="auto"/>
        </w:rPr>
      </w:pPr>
    </w:p>
    <w:p>
      <w:pPr>
        <w:ind w:right="1119" w:firstLine="279"/>
        <w:spacing w:after="0" w:line="222" w:lineRule="auto"/>
        <w:rPr>
          <w:sz w:val="20"/>
          <w:szCs w:val="20"/>
          <w:color w:val="auto"/>
        </w:rPr>
      </w:pPr>
      <w:r>
        <w:rPr>
          <w:rFonts w:ascii="Times New Roman" w:cs="Times New Roman" w:eastAsia="Times New Roman" w:hAnsi="Times New Roman"/>
          <w:sz w:val="14"/>
          <w:szCs w:val="14"/>
          <w:color w:val="auto"/>
        </w:rPr>
        <w:t>When securities are offered under this prospectus, we will provide you with a prospectus supplement describing the specific securities being offered, the manner in which they are being offered, the offering price of the securities and the net proceeds from the sale of those securities. The securities may be offered separately or together in any combination or as a separate series. You should carefully read this prospectus and any accompanying prospectus supplement, together with any documents incorporated by reference herein and therein, before you invest in our securities. We may sell these securities to or through underwriters, to other purchasers, through dealers or agents or through any combination of these methods,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that we expect to receive from such sale will also be set forth in a prospectus supplement.</w:t>
      </w:r>
    </w:p>
    <w:p>
      <w:pPr>
        <w:spacing w:after="0" w:line="31" w:lineRule="exact"/>
        <w:rPr>
          <w:sz w:val="20"/>
          <w:szCs w:val="20"/>
          <w:color w:val="auto"/>
        </w:rPr>
      </w:pPr>
    </w:p>
    <w:p>
      <w:pPr>
        <w:ind w:right="1399" w:firstLine="279"/>
        <w:spacing w:after="0" w:line="250" w:lineRule="auto"/>
        <w:rPr>
          <w:sz w:val="20"/>
          <w:szCs w:val="20"/>
          <w:color w:val="auto"/>
        </w:rPr>
      </w:pPr>
      <w:r>
        <w:rPr>
          <w:rFonts w:ascii="Times New Roman" w:cs="Times New Roman" w:eastAsia="Times New Roman" w:hAnsi="Times New Roman"/>
          <w:sz w:val="14"/>
          <w:szCs w:val="14"/>
          <w:color w:val="auto"/>
        </w:rPr>
        <w:t>Our Common Stock is traded on the Nasdaq Capital Market under the symbol “LVLU.” On July 1, 2026, the last reported sale price of our Common Stock on the Nasdaq Capital Market was $8.50.</w:t>
      </w:r>
    </w:p>
    <w:p>
      <w:pPr>
        <w:spacing w:after="0" w:line="31" w:lineRule="exact"/>
        <w:rPr>
          <w:sz w:val="20"/>
          <w:szCs w:val="20"/>
          <w:color w:val="auto"/>
        </w:rPr>
      </w:pPr>
    </w:p>
    <w:p>
      <w:pPr>
        <w:ind w:right="1279" w:firstLine="279"/>
        <w:spacing w:after="0" w:line="231" w:lineRule="auto"/>
        <w:rPr>
          <w:sz w:val="20"/>
          <w:szCs w:val="20"/>
          <w:color w:val="auto"/>
        </w:rPr>
      </w:pPr>
      <w:r>
        <w:rPr>
          <w:rFonts w:ascii="Times New Roman" w:cs="Times New Roman" w:eastAsia="Times New Roman" w:hAnsi="Times New Roman"/>
          <w:sz w:val="14"/>
          <w:szCs w:val="14"/>
          <w:color w:val="auto"/>
        </w:rPr>
        <w:t>We are an “emerging growth company” under applicable Securities and Exchange Commission (the “SEC”) rules and, as such, have elected to comply with certain reduced public company disclosure requirements for this prospectus and future filings. See “</w:t>
      </w:r>
      <w:r>
        <w:rPr>
          <w:rFonts w:ascii="Times New Roman" w:cs="Times New Roman" w:eastAsia="Times New Roman" w:hAnsi="Times New Roman"/>
          <w:sz w:val="14"/>
          <w:szCs w:val="14"/>
          <w:i w:val="1"/>
          <w:iCs w:val="1"/>
          <w:color w:val="auto"/>
        </w:rPr>
        <w:t>Prospectus Summary — Implications of Being 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Emerging Growth Company and Smaller Reporting Company</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right="1099" w:firstLine="279"/>
        <w:spacing w:after="0" w:line="222" w:lineRule="auto"/>
        <w:rPr>
          <w:sz w:val="20"/>
          <w:szCs w:val="20"/>
          <w:color w:val="auto"/>
        </w:rPr>
      </w:pPr>
      <w:r>
        <w:rPr>
          <w:rFonts w:ascii="Times New Roman" w:cs="Times New Roman" w:eastAsia="Times New Roman" w:hAnsi="Times New Roman"/>
          <w:sz w:val="14"/>
          <w:szCs w:val="14"/>
          <w:color w:val="auto"/>
        </w:rPr>
        <w:t>We are eligible to use Form S-3 pursuant to General Instruction I.B.6 of Form S-3. As of July 1, 2026, the aggregate market value of our voting and non-voting Common Stock held by non-affiliates pursuant to General Instruction I.B.6. of Form S-3 was approximately $7.3 million, which was calculated based on 2,864,702 shares of our Common Stock outstanding of which 712,662 are held by non-affiliates and at a price of $10.30 per share, the closing price of our Common Stock on May 6, 2026, which was the highest closing sale price of our Common Stock on the Nasdaq Capital Market within 60 days of the filing date of this registration statement. Pursuant to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 -affiliates is less than $75.0 million. We have sold no securities pursuant to General Instruction I.B.6 of Form S-3 during the prior 12-month calendar period that ends on, and includes, the date of this prospectus. As a result, we are currently eligible to offer and sell up to an aggregate of approximately $2.4 million of our securities pursuant to General Instruction I.B.6 of Form S-3.</w:t>
      </w:r>
    </w:p>
    <w:p>
      <w:pPr>
        <w:spacing w:after="0" w:line="29" w:lineRule="exact"/>
        <w:rPr>
          <w:sz w:val="20"/>
          <w:szCs w:val="20"/>
          <w:color w:val="auto"/>
        </w:rPr>
      </w:pPr>
    </w:p>
    <w:p>
      <w:pPr>
        <w:ind w:right="1159" w:firstLine="279"/>
        <w:spacing w:after="0" w:line="237" w:lineRule="auto"/>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substantial risks. See “Risk Factors” beginning on page </w:t>
      </w:r>
      <w:r>
        <w:rPr>
          <w:rFonts w:ascii="Times New Roman" w:cs="Times New Roman" w:eastAsia="Times New Roman" w:hAnsi="Times New Roman"/>
          <w:sz w:val="14"/>
          <w:szCs w:val="14"/>
          <w:b w:val="1"/>
          <w:bCs w:val="1"/>
          <w:u w:val="single" w:color="auto"/>
          <w:color w:val="0000EE"/>
        </w:rPr>
        <w:t>3</w:t>
      </w:r>
      <w:r>
        <w:rPr>
          <w:rFonts w:ascii="Times New Roman" w:cs="Times New Roman" w:eastAsia="Times New Roman" w:hAnsi="Times New Roman"/>
          <w:sz w:val="14"/>
          <w:szCs w:val="14"/>
          <w:b w:val="1"/>
          <w:bCs w:val="1"/>
          <w:color w:val="auto"/>
        </w:rPr>
        <w:t xml:space="preserve"> of this prospectus and in the applicable prospectus supplement, and in any other document incorporated by reference herein or therein, for factors you should consider before buying any of our securities.</w:t>
      </w:r>
    </w:p>
    <w:p>
      <w:pPr>
        <w:spacing w:after="0" w:line="36" w:lineRule="exact"/>
        <w:rPr>
          <w:sz w:val="20"/>
          <w:szCs w:val="20"/>
          <w:color w:val="auto"/>
        </w:rPr>
      </w:pPr>
    </w:p>
    <w:p>
      <w:pPr>
        <w:ind w:right="1259" w:firstLine="279"/>
        <w:spacing w:after="0" w:line="291" w:lineRule="auto"/>
        <w:rPr>
          <w:sz w:val="20"/>
          <w:szCs w:val="20"/>
          <w:color w:val="auto"/>
        </w:rPr>
      </w:pPr>
      <w:r>
        <w:rPr>
          <w:rFonts w:ascii="Times New Roman" w:cs="Times New Roman" w:eastAsia="Times New Roman" w:hAnsi="Times New Roman"/>
          <w:sz w:val="13"/>
          <w:szCs w:val="13"/>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The date of this prospectus is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259715</wp:posOffset>
            </wp:positionV>
            <wp:extent cx="527621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6215" cy="38735"/>
                    </a:xfrm>
                    <a:prstGeom prst="rect">
                      <a:avLst/>
                    </a:prstGeom>
                    <a:noFill/>
                  </pic:spPr>
                </pic:pic>
              </a:graphicData>
            </a:graphic>
          </wp:anchor>
        </w:drawing>
      </w:r>
    </w:p>
    <w:p>
      <w:pPr>
        <w:sectPr>
          <w:pgSz w:w="11900" w:h="16838" w:orient="portrait"/>
          <w:cols w:equalWidth="0" w:num="2">
            <w:col w:w="1280" w:space="300"/>
            <w:col w:w="7439"/>
          </w:cols>
          <w:pgMar w:left="1440" w:top="108" w:right="1440" w:bottom="1440" w:gutter="0" w:footer="0" w:header="0"/>
        </w:sectPr>
      </w:pPr>
    </w:p>
    <w:bookmarkStart w:id="2" w:name="page3"/>
    <w:bookmarkEnd w:id="2"/>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06" w:lineRule="exact"/>
        <w:rPr>
          <w:sz w:val="20"/>
          <w:szCs w:val="20"/>
          <w:color w:val="auto"/>
        </w:rPr>
      </w:pPr>
    </w:p>
    <w:p>
      <w:pPr>
        <w:jc w:val="both"/>
        <w:ind w:left="1320"/>
        <w:spacing w:after="0"/>
        <w:tabs>
          <w:tab w:leader="none" w:pos="724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 xml:space="preserve">​ ​ </w:t>
      </w:r>
      <w:r>
        <w:rPr>
          <w:rFonts w:ascii="Times New Roman" w:cs="Times New Roman" w:eastAsia="Times New Roman" w:hAnsi="Times New Roman"/>
          <w:sz w:val="22"/>
          <w:szCs w:val="22"/>
          <w:b w:val="1"/>
          <w:bCs w:val="1"/>
          <w:color w:val="auto"/>
          <w:vertAlign w:val="superscript"/>
        </w:rPr>
        <w:t>Page</w:t>
      </w:r>
      <w:r>
        <w:rPr>
          <w:rFonts w:ascii="Times New Roman" w:cs="Times New Roman" w:eastAsia="Times New Roman" w:hAnsi="Times New Roman"/>
          <w:sz w:val="11"/>
          <w:szCs w:val="11"/>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-26670</wp:posOffset>
            </wp:positionV>
            <wp:extent cx="4039870" cy="132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39870" cy="12636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PROSPECTUS SUMMARY</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38" w:lineRule="exact"/>
        <w:rPr>
          <w:sz w:val="20"/>
          <w:szCs w:val="20"/>
          <w:color w:val="auto"/>
        </w:rPr>
      </w:pPr>
    </w:p>
    <w:p>
      <w:pPr>
        <w:ind w:left="1460" w:hanging="138"/>
        <w:spacing w:after="0" w:line="281" w:lineRule="auto"/>
        <w:rPr>
          <w:sz w:val="20"/>
          <w:szCs w:val="20"/>
          <w:color w:val="auto"/>
        </w:rPr>
      </w:pPr>
      <w:r>
        <w:rPr>
          <w:rFonts w:ascii="Times New Roman" w:cs="Times New Roman" w:eastAsia="Times New Roman" w:hAnsi="Times New Roman"/>
          <w:sz w:val="14"/>
          <w:szCs w:val="14"/>
          <w:u w:val="single" w:color="auto"/>
          <w:color w:val="0000EE"/>
        </w:rPr>
        <w:t>DISCLOSURE OF COMMISSION POSITION ON INDEMNIFICATION FOR SECURITIES 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-10160</wp:posOffset>
            </wp:positionV>
            <wp:extent cx="4039870"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right="1660"/>
        <w:spacing w:after="0" w:line="343" w:lineRule="auto"/>
        <w:rPr>
          <w:sz w:val="20"/>
          <w:szCs w:val="20"/>
          <w:color w:val="auto"/>
        </w:rPr>
      </w:pPr>
      <w:r>
        <w:rPr>
          <w:rFonts w:ascii="Times New Roman" w:cs="Times New Roman" w:eastAsia="Times New Roman" w:hAnsi="Times New Roman"/>
          <w:sz w:val="14"/>
          <w:szCs w:val="14"/>
          <w:u w:val="single" w:color="auto"/>
          <w:color w:val="0000EE"/>
        </w:rPr>
        <w:t>WHERE YOU CAN FIND ADDITIONAL INFORMATION INCORPORATION OF CERTAIN INFORMATION BY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89" w:lineRule="exact"/>
        <w:rPr>
          <w:sz w:val="20"/>
          <w:szCs w:val="20"/>
          <w:color w:val="auto"/>
        </w:rPr>
      </w:pPr>
    </w:p>
    <w:p>
      <w:pPr>
        <w:sectPr>
          <w:pgSz w:w="11900" w:h="16838" w:orient="portrait"/>
          <w:cols w:equalWidth="0" w:num="2">
            <w:col w:w="7140" w:space="160"/>
            <w:col w:w="171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3" w:name="page4"/>
    <w:bookmarkEnd w:id="3"/>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4" w:lineRule="exact"/>
        <w:rPr>
          <w:sz w:val="20"/>
          <w:szCs w:val="20"/>
          <w:color w:val="auto"/>
        </w:rPr>
      </w:pPr>
    </w:p>
    <w:p>
      <w:pPr>
        <w:ind w:left="1320" w:right="1399" w:firstLine="279"/>
        <w:spacing w:after="0" w:line="252" w:lineRule="auto"/>
        <w:rPr>
          <w:sz w:val="20"/>
          <w:szCs w:val="20"/>
          <w:color w:val="auto"/>
        </w:rPr>
      </w:pPr>
      <w:r>
        <w:rPr>
          <w:rFonts w:ascii="Times New Roman" w:cs="Times New Roman" w:eastAsia="Times New Roman" w:hAnsi="Times New Roman"/>
          <w:sz w:val="14"/>
          <w:szCs w:val="14"/>
          <w:color w:val="auto"/>
        </w:rPr>
        <w:t xml:space="preserve">This prospectus is part of a “shelf” registration statement that we have filed with the SEC. By using a shelf registration statement, we may sell, at any time and from time to time in one or more offerings, any combination of the securities described in this prospectus, up to a total dollar amount of $7,500,000. This prospectus provides you with a general description of the securities that we may offer. Each time we sell securities, we will provide a prospectus supplement and attach it to this prospectus. The prospectus supplement will contain more specific information about the terms of that offering, including the specific amounts, prices and terms of the securities offered. The prospectus supplements may also add, update or change information contained or incorporated by reference in this prospectus. Any statement that we make in this prospectus will be modified or superseded by any inconsistent statement made by us in a prospectus supplement. If there is any inconsistency between the information in this prospectus and the information in the prospectus supplement, you should rely on the information in the prospectus supplement. </w:t>
      </w:r>
      <w:r>
        <w:rPr>
          <w:rFonts w:ascii="Times New Roman" w:cs="Times New Roman" w:eastAsia="Times New Roman" w:hAnsi="Times New Roman"/>
          <w:sz w:val="14"/>
          <w:szCs w:val="14"/>
          <w:b w:val="1"/>
          <w:bCs w:val="1"/>
          <w:color w:val="auto"/>
        </w:rPr>
        <w:t>This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prospectus may not be used to offer or consummate a sale of securities unless it is accompanied by a prospectus supplement</w:t>
      </w:r>
      <w:r>
        <w:rPr>
          <w:rFonts w:ascii="Times New Roman" w:cs="Times New Roman" w:eastAsia="Times New Roman" w:hAnsi="Times New Roman"/>
          <w:sz w:val="14"/>
          <w:szCs w:val="14"/>
          <w:color w:val="auto"/>
        </w:rPr>
        <w:t>.</w:t>
      </w:r>
    </w:p>
    <w:p>
      <w:pPr>
        <w:spacing w:after="0" w:line="263" w:lineRule="exact"/>
        <w:rPr>
          <w:sz w:val="20"/>
          <w:szCs w:val="20"/>
          <w:color w:val="auto"/>
        </w:rPr>
      </w:pPr>
    </w:p>
    <w:p>
      <w:pPr>
        <w:ind w:left="1320" w:right="1379" w:firstLine="279"/>
        <w:spacing w:after="0" w:line="256" w:lineRule="auto"/>
        <w:rPr>
          <w:sz w:val="20"/>
          <w:szCs w:val="20"/>
          <w:color w:val="auto"/>
        </w:rPr>
      </w:pPr>
      <w:r>
        <w:rPr>
          <w:rFonts w:ascii="Times New Roman" w:cs="Times New Roman" w:eastAsia="Times New Roman" w:hAnsi="Times New Roman"/>
          <w:sz w:val="14"/>
          <w:szCs w:val="14"/>
          <w:color w:val="auto"/>
        </w:rPr>
        <w:t>The exhibits to the registration statement of which this prospectus is a part contain the full text of certain contracts and other important documents we have summarized in this prospectus. Because these summaries may not contain all the information that you may find important in deciding whether to purchase the securities we may offer, you should review the full text of these documents. The registration statement and the exhibits can be obtained from the SEC as indicated under the heading “Where You Can Find Additional Information” below.</w:t>
      </w:r>
    </w:p>
    <w:p>
      <w:pPr>
        <w:spacing w:after="0" w:line="251"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or any applicable prospectus supplements filed with the SEC. We have not authorized anyone to provide you with different information and, if you are given any information or representation about these matters that is not contained or incorporated by reference in this prospectus or a prospectus supplement, you must not rely on that information. We are not making an offer to sell securities in any jurisdiction where the offer or sale of such securities is not permitted.</w:t>
      </w:r>
    </w:p>
    <w:p>
      <w:pPr>
        <w:spacing w:after="0" w:line="91"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b w:val="1"/>
          <w:bCs w:val="1"/>
          <w:color w:val="auto"/>
        </w:rPr>
        <w:t>Neither the delivery of this prospectus nor any applicable prospectus supplement nor any sale made using this prospectus or any applicable prospectus supplement implies that there has been no change in our affairs or that the information in this prospectus or in any applicable prospectus supplement is correct as of any date after their respective dates. You should not assume that the information in or incorporated by reference in this prospectus or any applicable prospectus supplement prepared by us is accurate as of any date other than the date(s) on the front covers of those documents. Our business, financial condition, results of operations and prospects may have changed since those dates.</w:t>
      </w:r>
    </w:p>
    <w:p>
      <w:pPr>
        <w:spacing w:after="0" w:line="92" w:lineRule="exact"/>
        <w:rPr>
          <w:sz w:val="20"/>
          <w:szCs w:val="20"/>
          <w:color w:val="auto"/>
        </w:rPr>
      </w:pPr>
    </w:p>
    <w:p>
      <w:pPr>
        <w:ind w:left="1320" w:right="1679" w:firstLine="279"/>
        <w:spacing w:after="0" w:line="260" w:lineRule="auto"/>
        <w:rPr>
          <w:sz w:val="20"/>
          <w:szCs w:val="20"/>
          <w:color w:val="auto"/>
        </w:rPr>
      </w:pPr>
      <w:r>
        <w:rPr>
          <w:rFonts w:ascii="Times New Roman" w:cs="Times New Roman" w:eastAsia="Times New Roman" w:hAnsi="Times New Roman"/>
          <w:sz w:val="14"/>
          <w:szCs w:val="14"/>
          <w:color w:val="auto"/>
        </w:rPr>
        <w:t>Unless the context otherwise requires, all references in this prospectus to “Lulus” “the Company,” “we,” “us,” and “our” refer to Lulu’s Fashion Lounge Holdings, Inc., a Delaware corporation. Unless otherwise stated or indicated by context, the phrase “this prospectus” refers to the prospectus and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 this prospectus contain “forward-looking statements” within the meaning of Section 27A of the Securities Act and Section 21E of the Securities Exchange Act of 1934, as amended (the “Exchange Act”). These statements, which in some cases, you can identify by terms such as “may,” “will,” “should,” “expects,” “plans,” “anticipates,” “could,” “intends,” “targets,” “projects,” “contemplates,” “believes,” “estimates,” “forecasts,” “predicts,” “potential” or “continue” or the negative of these terms and similar expressions intended to identify forward-looking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These statements include, but are not limited to statements regarding our future results of operations and financial position, industry and business trends, equity-based compensation expense, business strategy, plans, market growth and our objectives for future operations. These statements reflect our current views with respect to future events and are based on assumptions and subject to risks and uncertainties.</w:t>
      </w:r>
    </w:p>
    <w:p>
      <w:pPr>
        <w:spacing w:after="0" w:line="262"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Although we believe that these statements are based upon reasonable assumptions, these statements expressing opinions about future outcomes and non-historical information are subject to a number of risks and uncertainties, many of which are beyond our control, and reflect future business decisions that are subject to change and, therefore, there is no assurance that the outcomes expressed in these statements will be achieved. Some of the assumptions, future results and levels of performance expressed or implied in the forward-looking statements we have made or may make in the future inevitably will not materialize, and unanticipated events may occur which will affect our results. Investors are cautioned that forward-looking statements are not guarantees of future performance and actual results or developments may differ materially from the expectations expressed in forward-looking statements contained herein. Given these uncertainties, you should not place undue reliance on these forward-looking statements. We discuss many of these risks and uncertainties in greater detail under “Risk Factors” in this prospectus, “Risk Factors” discussed under the caption “Item 1A. Risk Factors” in Part I of our most recent Annual Report on Form 10-K or any updates discussed under the caption “Item 1A. Risk Factors” in Part II of our Quarterly Reports on Form 10-Q, together with all of the other information appearing in or incorporated by reference into this prospectus. You should read this prospectus completely and with the understanding that our actual future results may be materially different from what we expect. We qualify all of the forward-looking statements in this prospectus by these cautionary statements. We undertake no obligation to publicly update any forward-looking statement, whether as a result of new information, future events or otherwise, except as may be required under the securities laws of the United States. You are advised, however, to consult any additional disclosures we make in our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172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7863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24" w:lineRule="exact"/>
        <w:rPr>
          <w:sz w:val="20"/>
          <w:szCs w:val="20"/>
          <w:color w:val="auto"/>
        </w:rPr>
      </w:pPr>
    </w:p>
    <w:p>
      <w:pPr>
        <w:ind w:left="1340" w:right="1399" w:firstLine="279"/>
        <w:spacing w:after="0" w:line="245" w:lineRule="auto"/>
        <w:rPr>
          <w:sz w:val="20"/>
          <w:szCs w:val="20"/>
          <w:color w:val="auto"/>
        </w:rPr>
      </w:pPr>
      <w:r>
        <w:rPr>
          <w:rFonts w:ascii="Times New Roman" w:cs="Times New Roman" w:eastAsia="Times New Roman" w:hAnsi="Times New Roman"/>
          <w:sz w:val="14"/>
          <w:szCs w:val="14"/>
          <w:color w:val="auto"/>
        </w:rPr>
        <w:t>This summary highlights information contained elsewhere in this prospectus or the documents incorporated by reference herein. It is not complete and may not contain all of the information that you should consider before investing in these securities. You should carefully read the entire prospectus, including the “Risk Factors” section, the documents incorporated by reference into this prospectus, and any prospectus supplement.</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3" w:lineRule="exact"/>
        <w:rPr>
          <w:sz w:val="20"/>
          <w:szCs w:val="20"/>
          <w:color w:val="auto"/>
        </w:rPr>
      </w:pPr>
    </w:p>
    <w:p>
      <w:pPr>
        <w:ind w:left="1340" w:right="1479" w:firstLine="279"/>
        <w:spacing w:after="0" w:line="244" w:lineRule="auto"/>
        <w:rPr>
          <w:sz w:val="20"/>
          <w:szCs w:val="20"/>
          <w:color w:val="auto"/>
        </w:rPr>
      </w:pPr>
      <w:r>
        <w:rPr>
          <w:rFonts w:ascii="Times New Roman" w:cs="Times New Roman" w:eastAsia="Times New Roman" w:hAnsi="Times New Roman"/>
          <w:sz w:val="14"/>
          <w:szCs w:val="14"/>
          <w:color w:val="auto"/>
        </w:rPr>
        <w:t>Lulus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 -class personal stylists, bridal concierge, and customer care team provide thoughtful, personalized service to shoppers around the world.</w:t>
      </w:r>
    </w:p>
    <w:p>
      <w:pPr>
        <w:spacing w:after="0" w:line="89" w:lineRule="exact"/>
        <w:rPr>
          <w:sz w:val="20"/>
          <w:szCs w:val="20"/>
          <w:color w:val="auto"/>
        </w:rPr>
      </w:pPr>
    </w:p>
    <w:p>
      <w:pPr>
        <w:ind w:left="1340" w:right="1439" w:firstLine="279"/>
        <w:spacing w:after="0" w:line="244" w:lineRule="auto"/>
        <w:rPr>
          <w:sz w:val="20"/>
          <w:szCs w:val="20"/>
          <w:color w:val="auto"/>
        </w:rPr>
      </w:pPr>
      <w:r>
        <w:rPr>
          <w:rFonts w:ascii="Times New Roman" w:cs="Times New Roman" w:eastAsia="Times New Roman" w:hAnsi="Times New Roman"/>
          <w:sz w:val="14"/>
          <w:szCs w:val="14"/>
          <w:color w:val="auto"/>
        </w:rPr>
        <w:t>We are focused on building authentic personal relationships with our customers and offering them coveted products they cannot purchase elsewhere. We incorporate the pulse of the consumer by engaging with her through reviews, feedback and one-on-one interactions with our style advisors, fit experts and bridal concierge across the web, social media, and the Lulus’ mobile app. Customers express their love for our brand on social media and by word-of-mouth (both in-person and online). We strive to provide opportunities for the customer to have an in-person connection with our products and the brand, through wholesale accounts with department stores and other brick and mortar retailers and in-person events.</w:t>
      </w:r>
    </w:p>
    <w:p>
      <w:pPr>
        <w:spacing w:after="0" w:line="89" w:lineRule="exact"/>
        <w:rPr>
          <w:sz w:val="20"/>
          <w:szCs w:val="20"/>
          <w:color w:val="auto"/>
        </w:rPr>
      </w:pPr>
    </w:p>
    <w:p>
      <w:pPr>
        <w:ind w:left="1340" w:right="1339" w:firstLine="279"/>
        <w:spacing w:after="0" w:line="243" w:lineRule="auto"/>
        <w:rPr>
          <w:sz w:val="20"/>
          <w:szCs w:val="20"/>
          <w:color w:val="auto"/>
        </w:rPr>
      </w:pPr>
      <w:r>
        <w:rPr>
          <w:rFonts w:ascii="Times New Roman" w:cs="Times New Roman" w:eastAsia="Times New Roman" w:hAnsi="Times New Roman"/>
          <w:sz w:val="14"/>
          <w:szCs w:val="14"/>
          <w:color w:val="auto"/>
        </w:rPr>
        <w:t>A key differentiator of our business model from traditional fashion retail is our use of data to optimize almost all elements of our business. Nowhere is this more pronounced than in our product creation and curation cycle. Traditional merchandising approaches are risky and capital intensive, characterized by extended in-house design cycles, seasonal assortment decisions, deep buys, limited customer feedback, and high markdowns. Unlike traditional retailers, we leverage a “test, learn, and reorder” strategy to bringing new products to market almost every week; we test them in small batches, learn about customer demand and then quickly reorder winning products in higher volume to optimize profitability. This strategy allows us to rapidly convert new products into profitable sales on a consistent and repeatable basis while minimizing fashion and trend risk.</w:t>
      </w:r>
    </w:p>
    <w:p>
      <w:pPr>
        <w:spacing w:after="0" w:line="30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4" w:lineRule="exact"/>
        <w:rPr>
          <w:sz w:val="20"/>
          <w:szCs w:val="20"/>
          <w:color w:val="auto"/>
        </w:rPr>
      </w:pPr>
    </w:p>
    <w:p>
      <w:pPr>
        <w:ind w:left="1340" w:right="1399" w:firstLine="279"/>
        <w:spacing w:after="0" w:line="246" w:lineRule="auto"/>
        <w:rPr>
          <w:sz w:val="20"/>
          <w:szCs w:val="20"/>
          <w:color w:val="auto"/>
        </w:rPr>
      </w:pPr>
      <w:r>
        <w:rPr>
          <w:rFonts w:ascii="Times New Roman" w:cs="Times New Roman" w:eastAsia="Times New Roman" w:hAnsi="Times New Roman"/>
          <w:sz w:val="14"/>
          <w:szCs w:val="14"/>
          <w:color w:val="auto"/>
        </w:rPr>
        <w:t xml:space="preserve">Our corporate headquarters are located in a leased facility at 495 Ryan Avenue, Suite 125, Chico, California 95973. We also operate leased facilities in Los Angeles, California, which are primarily used for office, studio and in-person events, and operate two leased distribution facilities in Easton, Pennsylvania and Ontario, California. Our telephone number is (530) 343 -3545, and our Investor Relations website is </w:t>
      </w:r>
      <w:r>
        <w:rPr>
          <w:rFonts w:ascii="Times New Roman" w:cs="Times New Roman" w:eastAsia="Times New Roman" w:hAnsi="Times New Roman"/>
          <w:sz w:val="14"/>
          <w:szCs w:val="14"/>
          <w:i w:val="1"/>
          <w:iCs w:val="1"/>
          <w:color w:val="auto"/>
        </w:rPr>
        <w:t>www.investors.lulus.com</w:t>
      </w:r>
      <w:r>
        <w:rPr>
          <w:rFonts w:ascii="Times New Roman" w:cs="Times New Roman" w:eastAsia="Times New Roman" w:hAnsi="Times New Roman"/>
          <w:sz w:val="14"/>
          <w:szCs w:val="14"/>
          <w:color w:val="auto"/>
        </w:rPr>
        <w:t>. The information contained on, or that can be accessed through, our website is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incorporated by reference or deemed to be part of this prospectus.</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Smaller Reporting Company</w:t>
      </w:r>
    </w:p>
    <w:p>
      <w:pPr>
        <w:spacing w:after="0" w:line="124" w:lineRule="exact"/>
        <w:rPr>
          <w:sz w:val="20"/>
          <w:szCs w:val="20"/>
          <w:color w:val="auto"/>
        </w:rPr>
      </w:pPr>
    </w:p>
    <w:p>
      <w:pPr>
        <w:ind w:left="1340" w:right="1339" w:firstLine="279"/>
        <w:spacing w:after="0" w:line="241" w:lineRule="auto"/>
        <w:rPr>
          <w:sz w:val="20"/>
          <w:szCs w:val="20"/>
          <w:color w:val="auto"/>
        </w:rPr>
      </w:pPr>
      <w:r>
        <w:rPr>
          <w:rFonts w:ascii="Times New Roman" w:cs="Times New Roman" w:eastAsia="Times New Roman" w:hAnsi="Times New Roman"/>
          <w:sz w:val="14"/>
          <w:szCs w:val="14"/>
          <w:color w:val="auto"/>
        </w:rPr>
        <w:t>In April 2012, the Jumpstart Our Business Startups Act of 2012, or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Lulus will take advantage of these exemptions until such earlier time that it is no longer an emerging growth company. Lulus will cease to be an emerging growth company on the date that is the earliest of (i) the last</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36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172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863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day of the fiscal year following the fifth anniversary of the date of our first public offering of securities;</w:t>
      </w:r>
    </w:p>
    <w:p>
      <w:pPr>
        <w:spacing w:after="0" w:line="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(ii) the last day of the fiscal year in which our total annual gross revenue is equal to or more than</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$1.235 billion; (iii) the date on which we have issued more than $1.0 billion in nonconvertible debt during</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previous three years; or (iv) the date on which we are deemed to be a large accelerated filer under the</w:t>
      </w:r>
    </w:p>
    <w:p>
      <w:pPr>
        <w:spacing w:after="0" w:line="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rules of the SEC.</w:t>
      </w:r>
    </w:p>
    <w:p>
      <w:pPr>
        <w:spacing w:after="0" w:line="107" w:lineRule="exact"/>
        <w:rPr>
          <w:sz w:val="20"/>
          <w:szCs w:val="20"/>
          <w:color w:val="auto"/>
        </w:rPr>
      </w:pPr>
    </w:p>
    <w:p>
      <w:pPr>
        <w:ind w:left="1340" w:right="1359" w:firstLine="279"/>
        <w:spacing w:after="0" w:line="254" w:lineRule="auto"/>
        <w:rPr>
          <w:sz w:val="20"/>
          <w:szCs w:val="20"/>
          <w:color w:val="auto"/>
        </w:rPr>
      </w:pPr>
      <w:r>
        <w:rPr>
          <w:rFonts w:ascii="Times New Roman" w:cs="Times New Roman" w:eastAsia="Times New Roman" w:hAnsi="Times New Roman"/>
          <w:sz w:val="14"/>
          <w:szCs w:val="14"/>
          <w:color w:val="auto"/>
        </w:rPr>
        <w:t>We are also a “smaller reporting company” as defined in Rule 12b-2 under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4"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Investing in our securities involves significant risks. Before making an investment decision, you should consider carefully the risks, uncertainties and other factors described below and discussed in our most recent annual report on Form 10-K, as supplemented and updated by subsequent quarterly reports on Form 10-Q and current reports on Form 8-K that we have filed or will file with the SEC, and in documents which are incorporated by reference into this prospectus, as well as the risk factors and other information contained in or incorporated by reference into the applicable prospectus supplement.</w:t>
      </w:r>
    </w:p>
    <w:p>
      <w:pPr>
        <w:spacing w:after="0" w:line="93"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If any of these risks were to occur, our business, affairs, prospects, assets, financial condition, results of operations and cash flow could be materially and adversely affected. If this occurs, the market or trading price of our securities could decline, and you could lose all or part of your investment. In addition, please read “Cautionary Note Regarding Forward-Looking Statements” in this prospectus, where we describe additional uncertainties associated with our business and the forward-looking statements included or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320" w:right="1499" w:firstLine="279"/>
        <w:spacing w:after="0" w:line="260" w:lineRule="auto"/>
        <w:rPr>
          <w:sz w:val="20"/>
          <w:szCs w:val="20"/>
          <w:color w:val="auto"/>
        </w:rPr>
      </w:pPr>
      <w:r>
        <w:rPr>
          <w:rFonts w:ascii="Times New Roman" w:cs="Times New Roman" w:eastAsia="Times New Roman" w:hAnsi="Times New Roman"/>
          <w:sz w:val="14"/>
          <w:szCs w:val="14"/>
          <w:color w:val="auto"/>
        </w:rPr>
        <w:t>We will retain broad discretion over the use of the net proceeds from the sale of the securities offered by this prospectus. Unless we inform you otherwise in a prospectus supplement, we intend to use the net proceeds of any securities sold under this prospectus for general corporate purposes. General corporate purposes may include any of the following:</w:t>
      </w:r>
    </w:p>
    <w:p>
      <w:pPr>
        <w:spacing w:after="0" w:line="56" w:lineRule="exact"/>
        <w:rPr>
          <w:sz w:val="20"/>
          <w:szCs w:val="20"/>
          <w:color w:val="auto"/>
        </w:rPr>
      </w:pPr>
    </w:p>
    <w:p>
      <w:pPr>
        <w:ind w:left="1740" w:hanging="138"/>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capital expenditures;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repaying or refinancing debt;</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for possible acquisitions or the expansion of our business; and</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working capital and operations.</w:t>
      </w:r>
    </w:p>
    <w:p>
      <w:pPr>
        <w:spacing w:after="0" w:line="122"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When a particular series of securities is offered, the prospectus supplement relating to that offer will set forth our intended use for the proceeds we receive from the sale of those securities. Pending the application of the net proceeds, we may invest the proceeds in short-term, interest-bearing instruments or other investment-grade securities.</w:t>
      </w:r>
    </w:p>
    <w:p>
      <w:pPr>
        <w:spacing w:after="0" w:line="77" w:lineRule="exact"/>
        <w:rPr>
          <w:sz w:val="20"/>
          <w:szCs w:val="20"/>
          <w:color w:val="auto"/>
        </w:rPr>
      </w:pPr>
    </w:p>
    <w:p>
      <w:pPr>
        <w:ind w:left="1320" w:right="1459" w:firstLine="279"/>
        <w:spacing w:after="0" w:line="260" w:lineRule="auto"/>
        <w:rPr>
          <w:sz w:val="20"/>
          <w:szCs w:val="20"/>
          <w:color w:val="auto"/>
        </w:rPr>
      </w:pPr>
      <w:r>
        <w:rPr>
          <w:rFonts w:ascii="Times New Roman" w:cs="Times New Roman" w:eastAsia="Times New Roman" w:hAnsi="Times New Roman"/>
          <w:sz w:val="14"/>
          <w:szCs w:val="14"/>
          <w:color w:val="auto"/>
        </w:rPr>
        <w:t>As of the date of this prospectus, we have not entered into any agreements or arrangements for capital expenditures that would be paid for from the proceeds of this offering. In addition, as of the date of this prospectus, we have not entered into any agreements or arrangements which would make an acquisition or investment probable under Rule 3-05(a)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22"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i w:val="1"/>
          <w:iCs w:val="1"/>
          <w:color w:val="auto"/>
        </w:rPr>
        <w:t>The following summary of the terms of our capital stock is based upon our amended and restated certificate of incorporation (the “Certificate of Incorporation”), our amended and restated bylaws (the “Bylaws”) and the terms and provisions of the Delaware General Corporation Law (the “DGCL”). Copies of our Certificate of Incorporation and our Bylaws are filed as exhibits to the Annual Report on Form 10-K for the fiscal year ended December 28, 2025 and are incorporated herein by reference or filed with the shelf registration statement that this prospectus is a part of. For more complete information, you should carefully review our Certificate of Incorporation, our Bylaws and the DGCL.</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24" w:lineRule="exact"/>
        <w:rPr>
          <w:sz w:val="20"/>
          <w:szCs w:val="20"/>
          <w:color w:val="auto"/>
        </w:rPr>
      </w:pPr>
    </w:p>
    <w:p>
      <w:pPr>
        <w:ind w:left="1320" w:right="1539" w:firstLine="279"/>
        <w:spacing w:after="0" w:line="265" w:lineRule="auto"/>
        <w:rPr>
          <w:sz w:val="20"/>
          <w:szCs w:val="20"/>
          <w:color w:val="auto"/>
        </w:rPr>
      </w:pPr>
      <w:r>
        <w:rPr>
          <w:rFonts w:ascii="Times New Roman" w:cs="Times New Roman" w:eastAsia="Times New Roman" w:hAnsi="Times New Roman"/>
          <w:sz w:val="14"/>
          <w:szCs w:val="14"/>
          <w:color w:val="auto"/>
        </w:rPr>
        <w:t>Our authorized capital stock consists of 15,000,000 shares of Common Stock, and 500,000 shares of Preferred Stock. All of our 500,000 authorized shares of Preferred Stock are undesignated.</w:t>
      </w:r>
    </w:p>
    <w:p>
      <w:pPr>
        <w:spacing w:after="0" w:line="74"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As of July 1, 2026, we had issued and outstanding 2,864,702 shares of Common Stock, excluding 146,555 shares of Common Stock held by us as treasury stock, and no shares of Preferred Stock were issued and outstanding.</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Holders of our Common Stock are entitled to the following rights: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24" w:lineRule="exact"/>
        <w:rPr>
          <w:sz w:val="20"/>
          <w:szCs w:val="20"/>
          <w:color w:val="auto"/>
        </w:rPr>
      </w:pPr>
    </w:p>
    <w:p>
      <w:pPr>
        <w:ind w:left="1320" w:right="1359" w:firstLine="279"/>
        <w:spacing w:after="0"/>
        <w:rPr>
          <w:sz w:val="20"/>
          <w:szCs w:val="20"/>
          <w:color w:val="auto"/>
        </w:rPr>
      </w:pPr>
      <w:r>
        <w:rPr>
          <w:rFonts w:ascii="Times New Roman" w:cs="Times New Roman" w:eastAsia="Times New Roman" w:hAnsi="Times New Roman"/>
          <w:sz w:val="14"/>
          <w:szCs w:val="14"/>
          <w:color w:val="auto"/>
        </w:rPr>
        <w:t>Directors are elected by a plurality of the votes entitled to be cast except as set forth below with respect to directors to be elected by the holders of Preferred Stock. Our stockholders do not have cumulative voting rights. Except as otherwise provided in our Certificate of Incorporation, our Bylaws, applicable stock exchange rules, or as required by law, all matters to be voted on by our stockholders other than matters relating to the election and removal of directors must be approved by a majority of the shares present in person or by proxy at the meeting and entitled to vote on the subject matter or, until such time as the Sponsor Ownership Condition (as defined below) ceases to be satisfied, by a written resolution of the stockholders representing the number of affirmative votes required for such matter at a meeting. “Sponsor Ownership Condition” means for so long as entities affiliated with H.I.G. Growth Partners — Lulu’s, L.P., Institutional Venture Partners XV, L.P., Institutional Venture Partners XV Executive Fund, L.P., Institutional Venture Partners XVI, L.P. and Canada Pension Plan Investment Board maintain direct or indirect beneficial ownership of an aggregate of at least fifty percent (50%) of the voting power of all the then outstanding shares of voting stock of the Company.</w:t>
      </w:r>
    </w:p>
    <w:p>
      <w:pPr>
        <w:spacing w:after="0" w:line="3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13" w:lineRule="exact"/>
        <w:rPr>
          <w:sz w:val="20"/>
          <w:szCs w:val="20"/>
          <w:color w:val="auto"/>
        </w:rPr>
      </w:pPr>
    </w:p>
    <w:p>
      <w:pPr>
        <w:ind w:left="1320" w:right="1759" w:firstLine="279"/>
        <w:spacing w:after="0" w:line="281" w:lineRule="auto"/>
        <w:rPr>
          <w:sz w:val="20"/>
          <w:szCs w:val="20"/>
          <w:color w:val="auto"/>
        </w:rPr>
      </w:pPr>
      <w:r>
        <w:rPr>
          <w:rFonts w:ascii="Times New Roman" w:cs="Times New Roman" w:eastAsia="Times New Roman" w:hAnsi="Times New Roman"/>
          <w:sz w:val="14"/>
          <w:szCs w:val="14"/>
          <w:color w:val="auto"/>
        </w:rPr>
        <w:t>Holders of Common Stock will share equally in any dividend declared by our Board of Directors (“Board”), subject to the rights of the holders of any outstanding Preferred Stock.</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24" w:lineRule="exact"/>
        <w:rPr>
          <w:sz w:val="20"/>
          <w:szCs w:val="20"/>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our affairs, holders of our Common Stock would be entitled to share ratably in our assets that are legally available for distribution to stockholders after payment of liabilities. If we have any Preferred Stock outstanding at such time, holders of the Preferred Stock may be entitled to distribution and/or liquidation preferences. In either case, we must pay the applicable distribution to the holders of our Preferred Stock before we may pay distributions to the holders of our Common Stock.</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13" w:lineRule="exact"/>
        <w:rPr>
          <w:sz w:val="20"/>
          <w:szCs w:val="20"/>
          <w:color w:val="auto"/>
        </w:rPr>
      </w:pPr>
    </w:p>
    <w:p>
      <w:pPr>
        <w:ind w:left="1320" w:right="1499" w:firstLine="279"/>
        <w:spacing w:after="0" w:line="281" w:lineRule="auto"/>
        <w:rPr>
          <w:sz w:val="20"/>
          <w:szCs w:val="20"/>
          <w:color w:val="auto"/>
        </w:rPr>
      </w:pPr>
      <w:r>
        <w:rPr>
          <w:rFonts w:ascii="Times New Roman" w:cs="Times New Roman" w:eastAsia="Times New Roman" w:hAnsi="Times New Roman"/>
          <w:sz w:val="14"/>
          <w:szCs w:val="14"/>
          <w:color w:val="auto"/>
        </w:rPr>
        <w:t>Our stockholders have no preemptive or other rights to subscribe for additional shares. All holders of our Common Stock are entitled to share equally on a share-for-share basis in any assets available for</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719"/>
        <w:spacing w:after="0" w:line="281" w:lineRule="auto"/>
        <w:rPr>
          <w:sz w:val="20"/>
          <w:szCs w:val="20"/>
          <w:color w:val="auto"/>
        </w:rPr>
      </w:pPr>
      <w:r>
        <w:rPr>
          <w:rFonts w:ascii="Times New Roman" w:cs="Times New Roman" w:eastAsia="Times New Roman" w:hAnsi="Times New Roman"/>
          <w:sz w:val="14"/>
          <w:szCs w:val="14"/>
          <w:color w:val="auto"/>
        </w:rPr>
        <w:t>distribution to common stockholders upon our liquidation, dissolution, or winding up. All outstanding shares are validly issued, fully paid, and nonassessable.</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4"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Our Board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3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24"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On April 12, 2018, we entered into an Investors’ Rights Agreement with Lulu’s Holdings, L.P., H.I.G.-GPII, Inc., LFL Acquisition Corp., Institutional Venture Partners XVI, L.P., Institutional Venture Partners XV, L.P., Institutional Venture Partners XV Executive Fund, L.P. and Canada Pension</w:t>
      </w:r>
    </w:p>
    <w:p>
      <w:pPr>
        <w:spacing w:after="0" w:line="1" w:lineRule="exact"/>
        <w:rPr>
          <w:sz w:val="20"/>
          <w:szCs w:val="20"/>
          <w:color w:val="auto"/>
        </w:rPr>
      </w:pPr>
    </w:p>
    <w:p>
      <w:pPr>
        <w:ind w:left="1320" w:right="1419"/>
        <w:spacing w:after="0" w:line="239" w:lineRule="auto"/>
        <w:rPr>
          <w:sz w:val="20"/>
          <w:szCs w:val="20"/>
          <w:color w:val="auto"/>
        </w:rPr>
      </w:pPr>
      <w:r>
        <w:rPr>
          <w:rFonts w:ascii="Times New Roman" w:cs="Times New Roman" w:eastAsia="Times New Roman" w:hAnsi="Times New Roman"/>
          <w:sz w:val="14"/>
          <w:szCs w:val="14"/>
          <w:color w:val="auto"/>
        </w:rPr>
        <w:t>Plan Investment Board, pursuant to which such investors have certain registration rights with respect to our Common Stock, including demand registration rights, short-form registration rights and piggyback registration rights in respect of any shares of Common Stock issuable or issued upon conversion of the Series A Preferred Stock and related indemnification rights from us, subject to customary restrictions and exceptions. All fees, costs and expenses of registrations, other than underwriting discounts and commissions, are expected to be borne by us.</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13" w:lineRule="exact"/>
        <w:rPr>
          <w:sz w:val="20"/>
          <w:szCs w:val="20"/>
          <w:color w:val="auto"/>
        </w:rPr>
      </w:pPr>
    </w:p>
    <w:p>
      <w:pPr>
        <w:ind w:left="1320" w:right="1419" w:firstLine="279"/>
        <w:spacing w:after="0" w:line="242" w:lineRule="auto"/>
        <w:rPr>
          <w:sz w:val="20"/>
          <w:szCs w:val="20"/>
          <w:color w:val="auto"/>
        </w:rPr>
      </w:pPr>
      <w:r>
        <w:rPr>
          <w:rFonts w:ascii="Times New Roman" w:cs="Times New Roman" w:eastAsia="Times New Roman" w:hAnsi="Times New Roman"/>
          <w:sz w:val="14"/>
          <w:szCs w:val="14"/>
          <w:color w:val="auto"/>
        </w:rPr>
        <w:t>Our Certificate of Incorporation and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3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w:t>
      </w:r>
    </w:p>
    <w:p>
      <w:pPr>
        <w:spacing w:after="0" w:line="124" w:lineRule="exact"/>
        <w:rPr>
          <w:sz w:val="20"/>
          <w:szCs w:val="20"/>
          <w:color w:val="auto"/>
        </w:rPr>
      </w:pPr>
    </w:p>
    <w:p>
      <w:pPr>
        <w:ind w:left="1320" w:right="1399" w:firstLine="279"/>
        <w:spacing w:after="0" w:line="242" w:lineRule="auto"/>
        <w:rPr>
          <w:sz w:val="20"/>
          <w:szCs w:val="20"/>
          <w:color w:val="auto"/>
        </w:rPr>
      </w:pPr>
      <w:r>
        <w:rPr>
          <w:rFonts w:ascii="Times New Roman" w:cs="Times New Roman" w:eastAsia="Times New Roman" w:hAnsi="Times New Roman"/>
          <w:sz w:val="14"/>
          <w:szCs w:val="14"/>
          <w:color w:val="auto"/>
        </w:rPr>
        <w:t>Our Certificate of Incorporation and Bylaws provide that the authorized number of directors shall be determined from time to time by resolution of the Board, provided the Board shall consist of at least one member, and that our Board will be divided into three classes, with one class being elected at each annual meeting of stockholders. Each director will serve a three -year term, and subject to the special rights of the holders of one or more series of Preferred Stock to elect directors, at each succeeding annual meeting of stockholders, directors shall be elected for a full term of three years to succeed the directors of the class whose terms expire at such annual meeting. The classification of our Board could make it more difficult for a third party to acquire, or discourage a third party from seeking to acquire, control of our Company.</w:t>
      </w:r>
    </w:p>
    <w:p>
      <w:pPr>
        <w:spacing w:after="0" w:line="93"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Our Certificate of Incorporation and Bylaws provide that, except as otherwise provided by the DGCL and subject to the special rights of the holders of one or more series of Preferred Stock to elect directors, directors may be removed from office at any time, but only by the affirmative vote of the holders of at least sixty-six and two-thirds percent (66-2/3%) of the voting power of all the then outstanding shares of voting stock of the Company with the power to vote at an election of directors and, once the Sponsor Ownership Condition ceases to be satisfied, only for cause.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Stockholder Meetings, Nominations and Proposals</w:t>
      </w:r>
    </w:p>
    <w:p>
      <w:pPr>
        <w:spacing w:after="0" w:line="124" w:lineRule="exact"/>
        <w:rPr>
          <w:sz w:val="20"/>
          <w:szCs w:val="20"/>
          <w:color w:val="auto"/>
        </w:rPr>
      </w:pPr>
    </w:p>
    <w:p>
      <w:pPr>
        <w:ind w:left="1320" w:right="1419" w:firstLine="279"/>
        <w:spacing w:after="0" w:line="254" w:lineRule="auto"/>
        <w:rPr>
          <w:sz w:val="20"/>
          <w:szCs w:val="20"/>
          <w:color w:val="auto"/>
        </w:rPr>
      </w:pPr>
      <w:r>
        <w:rPr>
          <w:rFonts w:ascii="Times New Roman" w:cs="Times New Roman" w:eastAsia="Times New Roman" w:hAnsi="Times New Roman"/>
          <w:sz w:val="14"/>
          <w:szCs w:val="14"/>
          <w:color w:val="auto"/>
        </w:rPr>
        <w:t>Our Certificate of Incorporation provides that, subject to the special rights of the holders of one or more series of Preferred Stock, special meetings of the stockholders may be called, for any purpose or purposes, at any time by the Board, chairperson of the Board, chief executive officer or president (in the absence of a chief executive officer), but such special meetings may not be called by stockholders or any other person or persons. Our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94"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Our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outlined in our Bylaws. Our Bylaws allow the chairperson of any meeting of stockholders to determine the order of business and the procedure at the meeting, including such regulation of the manner of voting and the conduct of business,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3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113"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Our Certificate of Incorporation and our Bylaws provide that, subject to the rights of the holders of the shares of any series of Preferred Stock or any other class of stock or series having a preference over our Common Stock as to dividends or upon liquidation, and for so long as the Sponsor Ownership Condition is satisfied, any action required or permitted to be taken at any annual or special meeting of stockholders of the Company may be taken without a meeting, without prior notice and without a vote, if a consent or consents in writing, setting forth the action so taken, shall be signed by the holders of shares having not less than the minimum number of votes that would be necessary to authorize or take such action at a meeting at which all shares entitled to vote thereon were present and voted and shall be delivered to the Company in accordance with Section 228 of the DGCL. If at any time the Sponsor Ownership Condition ceases to be satisfied, then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DGCL</w:t>
      </w:r>
    </w:p>
    <w:p>
      <w:pPr>
        <w:spacing w:after="0" w:line="124" w:lineRule="exact"/>
        <w:rPr>
          <w:sz w:val="20"/>
          <w:szCs w:val="20"/>
          <w:color w:val="auto"/>
        </w:rPr>
      </w:pPr>
    </w:p>
    <w:p>
      <w:pPr>
        <w:ind w:left="1320" w:right="1519" w:firstLine="279"/>
        <w:spacing w:after="0" w:line="260" w:lineRule="auto"/>
        <w:rPr>
          <w:sz w:val="20"/>
          <w:szCs w:val="20"/>
          <w:color w:val="auto"/>
        </w:rPr>
      </w:pPr>
      <w:r>
        <w:rPr>
          <w:rFonts w:ascii="Times New Roman" w:cs="Times New Roman" w:eastAsia="Times New Roman" w:hAnsi="Times New Roman"/>
          <w:sz w:val="14"/>
          <w:szCs w:val="14"/>
          <w:color w:val="auto"/>
        </w:rPr>
        <w:t>We are governed by the provisions of Section 203 of the DGCL. In general, Section 203 prohibits a public Delaware corporation from engaging in a “business combination” with an “interested stockholder” for a period of three years after the time of the transaction in which the person became an interested stockholder, unless:</w:t>
      </w:r>
    </w:p>
    <w:p>
      <w:pPr>
        <w:spacing w:after="0" w:line="56" w:lineRule="exact"/>
        <w:rPr>
          <w:sz w:val="20"/>
          <w:szCs w:val="20"/>
          <w:color w:val="auto"/>
        </w:rPr>
      </w:pPr>
    </w:p>
    <w:p>
      <w:pPr>
        <w:ind w:left="1740" w:right="1439" w:hanging="138"/>
        <w:spacing w:after="0" w:line="265"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52" w:lineRule="exact"/>
        <w:rPr>
          <w:rFonts w:ascii="Times New Roman" w:cs="Times New Roman" w:eastAsia="Times New Roman" w:hAnsi="Times New Roman"/>
          <w:sz w:val="14"/>
          <w:szCs w:val="14"/>
          <w:color w:val="auto"/>
        </w:rPr>
      </w:pPr>
    </w:p>
    <w:p>
      <w:pPr>
        <w:ind w:left="1740" w:right="1419" w:hanging="138"/>
        <w:spacing w:after="0" w:line="255"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62" w:lineRule="exact"/>
        <w:rPr>
          <w:rFonts w:ascii="Times New Roman" w:cs="Times New Roman" w:eastAsia="Times New Roman" w:hAnsi="Times New Roman"/>
          <w:sz w:val="14"/>
          <w:szCs w:val="14"/>
          <w:color w:val="auto"/>
        </w:rPr>
      </w:pPr>
    </w:p>
    <w:p>
      <w:pPr>
        <w:ind w:left="1740" w:right="1479" w:hanging="138"/>
        <w:spacing w:after="0" w:line="237"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voting stock which is not owned by the interested stockholder.</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In general, Section 203 defines a “business combination” to include mergers, asset sales and other transactions resulting in financial benefit to a stockholder and an “interested stockholder” as a person who, together with affiliates and associates, owns, or, if such person is an affiliate or associate of the corporation, within three years did own, 15% or more of the corporation’s outstanding voting stock. These provisions may have the effect of delaying, deferring or preventing changes in control of our Company.</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Amendment of Charter Provisions</w:t>
      </w:r>
    </w:p>
    <w:p>
      <w:pPr>
        <w:spacing w:after="0" w:line="12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In addition to any affirmative vote of the holders of any particular class or series of the voting stock required by law or by our Certificate of Incorporation, (including any certificate of designation in respect of one or more series of Preferred Stock), the affirmative vote of the holders of at least sixty-six and two-thirds percent (66-2/3%) of the voting power of all of the then-outstanding shares of the voting stock, voting together as a single class, shall be required to alter, amend or repeal certain of the provisions described above, including with respect to our Board, stockholders, liability and indemnification, and forum selection. 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Liability and Indemnification of Officers and Directors</w:t>
      </w:r>
    </w:p>
    <w:p>
      <w:pPr>
        <w:spacing w:after="0" w:line="124" w:lineRule="exact"/>
        <w:rPr>
          <w:sz w:val="20"/>
          <w:szCs w:val="20"/>
          <w:color w:val="auto"/>
        </w:rPr>
      </w:pPr>
    </w:p>
    <w:p>
      <w:pPr>
        <w:ind w:left="1320" w:right="1399" w:firstLine="279"/>
        <w:spacing w:after="0" w:line="253" w:lineRule="auto"/>
        <w:rPr>
          <w:sz w:val="20"/>
          <w:szCs w:val="20"/>
          <w:color w:val="auto"/>
        </w:rPr>
      </w:pPr>
      <w:r>
        <w:rPr>
          <w:rFonts w:ascii="Times New Roman" w:cs="Times New Roman" w:eastAsia="Times New Roman" w:hAnsi="Times New Roman"/>
          <w:sz w:val="14"/>
          <w:szCs w:val="14"/>
          <w:color w:val="auto"/>
        </w:rPr>
        <w:t>Our Certificate of Incorporation and Bylaws provide indemnification and advancement of expenses for our directors and officers to the fullest extent permitted by the DGCL, subject to certain limited exceptions. We have entered into separate indemnification agreements with each of our directors and our executive officers. In some cases, the provisions of our indemnification agreements with our directors and executive officers may be broader than the specific indemnification provisions contained under Delaware law. In addition, as permitted by the DGCL, our Certificate of Incorporation includes provisions that eliminate the personal liability of our directors and officers for monetary damages resulting from breaches of certain fiduciary duties as a director or officer, respectively. The effect of this provision is to restrict our rights and the rights of our stockholders in derivative suits to recover monetary damages against a director or officer for breach of fiduciary duties as a director or officer, respectively.</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113"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The Court of Chancery of the State of Delaware is the sole and exclusive forum for the following types of actions or proceedings under Delaware statutory or common law: (i) any derivative action or proceeding brought on behalf of the Company, (ii) any action asserting a claim of breach of fiduciary duty owed by any director, officer, or other employee of the Company to the Company or our stockholders, (iii) any action asserting a claim arising pursuant to any provision of the DGCL, or (iv) any action asserting a claim governed by the internal affairs doctrine.</w:t>
      </w:r>
    </w:p>
    <w:p>
      <w:pPr>
        <w:spacing w:after="0" w:line="93" w:lineRule="exact"/>
        <w:rPr>
          <w:sz w:val="20"/>
          <w:szCs w:val="20"/>
          <w:color w:val="auto"/>
        </w:rPr>
      </w:pPr>
    </w:p>
    <w:p>
      <w:pPr>
        <w:ind w:left="1320" w:right="1459" w:firstLine="279"/>
        <w:spacing w:after="0" w:line="254" w:lineRule="auto"/>
        <w:rPr>
          <w:sz w:val="20"/>
          <w:szCs w:val="20"/>
          <w:color w:val="auto"/>
        </w:rPr>
      </w:pPr>
      <w:r>
        <w:rPr>
          <w:rFonts w:ascii="Times New Roman" w:cs="Times New Roman" w:eastAsia="Times New Roman" w:hAnsi="Times New Roman"/>
          <w:sz w:val="14"/>
          <w:szCs w:val="14"/>
          <w:color w:val="auto"/>
        </w:rPr>
        <w:t>Additionally, our Certificate of Incorporation further provides that the federal courts of the United States will be the exclusive forum for resolving any complaint asserting a cause or causes of action arising under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The choice of forum provisions do not preclude stockholders that assert claims under the Securities Act of 1933, as amended from bringing such claims in state or federal court, subject to applicable law.</w:t>
      </w:r>
    </w:p>
    <w:p>
      <w:pPr>
        <w:spacing w:after="0" w:line="262" w:lineRule="exact"/>
        <w:rPr>
          <w:sz w:val="20"/>
          <w:szCs w:val="20"/>
          <w:color w:val="auto"/>
        </w:rPr>
      </w:pPr>
    </w:p>
    <w:p>
      <w:pPr>
        <w:ind w:left="1320" w:right="1459" w:firstLine="279"/>
        <w:spacing w:after="0" w:line="281" w:lineRule="auto"/>
        <w:rPr>
          <w:sz w:val="20"/>
          <w:szCs w:val="20"/>
          <w:color w:val="auto"/>
        </w:rPr>
      </w:pPr>
      <w:r>
        <w:rPr>
          <w:rFonts w:ascii="Times New Roman" w:cs="Times New Roman" w:eastAsia="Times New Roman" w:hAnsi="Times New Roman"/>
          <w:sz w:val="14"/>
          <w:szCs w:val="14"/>
          <w:color w:val="auto"/>
        </w:rPr>
        <w:t>These provisions may result in increased costs for investors seeking to bring a claim against us or any of our directors, officers or other employees.</w:t>
      </w:r>
    </w:p>
    <w:p>
      <w:pPr>
        <w:spacing w:after="0" w:line="63" w:lineRule="exact"/>
        <w:rPr>
          <w:sz w:val="20"/>
          <w:szCs w:val="20"/>
          <w:color w:val="auto"/>
        </w:rPr>
      </w:pPr>
    </w:p>
    <w:p>
      <w:pPr>
        <w:ind w:left="1320" w:right="1599" w:firstLine="279"/>
        <w:spacing w:after="0" w:line="281"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shares of capital stock of the Company shall be deemed to have notice of and consented to the foregoing forum selection provisions.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24" w:lineRule="exact"/>
        <w:rPr>
          <w:sz w:val="20"/>
          <w:szCs w:val="20"/>
          <w:color w:val="auto"/>
        </w:rPr>
      </w:pPr>
    </w:p>
    <w:p>
      <w:pPr>
        <w:ind w:left="1320" w:right="1699" w:firstLine="279"/>
        <w:spacing w:after="0" w:line="281" w:lineRule="auto"/>
        <w:rPr>
          <w:sz w:val="20"/>
          <w:szCs w:val="20"/>
          <w:color w:val="auto"/>
        </w:rPr>
      </w:pPr>
      <w:r>
        <w:rPr>
          <w:rFonts w:ascii="Times New Roman" w:cs="Times New Roman" w:eastAsia="Times New Roman" w:hAnsi="Times New Roman"/>
          <w:sz w:val="14"/>
          <w:szCs w:val="14"/>
          <w:color w:val="auto"/>
        </w:rPr>
        <w:t>Our transfer agent and registrar is Broadridge Corporate Issuer Solutions, Inc., 51 Mercedes Way, Edgewood, NY, 11717. Its telephone number is (855) 300-4994.</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“LVLU.”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4"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color w:val="auto"/>
        </w:rPr>
        <w:t>The complete terms of the warrants will be contained in the applicable warrant agreement and warrant. These documents will be included or incorporated by reference as exhibits to the registration statement of which this prospectus is a part. You should read the warrant and warrant agreement. You should also read the prospectus supplement, which will contain additional information and which may update or change some of the information below.</w:t>
      </w:r>
    </w:p>
    <w:p>
      <w:pPr>
        <w:spacing w:after="0" w:line="89" w:lineRule="exact"/>
        <w:rPr>
          <w:sz w:val="20"/>
          <w:szCs w:val="20"/>
          <w:color w:val="auto"/>
        </w:rPr>
      </w:pPr>
    </w:p>
    <w:p>
      <w:pPr>
        <w:ind w:left="1320" w:right="1419" w:firstLine="279"/>
        <w:spacing w:after="0" w:line="249" w:lineRule="auto"/>
        <w:rPr>
          <w:sz w:val="20"/>
          <w:szCs w:val="20"/>
          <w:color w:val="auto"/>
        </w:rPr>
      </w:pPr>
      <w:r>
        <w:rPr>
          <w:rFonts w:ascii="Times New Roman" w:cs="Times New Roman" w:eastAsia="Times New Roman" w:hAnsi="Times New Roman"/>
          <w:sz w:val="14"/>
          <w:szCs w:val="14"/>
          <w:color w:val="auto"/>
        </w:rPr>
        <w:t>This section describes the general terms of the warrants to purchase Common Stock and/or Preferred Stock that we may offer using this prospectus. Further terms of the warrants will be stated in the applicable prospectus supplement. The following description and any description of the rights in a prospectus supplement may not be complete and is subject to and qualified in its entirety by reference to the terms of the warrant and warrant agreement.</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We may issue warrants for the purchase of Common Stock and/or Preferred Stock in one or more series. If we offer warrants, we will describe the terms in a prospectus supplement. Warrants may be offered independently, together with other securities offered by any prospectus supplement, or through a dividend or other distribution to stockholders and may be attached to or separate from other securities. Warrants may be issued under a written warrant agreement to be entered into between us and the holder or beneficial owner, or under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those warrants.</w:t>
      </w:r>
    </w:p>
    <w:p>
      <w:pPr>
        <w:spacing w:after="0" w:line="255" w:lineRule="exact"/>
        <w:rPr>
          <w:sz w:val="20"/>
          <w:szCs w:val="20"/>
          <w:color w:val="auto"/>
        </w:rPr>
      </w:pPr>
    </w:p>
    <w:p>
      <w:pPr>
        <w:ind w:left="1320" w:right="1839" w:firstLine="279"/>
        <w:spacing w:after="0" w:line="281" w:lineRule="auto"/>
        <w:rPr>
          <w:sz w:val="20"/>
          <w:szCs w:val="20"/>
          <w:color w:val="auto"/>
        </w:rPr>
      </w:pPr>
      <w:r>
        <w:rPr>
          <w:rFonts w:ascii="Times New Roman" w:cs="Times New Roman" w:eastAsia="Times New Roman" w:hAnsi="Times New Roman"/>
          <w:sz w:val="14"/>
          <w:szCs w:val="14"/>
          <w:color w:val="auto"/>
        </w:rPr>
        <w:t>The following are some of the terms relating to a series of warrants that could be described in a prospectus supplement:</w:t>
      </w:r>
    </w:p>
    <w:p>
      <w:pPr>
        <w:spacing w:after="0" w:line="31" w:lineRule="exact"/>
        <w:rPr>
          <w:sz w:val="20"/>
          <w:szCs w:val="20"/>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the warrants;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warrants;</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or prices at which the warrants will be issued;</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number, and terms of the securities that may be purchased on exercise of the warrants;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price for each security purchasable on exercise of the warrants;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for changes to or adjustments in the exercise price, if any;</w:t>
      </w:r>
    </w:p>
    <w:p>
      <w:pPr>
        <w:spacing w:after="0" w:line="90" w:lineRule="exact"/>
        <w:rPr>
          <w:rFonts w:ascii="Times New Roman" w:cs="Times New Roman" w:eastAsia="Times New Roman" w:hAnsi="Times New Roman"/>
          <w:sz w:val="14"/>
          <w:szCs w:val="14"/>
          <w:color w:val="auto"/>
        </w:rPr>
      </w:pPr>
    </w:p>
    <w:p>
      <w:pPr>
        <w:ind w:left="1740" w:right="149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dates on which the right to purchase certain securities upon exercise of the warrants will begin and end;</w:t>
      </w:r>
    </w:p>
    <w:p>
      <w:pPr>
        <w:spacing w:after="0" w:line="41"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or maximum number of securities that may be purchased at any one time upon exercise of the warrants;</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or other adjustments to the exercise price of the warrants;</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of any right that we may have to redeem the warrants;</w:t>
      </w:r>
    </w:p>
    <w:p>
      <w:pPr>
        <w:spacing w:after="0" w:line="90" w:lineRule="exact"/>
        <w:rPr>
          <w:rFonts w:ascii="Times New Roman" w:cs="Times New Roman" w:eastAsia="Times New Roman" w:hAnsi="Times New Roman"/>
          <w:sz w:val="14"/>
          <w:szCs w:val="14"/>
          <w:color w:val="auto"/>
        </w:rPr>
      </w:pPr>
    </w:p>
    <w:p>
      <w:pPr>
        <w:ind w:left="1740" w:right="161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any merger, consolidation, sale or other transfer of our business on the warrants and the applicable warrant agreement;</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the warrant agent, if any;</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United States federal income tax considerations; and</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material terms, including terms relating to transferability, exchange, exercise or amendments of the warrants.</w:t>
      </w:r>
    </w:p>
    <w:p>
      <w:pPr>
        <w:spacing w:after="0" w:line="63" w:lineRule="exact"/>
        <w:rPr>
          <w:sz w:val="20"/>
          <w:szCs w:val="20"/>
          <w:color w:val="auto"/>
        </w:rPr>
      </w:pPr>
    </w:p>
    <w:p>
      <w:pPr>
        <w:ind w:left="1320" w:right="1519" w:firstLine="279"/>
        <w:spacing w:after="0" w:line="281" w:lineRule="auto"/>
        <w:rPr>
          <w:sz w:val="20"/>
          <w:szCs w:val="20"/>
          <w:color w:val="auto"/>
        </w:rPr>
      </w:pPr>
      <w:r>
        <w:rPr>
          <w:rFonts w:ascii="Times New Roman" w:cs="Times New Roman" w:eastAsia="Times New Roman" w:hAnsi="Times New Roman"/>
          <w:sz w:val="14"/>
          <w:szCs w:val="14"/>
          <w:color w:val="auto"/>
        </w:rPr>
        <w:t>Until any warrants to purchase our securities are exercised, holders of the warrants will not have any rights of holders of the underlying securities.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4"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The complete terms of the units will be contained in the unit agreement and any document applicable to the securities comprising the units. These documents will be included or incorporated by reference as exhibits to the registration statement of which this prospectus is a part. You should read the unit agreement and any related documents. You also should read the prospectus supplement, which will contain additional information and which may update or change some of the information below.</w:t>
      </w:r>
    </w:p>
    <w:p>
      <w:pPr>
        <w:spacing w:after="0" w:line="90"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This section describes the general terms of the units that we may offer using this prospectus. Further terms of the units will be stated in the applicable prospectus supplement. The following description and any description of the units in a prospectus supplement may not be complete and is subject to and qualified in its entirety by reference to the terms of any agreement relating to the units and the related documents applicable to the securities constituting the units.</w:t>
      </w:r>
    </w:p>
    <w:p>
      <w:pPr>
        <w:spacing w:after="0" w:line="80"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We may issue units, in one or more series, consisting of any combination of one or more of the other securities described in this prospectus. If we offer units, we will describe the terms in a prospectus supplement. Units may be issued under a written unit agreement to be entered into between us and the holder or beneficial owner, or we could issue units under a written unit agreement with a unit agent specified in a prospectus supplement. A unit agent would act solely as our agent in connection with the units of a particular series and would not assume any obligation or relationship of agency or trust for or with any holders or beneficial owners of those units.</w:t>
      </w:r>
    </w:p>
    <w:p>
      <w:pPr>
        <w:spacing w:after="0" w:line="94" w:lineRule="exact"/>
        <w:rPr>
          <w:sz w:val="20"/>
          <w:szCs w:val="20"/>
          <w:color w:val="auto"/>
        </w:rPr>
      </w:pPr>
    </w:p>
    <w:p>
      <w:pPr>
        <w:ind w:left="1320" w:right="1419" w:firstLine="279"/>
        <w:spacing w:after="0" w:line="281" w:lineRule="auto"/>
        <w:rPr>
          <w:sz w:val="20"/>
          <w:szCs w:val="20"/>
          <w:color w:val="auto"/>
        </w:rPr>
      </w:pPr>
      <w:r>
        <w:rPr>
          <w:rFonts w:ascii="Times New Roman" w:cs="Times New Roman" w:eastAsia="Times New Roman" w:hAnsi="Times New Roman"/>
          <w:sz w:val="14"/>
          <w:szCs w:val="14"/>
          <w:color w:val="auto"/>
        </w:rPr>
        <w:t>Each unit will be issued so that the holder of the unit is also the holder of each security included in the unit. Thus, the holder of a unit will have the rights and obligations of a holder of each included security.</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are some of the unit terms that could be described in a prospectus supplement:</w:t>
      </w:r>
    </w:p>
    <w:p>
      <w:pPr>
        <w:spacing w:after="0" w:line="90" w:lineRule="exact"/>
        <w:rPr>
          <w:sz w:val="20"/>
          <w:szCs w:val="20"/>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the units;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units;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or prices at which the units will be issued;</w:t>
      </w:r>
    </w:p>
    <w:p>
      <w:pPr>
        <w:spacing w:after="0" w:line="90"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and terms of the units and of the securities comprising the units, including whether and under what circumstances those securities may be held or transferred separately;</w:t>
      </w:r>
    </w:p>
    <w:p>
      <w:pPr>
        <w:spacing w:after="0" w:line="41" w:lineRule="exact"/>
        <w:rPr>
          <w:rFonts w:ascii="Times New Roman" w:cs="Times New Roman" w:eastAsia="Times New Roman" w:hAnsi="Times New Roman"/>
          <w:sz w:val="14"/>
          <w:szCs w:val="14"/>
          <w:color w:val="auto"/>
        </w:rPr>
      </w:pPr>
    </w:p>
    <w:p>
      <w:pPr>
        <w:ind w:left="1740" w:right="1839" w:hanging="138"/>
        <w:spacing w:after="0" w:line="281"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any merger, consolidation, sale or other transfer of our business on the units and the applicable unit agreement;</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the unit agent;</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United States federal income tax considerations; and</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material terms, including terms relating to transferability, exchange, exercise or amendments of the units.</w:t>
      </w:r>
    </w:p>
    <w:p>
      <w:pPr>
        <w:spacing w:after="0" w:line="63" w:lineRule="exact"/>
        <w:rPr>
          <w:sz w:val="20"/>
          <w:szCs w:val="20"/>
          <w:color w:val="auto"/>
        </w:rPr>
      </w:pPr>
    </w:p>
    <w:p>
      <w:pPr>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“Description of Capital Stock,” and “Description of Warrants,” will apply to each unit and to any Common Stock, Preferred Stock, or warrant included in each unit, respectively.</w:t>
      </w:r>
    </w:p>
    <w:p>
      <w:pPr>
        <w:spacing w:after="0" w:line="84"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unit agreements will be governed by the laws of the State of New York. The unit agreement under which a unit is issued may provide that the securities included in the unit may not be held or transferred separately, at any time or at any time before a specified date. We will file as an exhibit to a filing with the SEC that is incorporated by reference into this prospectus the forms of the unit agreements containing the terms of the units being offered. The description of units in any prospectus supplement will not necessarily describe all of the terms of the units in detail. You should read the applicable unit agreements for a complete description of all of the terms.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4" w:lineRule="exact"/>
        <w:rPr>
          <w:sz w:val="20"/>
          <w:szCs w:val="20"/>
          <w:color w:val="auto"/>
        </w:rPr>
      </w:pPr>
    </w:p>
    <w:p>
      <w:pPr>
        <w:ind w:left="1320" w:right="1599" w:firstLine="279"/>
        <w:spacing w:after="0" w:line="265" w:lineRule="auto"/>
        <w:rPr>
          <w:sz w:val="20"/>
          <w:szCs w:val="20"/>
          <w:color w:val="auto"/>
        </w:rPr>
      </w:pPr>
      <w:r>
        <w:rPr>
          <w:rFonts w:ascii="Times New Roman" w:cs="Times New Roman" w:eastAsia="Times New Roman" w:hAnsi="Times New Roman"/>
          <w:sz w:val="14"/>
          <w:szCs w:val="14"/>
          <w:color w:val="auto"/>
        </w:rPr>
        <w:t>We may sell the securities offered by this prospectus from time to time in one or more transactions, including without limitation:</w:t>
      </w:r>
    </w:p>
    <w:p>
      <w:pPr>
        <w:spacing w:after="0" w:line="42" w:lineRule="exact"/>
        <w:rPr>
          <w:sz w:val="20"/>
          <w:szCs w:val="20"/>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 rights offering;</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within the meaning of Rule 415(a)(4) of the Securities Act to or through a market maker or into an existing trading market on an exchange or otherwise;</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block trades;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by applicable law and described in a prospectus supplement.</w:t>
      </w:r>
    </w:p>
    <w:p>
      <w:pPr>
        <w:spacing w:after="0" w:line="111" w:lineRule="exact"/>
        <w:rPr>
          <w:sz w:val="20"/>
          <w:szCs w:val="20"/>
          <w:color w:val="auto"/>
        </w:rPr>
      </w:pPr>
    </w:p>
    <w:p>
      <w:pPr>
        <w:ind w:left="1320" w:right="1599" w:firstLine="279"/>
        <w:spacing w:after="0" w:line="281" w:lineRule="auto"/>
        <w:rPr>
          <w:sz w:val="20"/>
          <w:szCs w:val="20"/>
          <w:color w:val="auto"/>
        </w:rPr>
      </w:pPr>
      <w:r>
        <w:rPr>
          <w:rFonts w:ascii="Times New Roman" w:cs="Times New Roman" w:eastAsia="Times New Roman" w:hAnsi="Times New Roman"/>
          <w:sz w:val="14"/>
          <w:szCs w:val="14"/>
          <w:color w:val="auto"/>
        </w:rPr>
        <w:t>In addition, we may issue the securities as a dividend or distribution to our existing stockholders or other security holders.</w:t>
      </w:r>
    </w:p>
    <w:p>
      <w:pPr>
        <w:spacing w:after="0" w:line="73" w:lineRule="exact"/>
        <w:rPr>
          <w:sz w:val="20"/>
          <w:szCs w:val="20"/>
          <w:color w:val="auto"/>
        </w:rPr>
      </w:pPr>
    </w:p>
    <w:p>
      <w:pPr>
        <w:ind w:left="1320" w:right="1859" w:firstLine="279"/>
        <w:spacing w:after="0" w:line="281" w:lineRule="auto"/>
        <w:rPr>
          <w:sz w:val="20"/>
          <w:szCs w:val="20"/>
          <w:color w:val="auto"/>
        </w:rPr>
      </w:pPr>
      <w:r>
        <w:rPr>
          <w:rFonts w:ascii="Times New Roman" w:cs="Times New Roman" w:eastAsia="Times New Roman" w:hAnsi="Times New Roman"/>
          <w:sz w:val="14"/>
          <w:szCs w:val="14"/>
          <w:color w:val="auto"/>
        </w:rPr>
        <w:t>The prospectus supplement with respect to any offering of securities will include the following information:</w:t>
      </w:r>
    </w:p>
    <w:p>
      <w:pPr>
        <w:spacing w:after="0" w:line="42" w:lineRule="exact"/>
        <w:rPr>
          <w:sz w:val="20"/>
          <w:szCs w:val="20"/>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or public offering price of the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 and</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on which the securities may be listed.</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13"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If underwriters are used in the sale,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applicable prospectus supplement, the obligations of the underwriters to purchase the securities will be subject to certain conditions, and the underwriters will be obligated to purchase all of the offered securities if they purchase any of them. The underwriters may change from time to time any initial public offering price and any discounts or concessions allowed or reallowed or paid to dealers.</w:t>
      </w:r>
    </w:p>
    <w:p>
      <w:pPr>
        <w:spacing w:after="0" w:line="95" w:lineRule="exact"/>
        <w:rPr>
          <w:sz w:val="20"/>
          <w:szCs w:val="20"/>
          <w:color w:val="auto"/>
        </w:rPr>
      </w:pPr>
    </w:p>
    <w:p>
      <w:pPr>
        <w:ind w:left="1320" w:right="1339" w:firstLine="279"/>
        <w:spacing w:after="0" w:line="281" w:lineRule="auto"/>
        <w:rPr>
          <w:sz w:val="20"/>
          <w:szCs w:val="20"/>
          <w:color w:val="auto"/>
        </w:rPr>
      </w:pPr>
      <w:r>
        <w:rPr>
          <w:rFonts w:ascii="Times New Roman" w:cs="Times New Roman" w:eastAsia="Times New Roman" w:hAnsi="Times New Roman"/>
          <w:sz w:val="14"/>
          <w:szCs w:val="14"/>
          <w:color w:val="auto"/>
        </w:rPr>
        <w:t>We will describe the name or names of any underwriters, dealers or agents and the purchase price of the securities in a prospectus supplement relating to the securities.</w:t>
      </w:r>
    </w:p>
    <w:p>
      <w:pPr>
        <w:spacing w:after="0" w:line="73" w:lineRule="exact"/>
        <w:rPr>
          <w:sz w:val="20"/>
          <w:szCs w:val="20"/>
          <w:color w:val="auto"/>
        </w:rPr>
      </w:pPr>
    </w:p>
    <w:p>
      <w:pPr>
        <w:ind w:left="1320" w:right="1499" w:firstLine="279"/>
        <w:spacing w:after="0" w:line="281" w:lineRule="auto"/>
        <w:rPr>
          <w:sz w:val="20"/>
          <w:szCs w:val="20"/>
          <w:color w:val="auto"/>
        </w:rPr>
      </w:pPr>
      <w:r>
        <w:rPr>
          <w:rFonts w:ascii="Times New Roman" w:cs="Times New Roman" w:eastAsia="Times New Roman" w:hAnsi="Times New Roman"/>
          <w:sz w:val="14"/>
          <w:szCs w:val="14"/>
          <w:color w:val="auto"/>
        </w:rPr>
        <w:t>In connection with the sale of the securities, underwriters may receive compensation from us or from purchasers of the securities, for whom they may act as agents, in the form of discounts, concessions or</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spacing w:after="0" w:line="245" w:lineRule="auto"/>
        <w:rPr>
          <w:sz w:val="20"/>
          <w:szCs w:val="20"/>
          <w:color w:val="auto"/>
        </w:rPr>
      </w:pPr>
      <w:r>
        <w:rPr>
          <w:rFonts w:ascii="Times New Roman" w:cs="Times New Roman" w:eastAsia="Times New Roman" w:hAnsi="Times New Roman"/>
          <w:sz w:val="14"/>
          <w:szCs w:val="14"/>
          <w:color w:val="auto"/>
        </w:rPr>
        <w:t>commissions. Underwriters may sell the securities to or through dealers, and these dealers may receive compensation in the form of discounts, concessions or commissions from the underwriters and/or commissions from the purchasers for whom they may act as agents, which is not expected to exceed that customary in the types of transactions involved. Underwriters, dealers and agents that participate in the distribution of the securities may be deemed to be underwriters, and any discounts or commissions they receive from us, and any profit on the resale of the securities they realize may be deemed to be underwriting discounts and commissions, under the Securities Act. The prospectus supplement will identify any underwriter or agent and will describe any compensation they receive from us.</w:t>
      </w:r>
    </w:p>
    <w:p>
      <w:pPr>
        <w:spacing w:after="0" w:line="88"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Underwriters could make sales in privately negotiated transactions and/or any other method permitted by law, including sales deemed to be an “at-the-market” offering, sales made directly on Nasdaq, the existing trading market for our shares of Common Stock, or sales made to or through a market maker other than on an exchange. The name of any such underwriter or agent involved in the offer and sale of our securities, the amounts underwritten, and the nature of its obligations to take our securities will be described in the applicable prospectus supplement.</w:t>
      </w:r>
    </w:p>
    <w:p>
      <w:pPr>
        <w:spacing w:after="0" w:line="89"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Unless otherwise specified in the prospectus supplement, each series of the securities will be a new issue with no established trading market, other than our shares of Common Stock, which are currently listed on Nasdaq. We currently intend to list any shares of Common Stock sold pursuant to this prospectus on Nasdaq. We may elect to list any series of Preferred Stock on an exchange, but are not obligated to do so. It is possible that one or more underwriters may make a market in a series of the securities, but underwriters will not be obligated to do so and may discontinue any market making at any time without notice. Therefore, we can give no assurance about the liquidity of the trading market for any of the securities.</w:t>
      </w:r>
    </w:p>
    <w:p>
      <w:pPr>
        <w:spacing w:after="0" w:line="89" w:lineRule="exact"/>
        <w:rPr>
          <w:sz w:val="20"/>
          <w:szCs w:val="20"/>
          <w:color w:val="auto"/>
        </w:rPr>
      </w:pPr>
    </w:p>
    <w:p>
      <w:pPr>
        <w:ind w:left="1320" w:right="1759" w:firstLine="279"/>
        <w:spacing w:after="0" w:line="249" w:lineRule="auto"/>
        <w:rPr>
          <w:sz w:val="20"/>
          <w:szCs w:val="20"/>
          <w:color w:val="auto"/>
        </w:rPr>
      </w:pPr>
      <w:r>
        <w:rPr>
          <w:rFonts w:ascii="Times New Roman" w:cs="Times New Roman" w:eastAsia="Times New Roman" w:hAnsi="Times New Roman"/>
          <w:sz w:val="14"/>
          <w:szCs w:val="14"/>
          <w:color w:val="auto"/>
        </w:rPr>
        <w:t>Under agreements we may enter into, we may indemnify underwriters, dealers, and agents who participate in the distribution of the securities against certain liabilities, including liabilities under the Securities Act, or contribute with respect to payments that the underwriters, dealers or agents may be required to make.</w:t>
      </w:r>
    </w:p>
    <w:p>
      <w:pPr>
        <w:spacing w:after="0" w:line="85" w:lineRule="exact"/>
        <w:rPr>
          <w:sz w:val="20"/>
          <w:szCs w:val="20"/>
          <w:color w:val="auto"/>
        </w:rPr>
      </w:pPr>
    </w:p>
    <w:p>
      <w:pPr>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In compliance with the guidelines of the Financial Industry Regulatory Authority, Inc. (“FINRA”), the aggregate underwriting compensation, as determined under FINRA Rule 5110, payable to participating FINRA members in the aggregate will not exceed 8% of the gross offering proceeds from any offering pursuant to this prospectus and any applicable prospectus supplement or pricing supplement, as the case may be.</w:t>
      </w:r>
    </w:p>
    <w:p>
      <w:pPr>
        <w:spacing w:after="0" w:line="250"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97" w:lineRule="exact"/>
        <w:rPr>
          <w:sz w:val="20"/>
          <w:szCs w:val="20"/>
          <w:color w:val="auto"/>
        </w:rPr>
      </w:pPr>
    </w:p>
    <w:p>
      <w:pPr>
        <w:ind w:left="1320" w:right="1519" w:firstLine="279"/>
        <w:spacing w:after="0" w:line="281" w:lineRule="auto"/>
        <w:rPr>
          <w:sz w:val="20"/>
          <w:szCs w:val="20"/>
          <w:color w:val="auto"/>
        </w:rPr>
      </w:pPr>
      <w:r>
        <w:rPr>
          <w:rFonts w:ascii="Times New Roman" w:cs="Times New Roman" w:eastAsia="Times New Roman" w:hAnsi="Times New Roman"/>
          <w:sz w:val="14"/>
          <w:szCs w:val="14"/>
          <w:color w:val="auto"/>
        </w:rPr>
        <w:t>From time to time, we may engage in transactions with these underwriters, dealers, and agents in the ordinary course of business.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24" w:lineRule="exact"/>
        <w:rPr>
          <w:sz w:val="20"/>
          <w:szCs w:val="20"/>
          <w:color w:val="auto"/>
        </w:rPr>
      </w:pPr>
    </w:p>
    <w:p>
      <w:pPr>
        <w:ind w:left="1320" w:right="1459" w:firstLine="279"/>
        <w:spacing w:after="0" w:line="255" w:lineRule="auto"/>
        <w:rPr>
          <w:sz w:val="20"/>
          <w:szCs w:val="20"/>
          <w:color w:val="auto"/>
        </w:rPr>
      </w:pPr>
      <w:r>
        <w:rPr>
          <w:rFonts w:ascii="Times New Roman" w:cs="Times New Roman" w:eastAsia="Times New Roman" w:hAnsi="Times New Roman"/>
          <w:sz w:val="14"/>
          <w:szCs w:val="14"/>
          <w:color w:val="auto"/>
        </w:rPr>
        <w:t>We may sell the securities directly. In this case, no underwriters or agents would be involved. We also may sell the securities through agents designated by us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19" w:firstLine="279"/>
        <w:spacing w:after="0" w:line="265" w:lineRule="auto"/>
        <w:rPr>
          <w:sz w:val="20"/>
          <w:szCs w:val="20"/>
          <w:color w:val="auto"/>
        </w:rPr>
      </w:pPr>
      <w:r>
        <w:rPr>
          <w:rFonts w:ascii="Times New Roman" w:cs="Times New Roman" w:eastAsia="Times New Roman" w:hAnsi="Times New Roman"/>
          <w:sz w:val="14"/>
          <w:szCs w:val="14"/>
          <w:color w:val="auto"/>
        </w:rPr>
        <w:t>We may sell the securities directly to institutional investors or others who may be deemed to be underwriters within the meaning of the Securities Act with respect to any sale of those securities. We will describe the terms of any sales of these securities in the applicable prospectus supplement.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Remarketing Arrangements</w:t>
      </w:r>
    </w:p>
    <w:p>
      <w:pPr>
        <w:spacing w:after="0" w:line="124"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Securities also may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24"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If we so indicate in the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applicable prospectus supplement. The applicable prospectus supplement will describe the commission payable for solicitation of those contracts.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13" w:lineRule="exact"/>
        <w:rPr>
          <w:sz w:val="20"/>
          <w:szCs w:val="20"/>
          <w:color w:val="auto"/>
        </w:rPr>
      </w:pPr>
    </w:p>
    <w:p>
      <w:pPr>
        <w:ind w:left="1320" w:right="1579" w:firstLine="279"/>
        <w:spacing w:after="0" w:line="257" w:lineRule="auto"/>
        <w:rPr>
          <w:sz w:val="20"/>
          <w:szCs w:val="20"/>
          <w:color w:val="auto"/>
        </w:rPr>
      </w:pPr>
      <w:r>
        <w:rPr>
          <w:rFonts w:ascii="Times New Roman" w:cs="Times New Roman" w:eastAsia="Times New Roman" w:hAnsi="Times New Roman"/>
          <w:sz w:val="14"/>
          <w:szCs w:val="14"/>
          <w:color w:val="auto"/>
        </w:rPr>
        <w:t>We may have agreements with the underwriters, dealers, agents and remarketing firms to indemnify them against certain civil liabilities, including liabilities under the Securities Act, or to contribute with respect to payments that the underwriters, dealers, agents or remarketing firms may be required to make. Underwriters, dealers, agents and remarketing firms may be customers of, engage in transactions with or perform services for us in the ordinary course of their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DISCLOSURE OF COMMISSION POSITION ON INDEMNIFICATION FOR SECURITIES ACT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07"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ind w:left="1320" w:right="1399" w:firstLine="279"/>
        <w:spacing w:after="0" w:line="281"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validity of the securities being offered by this prospectus will be passed upon by Akerman LLP, Miami, Florida.</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13"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The financial statements of Lulu’s Fashion Lounge Holdings,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24"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and the rules and regulations promulgated under the Securities Act, with respect to the securities offered under this prospectus. This prospectus, which constitutes a part of the registration statement, does not contain all of the information contained in the registration statement and the exhibits and schedules to the registration statement. Many of the contracts and documents described in this prospectus are filed as exhibits to the registration statement and you may review the full text of these contracts and documents by referring to these exhibits.</w:t>
      </w:r>
    </w:p>
    <w:p>
      <w:pPr>
        <w:spacing w:after="0" w:line="261" w:lineRule="exact"/>
        <w:rPr>
          <w:sz w:val="20"/>
          <w:szCs w:val="20"/>
          <w:color w:val="auto"/>
        </w:rPr>
      </w:pPr>
    </w:p>
    <w:p>
      <w:pPr>
        <w:jc w:val="both"/>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For further information with respect to us and the securities offered under this prospectus, reference is made to the registration statement and its exhibits and schedules. We file reports, including annual reports on Form 10-K, quarterly reports on Form 10-Q and current reports on Form 8-K with the SEC.</w:t>
      </w:r>
    </w:p>
    <w:p>
      <w:pPr>
        <w:spacing w:after="0" w:line="74" w:lineRule="exact"/>
        <w:rPr>
          <w:sz w:val="20"/>
          <w:szCs w:val="20"/>
          <w:color w:val="auto"/>
        </w:rPr>
      </w:pPr>
    </w:p>
    <w:p>
      <w:pPr>
        <w:ind w:left="1320" w:right="1559" w:firstLine="279"/>
        <w:spacing w:after="0" w:line="257" w:lineRule="auto"/>
        <w:rPr>
          <w:sz w:val="20"/>
          <w:szCs w:val="20"/>
          <w:color w:val="auto"/>
        </w:rPr>
      </w:pPr>
      <w:r>
        <w:rPr>
          <w:rFonts w:ascii="Times New Roman" w:cs="Times New Roman" w:eastAsia="Times New Roman" w:hAnsi="Times New Roman"/>
          <w:sz w:val="14"/>
          <w:szCs w:val="14"/>
          <w:color w:val="auto"/>
        </w:rPr>
        <w:t xml:space="preserve">The SEC maintains a website that contains reports, proxy and information statements and other information regarding issuers, including Lulus, that file electronically with the SEC. The SEC’s website address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Our Investor Relations website is </w:t>
      </w:r>
      <w:r>
        <w:rPr>
          <w:rFonts w:ascii="Times New Roman" w:cs="Times New Roman" w:eastAsia="Times New Roman" w:hAnsi="Times New Roman"/>
          <w:sz w:val="14"/>
          <w:szCs w:val="14"/>
          <w:i w:val="1"/>
          <w:iCs w:val="1"/>
          <w:color w:val="auto"/>
        </w:rPr>
        <w:t>www.investors.lulus.com</w:t>
      </w:r>
      <w:r>
        <w:rPr>
          <w:rFonts w:ascii="Times New Roman" w:cs="Times New Roman" w:eastAsia="Times New Roman" w:hAnsi="Times New Roman"/>
          <w:sz w:val="14"/>
          <w:szCs w:val="14"/>
          <w:color w:val="auto"/>
        </w:rPr>
        <w:t>. The information contained in, or that can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24"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spacing w:after="0" w:line="59" w:lineRule="exact"/>
        <w:rPr>
          <w:sz w:val="20"/>
          <w:szCs w:val="20"/>
          <w:color w:val="auto"/>
        </w:rPr>
      </w:pPr>
    </w:p>
    <w:p>
      <w:pPr>
        <w:ind w:left="1740" w:right="1399" w:hanging="138"/>
        <w:spacing w:after="0" w:line="260" w:lineRule="auto"/>
        <w:tabs>
          <w:tab w:leader="none" w:pos="1740" w:val="left"/>
        </w:tabs>
        <w:numPr>
          <w:ilvl w:val="0"/>
          <w:numId w:val="7"/>
        </w:numPr>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u w:val="single" w:color="auto"/>
            <w:color w:val="0000EE"/>
          </w:rPr>
          <w:t>Our Annual Report on Form 10-K for the fiscal year ended December 28, 2025, as filed with the</w:t>
        </w:r>
      </w:hyperlink>
      <w:r>
        <w:rPr>
          <w:rFonts w:ascii="Times New Roman" w:cs="Times New Roman" w:eastAsia="Times New Roman" w:hAnsi="Times New Roman"/>
          <w:sz w:val="14"/>
          <w:szCs w:val="14"/>
          <w:u w:val="single" w:color="auto"/>
          <w:color w:val="0000EE"/>
        </w:rPr>
        <w:t xml:space="preserve"> </w:t>
      </w:r>
      <w:hyperlink r:id="rId42">
        <w:r>
          <w:rPr>
            <w:rFonts w:ascii="Times New Roman" w:cs="Times New Roman" w:eastAsia="Times New Roman" w:hAnsi="Times New Roman"/>
            <w:sz w:val="14"/>
            <w:szCs w:val="14"/>
            <w:u w:val="single" w:color="auto"/>
            <w:color w:val="0000EE"/>
          </w:rPr>
          <w:t>SEC on March 30,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(including the portions of the Company’s proxy statement on</w:t>
        </w:r>
        <w:r>
          <w:rPr>
            <w:rFonts w:ascii="Times New Roman" w:cs="Times New Roman" w:eastAsia="Times New Roman" w:hAnsi="Times New Roman"/>
            <w:sz w:val="14"/>
            <w:szCs w:val="14"/>
            <w:color w:val="0000EE"/>
          </w:rPr>
          <w:t xml:space="preserve"> </w:t>
        </w:r>
      </w:hyperlink>
      <w:hyperlink r:id="rId43">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the Company’s 2026 Annual Meeting of Stockholders filed with the SEC on April 23, 2026 that are incorporated by reference therein);</w:t>
      </w:r>
    </w:p>
    <w:p>
      <w:pPr>
        <w:spacing w:after="0" w:line="55" w:lineRule="exact"/>
        <w:rPr>
          <w:rFonts w:ascii="Times New Roman" w:cs="Times New Roman" w:eastAsia="Times New Roman" w:hAnsi="Times New Roman"/>
          <w:sz w:val="14"/>
          <w:szCs w:val="14"/>
          <w:color w:val="0000EE"/>
        </w:rPr>
      </w:pPr>
    </w:p>
    <w:p>
      <w:pPr>
        <w:ind w:left="1740" w:right="1419" w:hanging="138"/>
        <w:spacing w:after="0" w:line="281" w:lineRule="auto"/>
        <w:tabs>
          <w:tab w:leader="none" w:pos="1740" w:val="left"/>
        </w:tabs>
        <w:numPr>
          <w:ilvl w:val="0"/>
          <w:numId w:val="7"/>
        </w:numPr>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u w:val="single" w:color="auto"/>
            <w:color w:val="0000EE"/>
          </w:rPr>
          <w:t>Our Quarterly Report on Form 10-Q for the quarter ended March 29, 2026, as filed with the SEC on</w:t>
        </w:r>
      </w:hyperlink>
      <w:r>
        <w:rPr>
          <w:rFonts w:ascii="Times New Roman" w:cs="Times New Roman" w:eastAsia="Times New Roman" w:hAnsi="Times New Roman"/>
          <w:sz w:val="14"/>
          <w:szCs w:val="14"/>
          <w:u w:val="single" w:color="auto"/>
          <w:color w:val="0000EE"/>
        </w:rPr>
        <w:t xml:space="preserve"> </w:t>
      </w:r>
      <w:hyperlink r:id="rId44">
        <w:r>
          <w:rPr>
            <w:rFonts w:ascii="Times New Roman" w:cs="Times New Roman" w:eastAsia="Times New Roman" w:hAnsi="Times New Roman"/>
            <w:sz w:val="14"/>
            <w:szCs w:val="14"/>
            <w:u w:val="single" w:color="auto"/>
            <w:color w:val="0000EE"/>
          </w:rPr>
          <w:t>May 13, 2026</w:t>
        </w:r>
        <w:r>
          <w:rPr>
            <w:rFonts w:ascii="Times New Roman" w:cs="Times New Roman" w:eastAsia="Times New Roman" w:hAnsi="Times New Roman"/>
            <w:sz w:val="14"/>
            <w:szCs w:val="14"/>
            <w:color w:val="000000"/>
          </w:rPr>
          <w:t>;</w:t>
        </w:r>
      </w:hyperlink>
    </w:p>
    <w:p>
      <w:pPr>
        <w:spacing w:after="0" w:line="41" w:lineRule="exact"/>
        <w:rPr>
          <w:rFonts w:ascii="Times New Roman" w:cs="Times New Roman" w:eastAsia="Times New Roman" w:hAnsi="Times New Roman"/>
          <w:sz w:val="14"/>
          <w:szCs w:val="14"/>
          <w:color w:val="0000EE"/>
        </w:rPr>
      </w:pPr>
    </w:p>
    <w:p>
      <w:pPr>
        <w:ind w:left="1740" w:right="1819" w:hanging="138"/>
        <w:spacing w:after="0" w:line="281" w:lineRule="auto"/>
        <w:tabs>
          <w:tab w:leader="none" w:pos="1740" w:val="left"/>
        </w:tabs>
        <w:numPr>
          <w:ilvl w:val="0"/>
          <w:numId w:val="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45">
        <w:r>
          <w:rPr>
            <w:rFonts w:ascii="Times New Roman" w:cs="Times New Roman" w:eastAsia="Times New Roman" w:hAnsi="Times New Roman"/>
            <w:sz w:val="14"/>
            <w:szCs w:val="14"/>
            <w:u w:val="single" w:color="auto"/>
            <w:color w:val="0000EE"/>
          </w:rPr>
          <w:t>January 22, 2026</w:t>
        </w:r>
      </w:hyperlink>
      <w:r>
        <w:rPr>
          <w:rFonts w:ascii="Times New Roman" w:cs="Times New Roman" w:eastAsia="Times New Roman" w:hAnsi="Times New Roman"/>
          <w:sz w:val="14"/>
          <w:szCs w:val="14"/>
          <w:color w:val="auto"/>
        </w:rPr>
        <w:t xml:space="preserve">, </w:t>
      </w:r>
      <w:hyperlink r:id="rId46">
        <w:r>
          <w:rPr>
            <w:rFonts w:ascii="Times New Roman" w:cs="Times New Roman" w:eastAsia="Times New Roman" w:hAnsi="Times New Roman"/>
            <w:sz w:val="14"/>
            <w:szCs w:val="14"/>
            <w:u w:val="single" w:color="auto"/>
            <w:color w:val="0000EE"/>
          </w:rPr>
          <w:t>February 5, 2026</w:t>
        </w:r>
      </w:hyperlink>
      <w:r>
        <w:rPr>
          <w:rFonts w:ascii="Times New Roman" w:cs="Times New Roman" w:eastAsia="Times New Roman" w:hAnsi="Times New Roman"/>
          <w:sz w:val="14"/>
          <w:szCs w:val="14"/>
          <w:color w:val="auto"/>
        </w:rPr>
        <w:t xml:space="preserve">, </w:t>
      </w:r>
      <w:hyperlink r:id="rId47">
        <w:r>
          <w:rPr>
            <w:rFonts w:ascii="Times New Roman" w:cs="Times New Roman" w:eastAsia="Times New Roman" w:hAnsi="Times New Roman"/>
            <w:sz w:val="14"/>
            <w:szCs w:val="14"/>
            <w:u w:val="single" w:color="auto"/>
            <w:color w:val="0000EE"/>
          </w:rPr>
          <w:t>May 28,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48">
        <w:r>
          <w:rPr>
            <w:rFonts w:ascii="Times New Roman" w:cs="Times New Roman" w:eastAsia="Times New Roman" w:hAnsi="Times New Roman"/>
            <w:sz w:val="14"/>
            <w:szCs w:val="14"/>
            <w:u w:val="single" w:color="auto"/>
            <w:color w:val="0000EE"/>
          </w:rPr>
          <w:t>June 10,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41" w:lineRule="exact"/>
        <w:rPr>
          <w:rFonts w:ascii="Times New Roman" w:cs="Times New Roman" w:eastAsia="Times New Roman" w:hAnsi="Times New Roman"/>
          <w:sz w:val="14"/>
          <w:szCs w:val="14"/>
          <w:color w:val="0000EE"/>
        </w:rPr>
      </w:pPr>
    </w:p>
    <w:p>
      <w:pPr>
        <w:ind w:left="1740" w:right="1419" w:hanging="138"/>
        <w:spacing w:after="0" w:line="260" w:lineRule="auto"/>
        <w:tabs>
          <w:tab w:leader="none" w:pos="1740" w:val="left"/>
        </w:tabs>
        <w:numPr>
          <w:ilvl w:val="0"/>
          <w:numId w:val="7"/>
        </w:numPr>
        <w:rPr>
          <w:rFonts w:ascii="Times New Roman" w:cs="Times New Roman" w:eastAsia="Times New Roman" w:hAnsi="Times New Roman"/>
          <w:sz w:val="14"/>
          <w:szCs w:val="14"/>
          <w:color w:val="0000EE"/>
        </w:rPr>
      </w:pPr>
      <w:hyperlink r:id="rId49">
        <w:r>
          <w:rPr>
            <w:rFonts w:ascii="Times New Roman" w:cs="Times New Roman" w:eastAsia="Times New Roman" w:hAnsi="Times New Roman"/>
            <w:sz w:val="14"/>
            <w:szCs w:val="14"/>
            <w:color w:val="auto"/>
          </w:rPr>
          <w:t xml:space="preserve">The description of our Common Stock, which is contained in our Registration Statement on </w:t>
        </w:r>
        <w:r>
          <w:rPr>
            <w:rFonts w:ascii="Times New Roman" w:cs="Times New Roman" w:eastAsia="Times New Roman" w:hAnsi="Times New Roman"/>
            <w:sz w:val="14"/>
            <w:szCs w:val="14"/>
            <w:u w:val="single" w:color="auto"/>
            <w:color w:val="0000EE"/>
          </w:rPr>
          <w:t>Form 8-</w:t>
        </w:r>
      </w:hyperlink>
      <w:hyperlink r:id="rId49">
        <w:r>
          <w:rPr>
            <w:rFonts w:ascii="Times New Roman" w:cs="Times New Roman" w:eastAsia="Times New Roman" w:hAnsi="Times New Roman"/>
            <w:sz w:val="14"/>
            <w:szCs w:val="14"/>
            <w:u w:val="single" w:color="auto"/>
            <w:color w:val="0000EE"/>
          </w:rPr>
          <w:t>A, filed with the SEC on November 10, 2021</w:t>
        </w:r>
        <w:r>
          <w:rPr>
            <w:rFonts w:ascii="Times New Roman" w:cs="Times New Roman" w:eastAsia="Times New Roman" w:hAnsi="Times New Roman"/>
            <w:sz w:val="14"/>
            <w:szCs w:val="14"/>
            <w:color w:val="000000"/>
          </w:rPr>
          <w:t>, as updated by</w:t>
        </w:r>
        <w:r>
          <w:rPr>
            <w:rFonts w:ascii="Times New Roman" w:cs="Times New Roman" w:eastAsia="Times New Roman" w:hAnsi="Times New Roman"/>
            <w:sz w:val="14"/>
            <w:szCs w:val="14"/>
            <w:color w:val="0000EE"/>
          </w:rPr>
          <w:t xml:space="preserve"> </w:t>
        </w:r>
      </w:hyperlink>
      <w:hyperlink r:id="rId50">
        <w:r>
          <w:rPr>
            <w:rFonts w:ascii="Times New Roman" w:cs="Times New Roman" w:eastAsia="Times New Roman" w:hAnsi="Times New Roman"/>
            <w:sz w:val="14"/>
            <w:szCs w:val="14"/>
            <w:u w:val="single" w:color="auto"/>
            <w:color w:val="0000EE"/>
          </w:rPr>
          <w:t xml:space="preserve">Exhibit 4.3 </w:t>
        </w:r>
      </w:hyperlink>
      <w:hyperlink r:id="rId49">
        <w:r>
          <w:rPr>
            <w:rFonts w:ascii="Times New Roman" w:cs="Times New Roman" w:eastAsia="Times New Roman" w:hAnsi="Times New Roman"/>
            <w:sz w:val="14"/>
            <w:szCs w:val="14"/>
            <w:color w:val="000000"/>
          </w:rPr>
          <w:t>to our Annual Report on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Form 10-K for the fiscal year ended January 2, 2022, filed with the SEC on March 31, 2022, including any amendments or reports filed for the purpose of updating such description.</w:t>
      </w:r>
    </w:p>
    <w:p>
      <w:pPr>
        <w:spacing w:after="0" w:line="87" w:lineRule="exact"/>
        <w:rPr>
          <w:rFonts w:ascii="Times New Roman" w:cs="Times New Roman" w:eastAsia="Times New Roman" w:hAnsi="Times New Roman"/>
          <w:sz w:val="14"/>
          <w:szCs w:val="14"/>
          <w:color w:val="0000EE"/>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w:t>
      </w:r>
    </w:p>
    <w:p>
      <w:pPr>
        <w:spacing w:after="0" w:line="82" w:lineRule="exact"/>
        <w:rPr>
          <w:rFonts w:ascii="Times New Roman" w:cs="Times New Roman" w:eastAsia="Times New Roman" w:hAnsi="Times New Roman"/>
          <w:sz w:val="14"/>
          <w:szCs w:val="14"/>
          <w:color w:val="0000EE"/>
        </w:rPr>
      </w:pPr>
    </w:p>
    <w:p>
      <w:pPr>
        <w:ind w:left="1320" w:right="1359" w:firstLine="279"/>
        <w:spacing w:after="0" w:line="260" w:lineRule="auto"/>
        <w:rPr>
          <w:sz w:val="20"/>
          <w:szCs w:val="20"/>
          <w:color w:val="auto"/>
        </w:rPr>
      </w:pPr>
      <w:r>
        <w:rPr>
          <w:rFonts w:ascii="Times New Roman" w:cs="Times New Roman" w:eastAsia="Times New Roman" w:hAnsi="Times New Roman"/>
          <w:sz w:val="14"/>
          <w:szCs w:val="14"/>
          <w:color w:val="auto"/>
        </w:rPr>
        <w:t>We will provide, without charge, to any person, including any beneficial owner, to whom a copy of this prospectus is delivered, upon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spacing w:after="0" w:line="87" w:lineRule="exact"/>
        <w:rPr>
          <w:rFonts w:ascii="Times New Roman" w:cs="Times New Roman" w:eastAsia="Times New Roman" w:hAnsi="Times New Roman"/>
          <w:sz w:val="14"/>
          <w:szCs w:val="14"/>
          <w:color w:val="0000EE"/>
        </w:rPr>
      </w:pPr>
    </w:p>
    <w:p>
      <w:pPr>
        <w:ind w:left="1600"/>
        <w:spacing w:after="0"/>
        <w:rPr>
          <w:sz w:val="20"/>
          <w:szCs w:val="20"/>
          <w:color w:val="auto"/>
        </w:rPr>
      </w:pPr>
      <w:r>
        <w:rPr>
          <w:rFonts w:ascii="Times New Roman" w:cs="Times New Roman" w:eastAsia="Times New Roman" w:hAnsi="Times New Roman"/>
          <w:sz w:val="14"/>
          <w:szCs w:val="14"/>
          <w:color w:val="auto"/>
        </w:rPr>
        <w:t>Please make your request by writing us at the following address:</w:t>
      </w:r>
    </w:p>
    <w:p>
      <w:pPr>
        <w:spacing w:after="0" w:line="122"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Lulu’s Fashion Lounge Holdings, Inc.</w:t>
      </w:r>
    </w:p>
    <w:p>
      <w:pPr>
        <w:spacing w:after="0" w:line="21"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495 Ryan Avenue, Suite 125</w:t>
      </w:r>
    </w:p>
    <w:p>
      <w:pPr>
        <w:spacing w:after="0" w:line="6"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Chico, California 95973</w:t>
      </w:r>
    </w:p>
    <w:p>
      <w:pPr>
        <w:spacing w:after="0" w:line="6"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Telephone: (530) 343-3545</w:t>
      </w:r>
    </w:p>
    <w:p>
      <w:pPr>
        <w:spacing w:after="0" w:line="6"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Attn: Naomi Beckman-Straus, Corporate Secretary</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329"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36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-3810</wp:posOffset>
            </wp:positionV>
            <wp:extent cx="403987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4039870" cy="1333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34925</wp:posOffset>
            </wp:positionV>
            <wp:extent cx="403987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039870" cy="6350"/>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892175</wp:posOffset>
            </wp:positionV>
            <wp:extent cx="1541780" cy="5981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541780" cy="59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$7,500,000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864235</wp:posOffset>
            </wp:positionV>
            <wp:extent cx="403987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0398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3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1905</wp:posOffset>
            </wp:positionV>
            <wp:extent cx="403987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039870" cy="1333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195580</wp:posOffset>
            </wp:positionV>
            <wp:extent cx="530161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24" w:lineRule="exact"/>
        <w:rPr>
          <w:sz w:val="20"/>
          <w:szCs w:val="20"/>
          <w:color w:val="auto"/>
        </w:rPr>
      </w:pPr>
    </w:p>
    <w:p>
      <w:pPr>
        <w:ind w:left="1320" w:right="1599" w:firstLine="279"/>
        <w:spacing w:after="0" w:line="252" w:lineRule="auto"/>
        <w:rPr>
          <w:sz w:val="20"/>
          <w:szCs w:val="20"/>
          <w:color w:val="auto"/>
        </w:rPr>
      </w:pPr>
      <w:r>
        <w:rPr>
          <w:rFonts w:ascii="Times New Roman" w:cs="Times New Roman" w:eastAsia="Times New Roman" w:hAnsi="Times New Roman"/>
          <w:sz w:val="14"/>
          <w:szCs w:val="14"/>
          <w:color w:val="auto"/>
        </w:rPr>
        <w:t>The following table sets forth all fees and expenses payable by the registrant in connection with the issuance and distribution of the securities registered hereby (other than underwriting discounts and</w:t>
      </w:r>
    </w:p>
    <w:p>
      <w:pPr>
        <w:sectPr>
          <w:pgSz w:w="11900" w:h="16838" w:orient="portrait"/>
          <w:cols w:equalWidth="0" w:num="1">
            <w:col w:w="9019"/>
          </w:cols>
          <w:pgMar w:left="1440" w:top="104" w:right="1440" w:bottom="1440" w:gutter="0" w:footer="0" w:header="0"/>
        </w:sectPr>
      </w:pP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commissions). All amounts are estimated.</w:t>
      </w:r>
    </w:p>
    <w:p>
      <w:pPr>
        <w:spacing w:after="0" w:line="10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SEC​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-85725</wp:posOffset>
            </wp:positionV>
            <wp:extent cx="3681095" cy="933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681095" cy="93345"/>
                    </a:xfrm>
                    <a:prstGeom prst="rect">
                      <a:avLst/>
                    </a:prstGeom>
                    <a:noFill/>
                  </pic:spPr>
                </pic:pic>
              </a:graphicData>
            </a:graphic>
          </wp:anchor>
        </w:drawing>
      </w:r>
    </w:p>
    <w:p>
      <w:pPr>
        <w:spacing w:after="0" w:line="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10795</wp:posOffset>
            </wp:positionV>
            <wp:extent cx="3681095" cy="126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681095" cy="126365"/>
                    </a:xfrm>
                    <a:prstGeom prst="rect">
                      <a:avLst/>
                    </a:prstGeom>
                    <a:noFill/>
                  </pic:spPr>
                </pic:pic>
              </a:graphicData>
            </a:graphic>
          </wp:anchor>
        </w:drawing>
      </w:r>
    </w:p>
    <w:p>
      <w:pPr>
        <w:spacing w:after="0" w:line="1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Legal​ Fees and Expenses</w:t>
      </w:r>
    </w:p>
    <w:p>
      <w:pPr>
        <w:ind w:left="1600"/>
        <w:spacing w:after="0" w:line="191" w:lineRule="auto"/>
        <w:rPr>
          <w:sz w:val="20"/>
          <w:szCs w:val="20"/>
          <w:color w:val="auto"/>
        </w:rPr>
      </w:pPr>
      <w:r>
        <w:rPr>
          <w:rFonts w:ascii="Times New Roman" w:cs="Times New Roman" w:eastAsia="Times New Roman" w:hAnsi="Times New Roman"/>
          <w:sz w:val="14"/>
          <w:szCs w:val="14"/>
          <w:color w:val="auto"/>
        </w:rPr>
        <w:t>Miscellaneous</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-12700</wp:posOffset>
            </wp:positionV>
            <wp:extent cx="3681095" cy="153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3681095" cy="153035"/>
                    </a:xfrm>
                    <a:prstGeom prst="rect">
                      <a:avLst/>
                    </a:prstGeom>
                    <a:noFill/>
                  </pic:spPr>
                </pic:pic>
              </a:graphicData>
            </a:graphic>
          </wp:anchor>
        </w:drawing>
      </w:r>
    </w:p>
    <w:p>
      <w:pPr>
        <w:ind w:left="1600"/>
        <w:spacing w:after="0" w:line="186" w:lineRule="auto"/>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27"/>
          <w:szCs w:val="27"/>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53340</wp:posOffset>
            </wp:positionV>
            <wp:extent cx="95694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​​$1,035.75​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78"/>
              </w:rPr>
              <w:t>​</w:t>
            </w:r>
            <w:r>
              <w:rPr>
                <w:rFonts w:ascii="Times New Roman" w:cs="Times New Roman" w:eastAsia="Times New Roman" w:hAnsi="Times New Roman"/>
                <w:sz w:val="10"/>
                <w:szCs w:val="10"/>
                <w:color w:val="auto"/>
                <w:w w:val="78"/>
              </w:rPr>
              <w:t>*</w:t>
            </w:r>
          </w:p>
        </w:tc>
      </w:tr>
      <w:tr>
        <w:trPr>
          <w:trHeight w:val="199"/>
        </w:trPr>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78"/>
              </w:rPr>
              <w:t>​</w:t>
            </w:r>
            <w:r>
              <w:rPr>
                <w:rFonts w:ascii="Times New Roman" w:cs="Times New Roman" w:eastAsia="Times New Roman" w:hAnsi="Times New Roman"/>
                <w:sz w:val="10"/>
                <w:szCs w:val="10"/>
                <w:color w:val="auto"/>
                <w:w w:val="78"/>
              </w:rPr>
              <w:t>*</w:t>
            </w:r>
          </w:p>
        </w:tc>
      </w:tr>
      <w:tr>
        <w:trPr>
          <w:trHeight w:val="193"/>
        </w:trPr>
        <w:tc>
          <w:tcPr>
            <w:tcW w:w="700" w:type="dxa"/>
            <w:vAlign w:val="bottom"/>
            <w:gridSpan w:val="2"/>
          </w:tcPr>
          <w:p>
            <w:pPr>
              <w:jc w:val="right"/>
              <w:ind w:right="500"/>
              <w:spacing w:after="0" w:line="19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2"/>
                <w:szCs w:val="22"/>
                <w:color w:val="auto"/>
                <w:vertAlign w:val="superscript"/>
              </w:rPr>
              <w:t>$</w:t>
            </w:r>
          </w:p>
        </w:tc>
        <w:tc>
          <w:tcPr>
            <w:tcW w:w="6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w w:val="71"/>
                <w:vertAlign w:val="subscript"/>
              </w:rPr>
              <w:t>​</w:t>
            </w:r>
            <w:r>
              <w:rPr>
                <w:rFonts w:ascii="Times New Roman" w:cs="Times New Roman" w:eastAsia="Times New Roman" w:hAnsi="Times New Roman"/>
                <w:sz w:val="11"/>
                <w:szCs w:val="11"/>
                <w:color w:val="auto"/>
                <w:w w:val="71"/>
              </w:rPr>
              <w:t>*</w:t>
            </w: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47"/>
        </w:trPr>
        <w:tc>
          <w:tcPr>
            <w:tcW w:w="700" w:type="dxa"/>
            <w:vAlign w:val="bottom"/>
            <w:gridSpan w:val="2"/>
          </w:tcPr>
          <w:p>
            <w:pPr>
              <w:jc w:val="right"/>
              <w:ind w:right="5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79"/>
              </w:rPr>
              <w:t>​*</w:t>
            </w:r>
          </w:p>
        </w:tc>
      </w:tr>
      <w:tr>
        <w:trPr>
          <w:trHeight w:val="52"/>
        </w:trPr>
        <w:tc>
          <w:tcPr>
            <w:tcW w:w="700" w:type="dxa"/>
            <w:vAlign w:val="bottom"/>
            <w:gridSpan w:val="2"/>
          </w:tcPr>
          <w:p>
            <w:pPr>
              <w:jc w:val="right"/>
              <w:ind w:right="540"/>
              <w:spacing w:after="0" w:line="33" w:lineRule="exact"/>
              <w:rPr>
                <w:sz w:val="20"/>
                <w:szCs w:val="20"/>
                <w:color w:val="auto"/>
              </w:rPr>
            </w:pPr>
            <w:r>
              <w:rPr>
                <w:rFonts w:ascii="Times New Roman" w:cs="Times New Roman" w:eastAsia="Times New Roman" w:hAnsi="Times New Roman"/>
                <w:sz w:val="3"/>
                <w:szCs w:val="3"/>
                <w:color w:val="auto"/>
              </w:rPr>
              <w:t>​ ​​</w:t>
            </w:r>
          </w:p>
        </w:tc>
        <w:tc>
          <w:tcPr>
            <w:tcW w:w="60" w:type="dxa"/>
            <w:vAlign w:val="bottom"/>
            <w:gridSpan w:val="2"/>
          </w:tcPr>
          <w:p>
            <w:pPr>
              <w:spacing w:after="0" w:line="33" w:lineRule="exact"/>
              <w:rPr>
                <w:sz w:val="20"/>
                <w:szCs w:val="20"/>
                <w:color w:val="auto"/>
              </w:rPr>
            </w:pPr>
            <w:r>
              <w:rPr>
                <w:rFonts w:ascii="Times New Roman" w:cs="Times New Roman" w:eastAsia="Times New Roman" w:hAnsi="Times New Roman"/>
                <w:sz w:val="3"/>
                <w:szCs w:val="3"/>
                <w:color w:val="auto"/>
              </w:rPr>
              <w:t>​</w:t>
            </w: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5980" w:space="720"/>
            <w:col w:w="2319"/>
          </w:cols>
          <w:pgMar w:left="1440" w:top="104" w:right="1440" w:bottom="1440" w:gutter="0" w:footer="0" w:header="0"/>
          <w:type w:val="continuous"/>
        </w:sectPr>
      </w:pPr>
    </w:p>
    <w:p>
      <w:pPr>
        <w:ind w:left="1600" w:right="1559" w:hanging="277"/>
        <w:spacing w:after="0" w:line="281" w:lineRule="auto"/>
        <w:tabs>
          <w:tab w:leader="none" w:pos="1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number of issuances and the amount of securities offered and accordingly cannot be estimated at this time.</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24" w:lineRule="exact"/>
        <w:rPr>
          <w:sz w:val="20"/>
          <w:szCs w:val="20"/>
          <w:color w:val="auto"/>
        </w:rPr>
      </w:pPr>
    </w:p>
    <w:p>
      <w:pPr>
        <w:ind w:left="1320" w:right="1359" w:firstLine="279"/>
        <w:spacing w:after="0"/>
        <w:rPr>
          <w:sz w:val="20"/>
          <w:szCs w:val="20"/>
          <w:color w:val="auto"/>
        </w:rPr>
      </w:pPr>
      <w:r>
        <w:rPr>
          <w:rFonts w:ascii="Times New Roman" w:cs="Times New Roman" w:eastAsia="Times New Roman" w:hAnsi="Times New Roman"/>
          <w:sz w:val="14"/>
          <w:szCs w:val="14"/>
          <w:color w:val="auto"/>
        </w:rPr>
        <w:t>We are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 The Registrant’s Certificate of Incorporation and Bylaws provide for indemnification by the Registrant of its directors and officers to the fullest extent permitted by the DGCL.</w:t>
      </w:r>
    </w:p>
    <w:p>
      <w:pPr>
        <w:spacing w:after="0" w:line="200" w:lineRule="exact"/>
        <w:rPr>
          <w:sz w:val="20"/>
          <w:szCs w:val="20"/>
          <w:color w:val="auto"/>
        </w:rPr>
      </w:pPr>
    </w:p>
    <w:p>
      <w:pPr>
        <w:spacing w:after="0" w:line="222"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Section 102(b)(7) of the DGCL permits a corporation to provide in its Certificate of Incorporation that a director or, subject to statutory limitations, certain officers of the corporation shall not be personally liable to the corporation or its stockholders for monetary damages for breach of fiduciary duty as a director or officer, as applicable, except for liability (1) for any breach of duty of loyalty to the corporation or its stockholders, (2) for acts or omissions not in good faith or which involve intentional misconduct or a knowing violation of law, (3) for unlawful payments of dividends or unlawful stock repurchases, redemptions or other distributions, (4) for any transaction from which the director derived an improper personal benefit, or (5) in the case of certain officers, for any action by or in the right of the corporation. The Registrant’s Certificate of Incorporation provides for such limitation of director and officer liability to the fullest extent permitted by the DGCL.</w:t>
      </w:r>
    </w:p>
    <w:p>
      <w:pPr>
        <w:spacing w:after="0" w:line="262" w:lineRule="exact"/>
        <w:rPr>
          <w:sz w:val="20"/>
          <w:szCs w:val="20"/>
          <w:color w:val="auto"/>
        </w:rPr>
      </w:pPr>
    </w:p>
    <w:p>
      <w:pPr>
        <w:ind w:left="1320" w:right="1379" w:firstLine="279"/>
        <w:spacing w:after="0" w:line="281" w:lineRule="auto"/>
        <w:rPr>
          <w:sz w:val="20"/>
          <w:szCs w:val="20"/>
          <w:color w:val="auto"/>
        </w:rPr>
      </w:pPr>
      <w:r>
        <w:rPr>
          <w:rFonts w:ascii="Times New Roman" w:cs="Times New Roman" w:eastAsia="Times New Roman" w:hAnsi="Times New Roman"/>
          <w:sz w:val="14"/>
          <w:szCs w:val="14"/>
          <w:color w:val="auto"/>
        </w:rPr>
        <w:t>We have entered into separate indemnification agreements with each of our directors and our executive officers. In some cases, the provisions of our indemnification agreements with our directors and executive</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23" w:name="page24"/>
    <w:bookmarkEnd w:id="2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39"/>
        <w:spacing w:after="0" w:line="281" w:lineRule="auto"/>
        <w:rPr>
          <w:sz w:val="20"/>
          <w:szCs w:val="20"/>
          <w:color w:val="auto"/>
        </w:rPr>
      </w:pPr>
      <w:r>
        <w:rPr>
          <w:rFonts w:ascii="Times New Roman" w:cs="Times New Roman" w:eastAsia="Times New Roman" w:hAnsi="Times New Roman"/>
          <w:sz w:val="14"/>
          <w:szCs w:val="14"/>
          <w:color w:val="auto"/>
        </w:rPr>
        <w:t>officers may be broader than the specific indemnification provisions contained under Delaware law. The registrant maintains directors’ and officers’ liability insurance for the benefit of its directors and officers.</w:t>
      </w:r>
    </w:p>
    <w:p>
      <w:pPr>
        <w:spacing w:after="0" w:line="73"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The DGCL, our Certificate of Incorporation and Bylaws provide that we shall indemnify our current and former officers and directors, and may indemnify our current and former employees or agents, against and advance expenses actually and reasonably incurred by them, in connection with the defense of any legal proceeding or threatened legal proceeding, in each case to the fullest extent permitted by law. These provisions are sufficiently broad to permit the indemnification of such persons in certain circumstances against liabilities arising under the Securities Act.</w:t>
      </w:r>
    </w:p>
    <w:p>
      <w:pPr>
        <w:spacing w:after="0" w:line="93" w:lineRule="exact"/>
        <w:rPr>
          <w:sz w:val="20"/>
          <w:szCs w:val="20"/>
          <w:color w:val="auto"/>
        </w:rPr>
      </w:pPr>
    </w:p>
    <w:p>
      <w:pPr>
        <w:ind w:left="1320" w:right="1619" w:firstLine="279"/>
        <w:spacing w:after="0" w:line="260"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and officers, and to persons controlling our Company pursuant to the foregoing provisions, we have been informed that in the opinion of the SEC, such indemnification is against public policy as expressed in the Securities Act and is therefore unenforceable.</w:t>
      </w:r>
    </w:p>
    <w:p>
      <w:pPr>
        <w:spacing w:after="0" w:line="13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2860" w:type="dxa"/>
            <w:vAlign w:val="bottom"/>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15"/>
          </w:tcPr>
          <w:p>
            <w:pPr>
              <w:ind w:left="580"/>
              <w:spacing w:after="0"/>
              <w:rPr>
                <w:sz w:val="20"/>
                <w:szCs w:val="20"/>
                <w:color w:val="auto"/>
              </w:rPr>
            </w:pPr>
            <w:r>
              <w:rPr>
                <w:rFonts w:ascii="Times New Roman" w:cs="Times New Roman" w:eastAsia="Times New Roman" w:hAnsi="Times New Roman"/>
                <w:sz w:val="14"/>
                <w:szCs w:val="14"/>
                <w:b w:val="1"/>
                <w:bCs w:val="1"/>
                <w:color w:val="auto"/>
                <w:w w:val="94"/>
              </w:rPr>
              <w:t>INDEX TO EXHIBITS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Filed/​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Furnished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20" w:type="dxa"/>
            <w:vAlign w:val="bottom"/>
            <w:gridSpan w:val="3"/>
          </w:tcPr>
          <w:p>
            <w:pPr>
              <w:spacing w:after="0" w:line="166" w:lineRule="exact"/>
              <w:rPr>
                <w:sz w:val="20"/>
                <w:szCs w:val="20"/>
                <w:color w:val="auto"/>
              </w:rPr>
            </w:pPr>
            <w:r>
              <w:rPr>
                <w:rFonts w:ascii="Times New Roman" w:cs="Times New Roman" w:eastAsia="Times New Roman" w:hAnsi="Times New Roman"/>
                <w:sz w:val="10"/>
                <w:szCs w:val="10"/>
                <w:b w:val="1"/>
                <w:bCs w:val="1"/>
                <w:color w:val="auto"/>
              </w:rPr>
              <w:t>Number</w:t>
            </w:r>
            <w:r>
              <w:rPr>
                <w:rFonts w:ascii="Times New Roman" w:cs="Times New Roman" w:eastAsia="Times New Roman" w:hAnsi="Times New Roman"/>
                <w:sz w:val="19"/>
                <w:szCs w:val="19"/>
                <w:b w:val="1"/>
                <w:bCs w:val="1"/>
                <w:color w:val="auto"/>
                <w:vertAlign w:val="subscript"/>
              </w:rPr>
              <w:t>​​</w:t>
            </w:r>
          </w:p>
        </w:tc>
        <w:tc>
          <w:tcPr>
            <w:tcW w:w="2860" w:type="dxa"/>
            <w:vAlign w:val="bottom"/>
            <w:gridSpan w:val="14"/>
          </w:tcPr>
          <w:p>
            <w:pPr>
              <w:ind w:left="10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540" w:type="dxa"/>
            <w:vAlign w:val="bottom"/>
            <w:gridSpan w:val="5"/>
          </w:tcPr>
          <w:p>
            <w:pPr>
              <w:ind w:left="2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Form </w:t>
            </w:r>
            <w:r>
              <w:rPr>
                <w:rFonts w:ascii="Times New Roman" w:cs="Times New Roman" w:eastAsia="Times New Roman" w:hAnsi="Times New Roman"/>
                <w:sz w:val="19"/>
                <w:szCs w:val="19"/>
                <w:b w:val="1"/>
                <w:bCs w:val="1"/>
                <w:color w:val="auto"/>
                <w:vertAlign w:val="subscript"/>
              </w:rPr>
              <w:t>​​</w:t>
            </w:r>
          </w:p>
        </w:tc>
        <w:tc>
          <w:tcPr>
            <w:tcW w:w="6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8"/>
              </w:rPr>
              <w:t>File No.</w:t>
            </w:r>
          </w:p>
        </w:tc>
        <w:tc>
          <w:tcPr>
            <w:tcW w:w="52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Exhibit </w:t>
            </w:r>
            <w:r>
              <w:rPr>
                <w:rFonts w:ascii="Times New Roman" w:cs="Times New Roman" w:eastAsia="Times New Roman" w:hAnsi="Times New Roman"/>
                <w:sz w:val="19"/>
                <w:szCs w:val="19"/>
                <w:b w:val="1"/>
                <w:bCs w:val="1"/>
                <w:color w:val="auto"/>
                <w:vertAlign w:val="subscript"/>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c>
          <w:tcPr>
            <w:tcW w:w="580" w:type="dxa"/>
            <w:vAlign w:val="bottom"/>
            <w:gridSpan w:val="3"/>
          </w:tcPr>
          <w:p>
            <w:pPr>
              <w:jc w:val="right"/>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Herewith </w:t>
            </w:r>
            <w:r>
              <w:rPr>
                <w:rFonts w:ascii="Times New Roman" w:cs="Times New Roman" w:eastAsia="Times New Roman" w:hAnsi="Times New Roman"/>
                <w:sz w:val="19"/>
                <w:szCs w:val="19"/>
                <w:b w:val="1"/>
                <w:bCs w:val="1"/>
                <w:color w:val="auto"/>
                <w:vertAlign w:val="subscript"/>
              </w:rPr>
              <w:t>​</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85"/>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1.1</w:t>
            </w:r>
          </w:p>
        </w:tc>
        <w:tc>
          <w:tcPr>
            <w:tcW w:w="3080" w:type="dxa"/>
            <w:vAlign w:val="bottom"/>
            <w:gridSpan w:val="16"/>
          </w:tcPr>
          <w:p>
            <w:pPr>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Form of Underwriting Agreement*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6"/>
                <w:szCs w:val="16"/>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continue"/>
          </w:tcPr>
          <w:p>
            <w:pPr>
              <w:spacing w:after="0"/>
              <w:rPr>
                <w:sz w:val="16"/>
                <w:szCs w:val="16"/>
                <w:color w:val="auto"/>
              </w:rPr>
            </w:pP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3.1</w:t>
            </w:r>
          </w:p>
        </w:tc>
        <w:tc>
          <w:tcPr>
            <w:tcW w:w="3080" w:type="dxa"/>
            <w:vAlign w:val="bottom"/>
            <w:gridSpan w:val="16"/>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63">
              <w:r>
                <w:rPr>
                  <w:rFonts w:ascii="Times New Roman" w:cs="Times New Roman" w:eastAsia="Times New Roman" w:hAnsi="Times New Roman"/>
                  <w:sz w:val="14"/>
                  <w:szCs w:val="14"/>
                  <w:color w:val="0000EE"/>
                </w:rPr>
                <w:t>Amended and Restated Certificate of Incorporation</w:t>
              </w:r>
            </w:hyperlink>
          </w:p>
        </w:tc>
        <w:tc>
          <w:tcPr>
            <w:tcW w:w="114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​​10-Q ​​ 001-41059</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3.1</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​​12/16/2021 ​​</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tcBorders>
              <w:top w:val="single" w:sz="8" w:color="0000EE"/>
            </w:tcBorders>
            <w:gridSpan w:val="15"/>
          </w:tcPr>
          <w:p>
            <w:pPr>
              <w:spacing w:after="0" w:line="147"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of Lulu’s Fashion Lounge Holdings, Inc.</w:t>
              </w:r>
            </w:hyperlink>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3.2</w:t>
            </w:r>
          </w:p>
        </w:tc>
        <w:tc>
          <w:tcPr>
            <w:tcW w:w="3080" w:type="dxa"/>
            <w:vAlign w:val="bottom"/>
            <w:gridSpan w:val="16"/>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64">
              <w:r>
                <w:rPr>
                  <w:rFonts w:ascii="Times New Roman" w:cs="Times New Roman" w:eastAsia="Times New Roman" w:hAnsi="Times New Roman"/>
                  <w:sz w:val="14"/>
                  <w:szCs w:val="14"/>
                  <w:color w:val="0000EE"/>
                </w:rPr>
                <w:t>Certificate of Amendment to the Amended and</w:t>
              </w:r>
            </w:hyperlink>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8-K</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001-41059</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3.2</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​​06/26/2025 ​​</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Borders>
              <w:top w:val="single" w:sz="8" w:color="0000EE"/>
              <w:bottom w:val="single" w:sz="8" w:color="0000EE"/>
            </w:tcBorders>
            <w:gridSpan w:val="7"/>
          </w:tcPr>
          <w:p>
            <w:pPr>
              <w:spacing w:after="0" w:line="147"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Restated Certificate of Incorporation of the</w:t>
              </w:r>
            </w:hyperlink>
          </w:p>
        </w:tc>
        <w:tc>
          <w:tcPr>
            <w:tcW w:w="200" w:type="dxa"/>
            <w:vAlign w:val="bottom"/>
            <w:tcBorders>
              <w:top w:val="single" w:sz="8" w:color="0000EE"/>
            </w:tcBorders>
          </w:tcPr>
          <w:p>
            <w:pPr>
              <w:spacing w:after="0"/>
              <w:rPr>
                <w:sz w:val="12"/>
                <w:szCs w:val="12"/>
                <w:color w:val="auto"/>
              </w:rPr>
            </w:pPr>
          </w:p>
        </w:tc>
        <w:tc>
          <w:tcPr>
            <w:tcW w:w="300" w:type="dxa"/>
            <w:vAlign w:val="bottom"/>
            <w:gridSpan w:val="7"/>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15"/>
          </w:tcPr>
          <w:p>
            <w:pPr>
              <w:spacing w:after="0" w:line="147"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Registrant, dated as of June 26, 2025.</w:t>
              </w:r>
            </w:hyperlink>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3.3</w:t>
            </w:r>
          </w:p>
        </w:tc>
        <w:tc>
          <w:tcPr>
            <w:tcW w:w="30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Certificate of Amendment to the Amended and</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Borders>
              <w:top w:val="single" w:sz="8" w:color="0000EE"/>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Restated Certificate of Incorporation of the</w:t>
            </w:r>
          </w:p>
        </w:tc>
        <w:tc>
          <w:tcPr>
            <w:tcW w:w="200" w:type="dxa"/>
            <w:vAlign w:val="bottom"/>
            <w:tcBorders>
              <w:top w:val="single" w:sz="8" w:color="0000EE"/>
            </w:tcBorders>
          </w:tcPr>
          <w:p>
            <w:pPr>
              <w:spacing w:after="0"/>
              <w:rPr>
                <w:sz w:val="12"/>
                <w:szCs w:val="12"/>
                <w:color w:val="auto"/>
              </w:rPr>
            </w:pPr>
          </w:p>
        </w:tc>
        <w:tc>
          <w:tcPr>
            <w:tcW w:w="300" w:type="dxa"/>
            <w:vAlign w:val="bottom"/>
            <w:gridSpan w:val="7"/>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rPr>
              <w:t>Registrant, dated as of June 9, 2026.</w:t>
            </w:r>
          </w:p>
        </w:tc>
        <w:tc>
          <w:tcPr>
            <w:tcW w:w="840" w:type="dxa"/>
            <w:vAlign w:val="bottom"/>
            <w:gridSpan w:val="10"/>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3.4</w:t>
            </w:r>
          </w:p>
        </w:tc>
        <w:tc>
          <w:tcPr>
            <w:tcW w:w="30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Certificate of Amendment to the Amended and</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Borders>
              <w:top w:val="single" w:sz="8" w:color="0000EE"/>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Restated Certificate of Incorporation of the</w:t>
            </w:r>
          </w:p>
        </w:tc>
        <w:tc>
          <w:tcPr>
            <w:tcW w:w="200" w:type="dxa"/>
            <w:vAlign w:val="bottom"/>
            <w:tcBorders>
              <w:top w:val="single" w:sz="8" w:color="0000EE"/>
            </w:tcBorders>
          </w:tcPr>
          <w:p>
            <w:pPr>
              <w:spacing w:after="0"/>
              <w:rPr>
                <w:sz w:val="12"/>
                <w:szCs w:val="12"/>
                <w:color w:val="auto"/>
              </w:rPr>
            </w:pPr>
          </w:p>
        </w:tc>
        <w:tc>
          <w:tcPr>
            <w:tcW w:w="300" w:type="dxa"/>
            <w:vAlign w:val="bottom"/>
            <w:gridSpan w:val="7"/>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rPr>
              <w:t>Registrant, dated as of June 9, 2026.</w:t>
            </w:r>
          </w:p>
        </w:tc>
        <w:tc>
          <w:tcPr>
            <w:tcW w:w="840" w:type="dxa"/>
            <w:vAlign w:val="bottom"/>
            <w:gridSpan w:val="10"/>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3.5</w:t>
            </w:r>
          </w:p>
        </w:tc>
        <w:tc>
          <w:tcPr>
            <w:tcW w:w="3080" w:type="dxa"/>
            <w:vAlign w:val="bottom"/>
            <w:gridSpan w:val="16"/>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65">
              <w:r>
                <w:rPr>
                  <w:rFonts w:ascii="Times New Roman" w:cs="Times New Roman" w:eastAsia="Times New Roman" w:hAnsi="Times New Roman"/>
                  <w:sz w:val="14"/>
                  <w:szCs w:val="14"/>
                  <w:color w:val="0000EE"/>
                </w:rPr>
                <w:t>Amended and Restated Bylaws of Lulu’s Fashion</w:t>
              </w:r>
            </w:hyperlink>
          </w:p>
        </w:tc>
        <w:tc>
          <w:tcPr>
            <w:tcW w:w="114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​​10-Q ​​ 001-41059</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3.2</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​​12/16/2021 ​​</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Borders>
              <w:top w:val="single" w:sz="8" w:color="0000EE"/>
              <w:bottom w:val="single" w:sz="8" w:color="0000EE"/>
            </w:tcBorders>
            <w:gridSpan w:val="2"/>
          </w:tcPr>
          <w:p>
            <w:pPr>
              <w:spacing w:after="0" w:line="147" w:lineRule="exact"/>
              <w:rPr>
                <w:rFonts w:ascii="Times New Roman" w:cs="Times New Roman" w:eastAsia="Times New Roman" w:hAnsi="Times New Roman"/>
                <w:sz w:val="14"/>
                <w:szCs w:val="14"/>
                <w:color w:val="0000EE"/>
                <w:w w:val="99"/>
              </w:rPr>
            </w:pPr>
            <w:hyperlink r:id="rId65">
              <w:r>
                <w:rPr>
                  <w:rFonts w:ascii="Times New Roman" w:cs="Times New Roman" w:eastAsia="Times New Roman" w:hAnsi="Times New Roman"/>
                  <w:sz w:val="14"/>
                  <w:szCs w:val="14"/>
                  <w:color w:val="0000EE"/>
                  <w:w w:val="99"/>
                </w:rPr>
                <w:t>Lounge Holdings, Inc.</w:t>
              </w:r>
            </w:hyperlink>
          </w:p>
        </w:tc>
        <w:tc>
          <w:tcPr>
            <w:tcW w:w="1580" w:type="dxa"/>
            <w:vAlign w:val="bottom"/>
            <w:tcBorders>
              <w:top w:val="single" w:sz="8" w:color="0000EE"/>
            </w:tcBorders>
            <w:gridSpan w:val="10"/>
          </w:tcPr>
          <w:p>
            <w:pPr>
              <w:spacing w:after="0"/>
              <w:rPr>
                <w:sz w:val="12"/>
                <w:szCs w:val="12"/>
                <w:color w:val="auto"/>
              </w:rPr>
            </w:pPr>
          </w:p>
        </w:tc>
        <w:tc>
          <w:tcPr>
            <w:tcW w:w="14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4.1</w:t>
            </w:r>
          </w:p>
        </w:tc>
        <w:tc>
          <w:tcPr>
            <w:tcW w:w="3080" w:type="dxa"/>
            <w:vAlign w:val="bottom"/>
            <w:gridSpan w:val="16"/>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66">
              <w:r>
                <w:rPr>
                  <w:rFonts w:ascii="Times New Roman" w:cs="Times New Roman" w:eastAsia="Times New Roman" w:hAnsi="Times New Roman"/>
                  <w:sz w:val="14"/>
                  <w:szCs w:val="14"/>
                  <w:color w:val="0000EE"/>
                </w:rPr>
                <w:t>Investors’ Rights Agreement, dated as of April 12,</w:t>
              </w:r>
            </w:hyperlink>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S-1</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​​333-260194</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4.2</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​​10/12/2021 ​​</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tcBorders>
              <w:bottom w:val="single" w:sz="8" w:color="0000EE"/>
            </w:tcBorders>
            <w:gridSpan w:val="14"/>
          </w:tcPr>
          <w:p>
            <w:pPr>
              <w:spacing w:after="0" w:line="147"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2018, among the Lulu’s Fashion Lounge Holdings,</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Borders>
              <w:bottom w:val="single" w:sz="8" w:color="0000EE"/>
            </w:tcBorders>
            <w:gridSpan w:val="9"/>
          </w:tcPr>
          <w:p>
            <w:pPr>
              <w:spacing w:after="0" w:line="147"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Inc., the Investors listed on Schedule A thereto,</w:t>
              </w:r>
            </w:hyperlink>
          </w:p>
        </w:tc>
        <w:tc>
          <w:tcPr>
            <w:tcW w:w="260" w:type="dxa"/>
            <w:vAlign w:val="bottom"/>
            <w:gridSpan w:val="6"/>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tcBorders>
              <w:bottom w:val="single" w:sz="8" w:color="0000EE"/>
            </w:tcBorders>
            <w:gridSpan w:val="11"/>
          </w:tcPr>
          <w:p>
            <w:pPr>
              <w:spacing w:after="0" w:line="147"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Lulu’s Holdings, L.P. and LFL Acquisition Corp.</w:t>
              </w:r>
            </w:hyperlink>
          </w:p>
        </w:tc>
        <w:tc>
          <w:tcPr>
            <w:tcW w:w="16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4.2</w:t>
            </w:r>
          </w:p>
        </w:tc>
        <w:tc>
          <w:tcPr>
            <w:tcW w:w="30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Certificate of Designations Creating New</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Series of Preferred Stock*</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4.3</w:t>
            </w:r>
          </w:p>
        </w:tc>
        <w:tc>
          <w:tcPr>
            <w:tcW w:w="3080" w:type="dxa"/>
            <w:vAlign w:val="bottom"/>
            <w:gridSpan w:val="16"/>
          </w:tcPr>
          <w:p>
            <w:pPr>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Form of Specimen Preferred Stock Certificate*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4.4</w:t>
            </w:r>
          </w:p>
        </w:tc>
        <w:tc>
          <w:tcPr>
            <w:tcW w:w="30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​​Form of Warrant Agreement and Warrant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Certificate*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4.5</w:t>
            </w:r>
          </w:p>
        </w:tc>
        <w:tc>
          <w:tcPr>
            <w:tcW w:w="3080" w:type="dxa"/>
            <w:vAlign w:val="bottom"/>
            <w:gridSpan w:val="16"/>
          </w:tcPr>
          <w:p>
            <w:pP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Form of Unit Agreement*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5.1</w:t>
            </w:r>
          </w:p>
        </w:tc>
        <w:tc>
          <w:tcPr>
            <w:tcW w:w="3080" w:type="dxa"/>
            <w:vAlign w:val="bottom"/>
            <w:gridSpan w:val="16"/>
          </w:tcPr>
          <w:p>
            <w:pPr>
              <w:spacing w:after="0" w:line="192" w:lineRule="exact"/>
              <w:rPr>
                <w:sz w:val="20"/>
                <w:szCs w:val="20"/>
                <w:color w:val="auto"/>
              </w:rPr>
            </w:pPr>
            <w:r>
              <w:rPr>
                <w:rFonts w:ascii="Times New Roman" w:cs="Times New Roman" w:eastAsia="Times New Roman" w:hAnsi="Times New Roman"/>
                <w:sz w:val="22"/>
                <w:szCs w:val="22"/>
                <w:color w:val="000000"/>
                <w:vertAlign w:val="superscript"/>
              </w:rPr>
              <w:t>​​</w:t>
            </w:r>
            <w:r>
              <w:rPr>
                <w:rFonts w:ascii="Times New Roman" w:cs="Times New Roman" w:eastAsia="Times New Roman" w:hAnsi="Times New Roman"/>
                <w:sz w:val="12"/>
                <w:szCs w:val="12"/>
                <w:color w:val="0000EE"/>
              </w:rPr>
              <w:t>Opinion of Akerman LLP</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w w:val="97"/>
              </w:rPr>
              <w:t>23.1</w:t>
            </w:r>
          </w:p>
        </w:tc>
        <w:tc>
          <w:tcPr>
            <w:tcW w:w="3080" w:type="dxa"/>
            <w:vAlign w:val="bottom"/>
            <w:gridSpan w:val="16"/>
          </w:tcPr>
          <w:p>
            <w:pPr>
              <w:spacing w:after="0" w:line="200" w:lineRule="exact"/>
              <w:rPr>
                <w:sz w:val="20"/>
                <w:szCs w:val="20"/>
                <w:color w:val="auto"/>
              </w:rPr>
            </w:pPr>
            <w:r>
              <w:rPr>
                <w:rFonts w:ascii="Times New Roman" w:cs="Times New Roman" w:eastAsia="Times New Roman" w:hAnsi="Times New Roman"/>
                <w:sz w:val="23"/>
                <w:szCs w:val="23"/>
                <w:color w:val="000000"/>
                <w:vertAlign w:val="superscript"/>
              </w:rPr>
              <w:t>​​</w:t>
            </w:r>
            <w:r>
              <w:rPr>
                <w:rFonts w:ascii="Times New Roman" w:cs="Times New Roman" w:eastAsia="Times New Roman" w:hAnsi="Times New Roman"/>
                <w:sz w:val="12"/>
                <w:szCs w:val="12"/>
                <w:color w:val="0000EE"/>
              </w:rPr>
              <w:t>Consent of Akerman LLP (included in Exhibit 5.1)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w w:val="97"/>
              </w:rPr>
              <w:t>23.2</w:t>
            </w:r>
          </w:p>
        </w:tc>
        <w:tc>
          <w:tcPr>
            <w:tcW w:w="308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Consent of Deloitte &amp; Touche LLP, Independent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Borders>
              <w:top w:val="single" w:sz="8" w:color="0000EE"/>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rPr>
              <w:t>Registered Public Accounting Firm</w:t>
            </w:r>
          </w:p>
        </w:tc>
        <w:tc>
          <w:tcPr>
            <w:tcW w:w="760" w:type="dxa"/>
            <w:vAlign w:val="bottom"/>
            <w:tcBorders>
              <w:top w:val="single" w:sz="8" w:color="0000EE"/>
            </w:tcBorders>
            <w:gridSpan w:val="6"/>
          </w:tcPr>
          <w:p>
            <w:pPr>
              <w:spacing w:after="0"/>
              <w:rPr>
                <w:sz w:val="12"/>
                <w:szCs w:val="12"/>
                <w:color w:val="auto"/>
              </w:rPr>
            </w:pPr>
          </w:p>
        </w:tc>
        <w:tc>
          <w:tcPr>
            <w:tcW w:w="20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76"/>
        </w:trPr>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8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7"/>
          </w:tcPr>
          <w:p>
            <w:pPr>
              <w:ind w:left="3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28"/>
        </w:trPr>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c>
          <w:tcPr>
            <w:tcW w:w="40" w:type="dxa"/>
            <w:vAlign w:val="bottom"/>
          </w:tcPr>
          <w:p>
            <w:pPr>
              <w:spacing w:after="0"/>
              <w:rPr>
                <w:sz w:val="11"/>
                <w:szCs w:val="11"/>
                <w:color w:val="auto"/>
              </w:rPr>
            </w:pPr>
          </w:p>
        </w:tc>
      </w:tr>
      <w:tr>
        <w:trPr>
          <w:trHeight w:val="126"/>
        </w:trPr>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3"/>
          </w:tcPr>
          <w:p>
            <w:pPr>
              <w:jc w:val="center"/>
              <w:ind w:left="19"/>
              <w:spacing w:after="0"/>
              <w:rPr>
                <w:sz w:val="20"/>
                <w:szCs w:val="20"/>
                <w:color w:val="auto"/>
              </w:rPr>
            </w:pPr>
            <w:r>
              <w:rPr>
                <w:rFonts w:ascii="Times New Roman" w:cs="Times New Roman" w:eastAsia="Times New Roman" w:hAnsi="Times New Roman"/>
                <w:sz w:val="11"/>
                <w:szCs w:val="11"/>
                <w:b w:val="1"/>
                <w:bCs w:val="1"/>
                <w:color w:val="auto"/>
                <w:w w:val="99"/>
              </w:rPr>
              <w:t>Furnished</w:t>
            </w:r>
          </w:p>
        </w:tc>
        <w:tc>
          <w:tcPr>
            <w:tcW w:w="40" w:type="dxa"/>
            <w:vAlign w:val="bottom"/>
          </w:tcPr>
          <w:p>
            <w:pPr>
              <w:spacing w:after="0"/>
              <w:rPr>
                <w:sz w:val="10"/>
                <w:szCs w:val="10"/>
                <w:color w:val="auto"/>
              </w:rPr>
            </w:pPr>
          </w:p>
        </w:tc>
      </w:tr>
      <w:tr>
        <w:trPr>
          <w:trHeight w:val="166"/>
        </w:trPr>
        <w:tc>
          <w:tcPr>
            <w:tcW w:w="1440" w:type="dxa"/>
            <w:vAlign w:val="bottom"/>
            <w:gridSpan w:val="5"/>
          </w:tcPr>
          <w:p>
            <w:pPr>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p>
        </w:tc>
        <w:tc>
          <w:tcPr>
            <w:tcW w:w="208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560" w:type="dxa"/>
            <w:vAlign w:val="bottom"/>
            <w:gridSpan w:val="5"/>
          </w:tcPr>
          <w:p>
            <w:pPr>
              <w:jc w:val="center"/>
              <w:ind w:right="40"/>
              <w:spacing w:after="0" w:line="166"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9"/>
                <w:szCs w:val="19"/>
                <w:b w:val="1"/>
                <w:bCs w:val="1"/>
                <w:color w:val="auto"/>
                <w:vertAlign w:val="superscript"/>
              </w:rPr>
              <w:t>Form</w:t>
            </w:r>
            <w:r>
              <w:rPr>
                <w:rFonts w:ascii="Times New Roman" w:cs="Times New Roman" w:eastAsia="Times New Roman" w:hAnsi="Times New Roman"/>
                <w:sz w:val="10"/>
                <w:szCs w:val="10"/>
                <w:b w:val="1"/>
                <w:bCs w:val="1"/>
                <w:color w:val="auto"/>
              </w:rPr>
              <w:t xml:space="preserve"> ​​</w:t>
            </w:r>
          </w:p>
        </w:tc>
        <w:tc>
          <w:tcPr>
            <w:tcW w:w="58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8"/>
              </w:rPr>
              <w:t>File No.</w:t>
            </w:r>
          </w:p>
        </w:tc>
        <w:tc>
          <w:tcPr>
            <w:tcW w:w="560" w:type="dxa"/>
            <w:vAlign w:val="bottom"/>
            <w:gridSpan w:val="5"/>
          </w:tcPr>
          <w:p>
            <w:pPr>
              <w:jc w:val="center"/>
              <w:ind w:right="2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Exhibit </w:t>
            </w:r>
            <w:r>
              <w:rPr>
                <w:rFonts w:ascii="Times New Roman" w:cs="Times New Roman" w:eastAsia="Times New Roman" w:hAnsi="Times New Roman"/>
                <w:sz w:val="19"/>
                <w:szCs w:val="19"/>
                <w:b w:val="1"/>
                <w:bCs w:val="1"/>
                <w:color w:val="auto"/>
                <w:vertAlign w:val="subscript"/>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Filing Date</w:t>
            </w:r>
          </w:p>
        </w:tc>
        <w:tc>
          <w:tcPr>
            <w:tcW w:w="600" w:type="dxa"/>
            <w:vAlign w:val="bottom"/>
            <w:gridSpan w:val="4"/>
          </w:tcPr>
          <w:p>
            <w:pPr>
              <w:jc w:val="cente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Herewith </w:t>
            </w:r>
            <w:r>
              <w:rPr>
                <w:rFonts w:ascii="Times New Roman" w:cs="Times New Roman" w:eastAsia="Times New Roman" w:hAnsi="Times New Roman"/>
                <w:sz w:val="19"/>
                <w:szCs w:val="19"/>
                <w:b w:val="1"/>
                <w:bCs w:val="1"/>
                <w:color w:val="auto"/>
                <w:vertAlign w:val="subscript"/>
              </w:rPr>
              <w:t>​</w:t>
            </w:r>
          </w:p>
        </w:tc>
      </w:tr>
      <w:tr>
        <w:trPr>
          <w:trHeight w:val="147"/>
        </w:trPr>
        <w:tc>
          <w:tcPr>
            <w:tcW w:w="40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tcPr>
          <w:p>
            <w:pPr>
              <w:spacing w:after="0"/>
              <w:rPr>
                <w:sz w:val="12"/>
                <w:szCs w:val="12"/>
                <w:color w:val="auto"/>
              </w:rPr>
            </w:pPr>
          </w:p>
        </w:tc>
        <w:tc>
          <w:tcPr>
            <w:tcW w:w="3020" w:type="dxa"/>
            <w:vAlign w:val="bottom"/>
            <w:tcBorders>
              <w:top w:val="single" w:sz="8" w:color="auto"/>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rPr>
              <w:t>Power of Attorney (included with signature page on</w:t>
            </w:r>
          </w:p>
        </w:tc>
        <w:tc>
          <w:tcPr>
            <w:tcW w:w="10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r>
      <w:tr>
        <w:trPr>
          <w:trHeight w:val="147"/>
        </w:trPr>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color w:val="0000EE"/>
              </w:rPr>
              <w:t>this Form S-3)</w:t>
            </w: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1040" w:type="dxa"/>
            <w:vAlign w:val="bottom"/>
            <w:gridSpan w:val="4"/>
          </w:tcPr>
          <w:p>
            <w:pPr>
              <w:ind w:left="20"/>
              <w:spacing w:after="0" w:line="190" w:lineRule="exact"/>
              <w:rPr>
                <w:sz w:val="20"/>
                <w:szCs w:val="20"/>
                <w:color w:val="auto"/>
              </w:rPr>
            </w:pPr>
            <w:r>
              <w:rPr>
                <w:rFonts w:ascii="Times New Roman" w:cs="Times New Roman" w:eastAsia="Times New Roman" w:hAnsi="Times New Roman"/>
                <w:sz w:val="21"/>
                <w:szCs w:val="21"/>
                <w:color w:val="000000"/>
                <w:vertAlign w:val="superscript"/>
              </w:rPr>
              <w:t>​​</w:t>
            </w:r>
            <w:r>
              <w:rPr>
                <w:rFonts w:ascii="Times New Roman" w:cs="Times New Roman" w:eastAsia="Times New Roman" w:hAnsi="Times New Roman"/>
                <w:sz w:val="12"/>
                <w:szCs w:val="12"/>
                <w:color w:val="0000EE"/>
              </w:rPr>
              <w:t>Filing Fee Table</w:t>
            </w:r>
          </w:p>
        </w:tc>
        <w:tc>
          <w:tcPr>
            <w:tcW w:w="2080" w:type="dxa"/>
            <w:vAlign w:val="bottom"/>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119380</wp:posOffset>
            </wp:positionV>
            <wp:extent cx="95694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79" w:lineRule="exact"/>
        <w:rPr>
          <w:sz w:val="20"/>
          <w:szCs w:val="20"/>
          <w:color w:val="auto"/>
        </w:rPr>
      </w:pPr>
    </w:p>
    <w:p>
      <w:pPr>
        <w:ind w:left="1600" w:right="1399" w:hanging="277"/>
        <w:spacing w:after="0" w:line="281" w:lineRule="auto"/>
        <w:tabs>
          <w:tab w:leader="none" w:pos="1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to be filed by amendment or by a report filed under the Securities Exchange Act of 1934, as amended, and incorporated herein by reference.</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11" w:lineRule="exact"/>
        <w:rPr>
          <w:sz w:val="20"/>
          <w:szCs w:val="20"/>
          <w:color w:val="auto"/>
        </w:rPr>
      </w:pPr>
    </w:p>
    <w:p>
      <w:pPr>
        <w:ind w:left="1880" w:right="1459" w:hanging="278"/>
        <w:spacing w:after="0" w:line="281" w:lineRule="auto"/>
        <w:tabs>
          <w:tab w:leader="none" w:pos="18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2" w:lineRule="exact"/>
        <w:rPr>
          <w:rFonts w:ascii="Times New Roman" w:cs="Times New Roman" w:eastAsia="Times New Roman" w:hAnsi="Times New Roman"/>
          <w:sz w:val="14"/>
          <w:szCs w:val="14"/>
          <w:color w:val="auto"/>
        </w:rPr>
      </w:pPr>
    </w:p>
    <w:p>
      <w:pPr>
        <w:ind w:left="2160" w:right="1719" w:hanging="279"/>
        <w:spacing w:after="0" w:line="281" w:lineRule="auto"/>
        <w:tabs>
          <w:tab w:leader="none" w:pos="21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w:t>
      </w:r>
    </w:p>
    <w:p>
      <w:pPr>
        <w:spacing w:after="0" w:line="72" w:lineRule="exact"/>
        <w:rPr>
          <w:rFonts w:ascii="Times New Roman" w:cs="Times New Roman" w:eastAsia="Times New Roman" w:hAnsi="Times New Roman"/>
          <w:sz w:val="14"/>
          <w:szCs w:val="14"/>
          <w:color w:val="auto"/>
        </w:rPr>
      </w:pPr>
    </w:p>
    <w:p>
      <w:pPr>
        <w:ind w:left="2160" w:right="1339" w:hanging="279"/>
        <w:spacing w:after="0" w:line="252" w:lineRule="auto"/>
        <w:tabs>
          <w:tab w:leader="none" w:pos="21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256" w:lineRule="exact"/>
        <w:rPr>
          <w:rFonts w:ascii="Times New Roman" w:cs="Times New Roman" w:eastAsia="Times New Roman" w:hAnsi="Times New Roman"/>
          <w:sz w:val="14"/>
          <w:szCs w:val="14"/>
          <w:color w:val="auto"/>
        </w:rPr>
      </w:pPr>
    </w:p>
    <w:p>
      <w:pPr>
        <w:ind w:left="2160" w:right="1599" w:hanging="279"/>
        <w:spacing w:after="0" w:line="265" w:lineRule="auto"/>
        <w:tabs>
          <w:tab w:leader="none" w:pos="21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84" w:lineRule="exact"/>
        <w:rPr>
          <w:sz w:val="20"/>
          <w:szCs w:val="20"/>
          <w:color w:val="auto"/>
        </w:rPr>
      </w:pPr>
    </w:p>
    <w:p>
      <w:pPr>
        <w:ind w:left="1600" w:right="1399"/>
        <w:spacing w:after="0" w:line="256" w:lineRule="auto"/>
        <w:rPr>
          <w:sz w:val="20"/>
          <w:szCs w:val="20"/>
          <w:color w:val="auto"/>
        </w:rPr>
      </w:pPr>
      <w:r>
        <w:rPr>
          <w:rFonts w:ascii="Times New Roman" w:cs="Times New Roman" w:eastAsia="Times New Roman" w:hAnsi="Times New Roman"/>
          <w:sz w:val="14"/>
          <w:szCs w:val="14"/>
          <w:color w:val="auto"/>
        </w:rPr>
        <w:t>provided, however, that paragraphs (1)(i), (1)(ii) and (1)(iii) shall not apply if the information required to be included in a post-effective amendment by those paragraphs is contained in reports filed with or furnished to the SEC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261" w:lineRule="exact"/>
        <w:rPr>
          <w:sz w:val="20"/>
          <w:szCs w:val="20"/>
          <w:color w:val="auto"/>
        </w:rPr>
      </w:pPr>
    </w:p>
    <w:p>
      <w:pPr>
        <w:ind w:left="1880" w:right="1359" w:hanging="278"/>
        <w:spacing w:after="0" w:line="260" w:lineRule="auto"/>
        <w:tabs>
          <w:tab w:leader="none" w:pos="1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Times New Roman" w:cs="Times New Roman" w:eastAsia="Times New Roman" w:hAnsi="Times New Roman"/>
          <w:sz w:val="14"/>
          <w:szCs w:val="14"/>
          <w:color w:val="auto"/>
        </w:rPr>
      </w:pPr>
    </w:p>
    <w:p>
      <w:pPr>
        <w:ind w:left="1880" w:right="1499" w:hanging="278"/>
        <w:spacing w:after="0" w:line="281" w:lineRule="auto"/>
        <w:tabs>
          <w:tab w:leader="none" w:pos="1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2" w:lineRule="exact"/>
        <w:rPr>
          <w:rFonts w:ascii="Times New Roman" w:cs="Times New Roman" w:eastAsia="Times New Roman" w:hAnsi="Times New Roman"/>
          <w:sz w:val="14"/>
          <w:szCs w:val="14"/>
          <w:color w:val="auto"/>
        </w:rPr>
      </w:pPr>
    </w:p>
    <w:p>
      <w:pPr>
        <w:ind w:left="1880" w:hanging="278"/>
        <w:spacing w:after="0"/>
        <w:tabs>
          <w:tab w:leader="none" w:pos="1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21" w:lineRule="exact"/>
        <w:rPr>
          <w:rFonts w:ascii="Times New Roman" w:cs="Times New Roman" w:eastAsia="Times New Roman" w:hAnsi="Times New Roman"/>
          <w:sz w:val="14"/>
          <w:szCs w:val="14"/>
          <w:color w:val="auto"/>
        </w:rPr>
      </w:pPr>
    </w:p>
    <w:p>
      <w:pPr>
        <w:ind w:left="2160" w:right="1439" w:hanging="279"/>
        <w:spacing w:after="0" w:line="265" w:lineRule="auto"/>
        <w:tabs>
          <w:tab w:leader="none" w:pos="216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60" w:right="1379" w:hanging="279"/>
        <w:spacing w:after="0" w:line="251" w:lineRule="auto"/>
        <w:tabs>
          <w:tab w:leader="none" w:pos="21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67" w:lineRule="exact"/>
        <w:rPr>
          <w:rFonts w:ascii="Times New Roman" w:cs="Times New Roman" w:eastAsia="Times New Roman" w:hAnsi="Times New Roman"/>
          <w:sz w:val="14"/>
          <w:szCs w:val="14"/>
          <w:color w:val="auto"/>
        </w:rPr>
      </w:pPr>
    </w:p>
    <w:p>
      <w:pPr>
        <w:ind w:left="1880" w:right="1359" w:hanging="278"/>
        <w:spacing w:after="0" w:line="254" w:lineRule="auto"/>
        <w:tabs>
          <w:tab w:leader="none" w:pos="18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4" w:lineRule="exact"/>
        <w:rPr>
          <w:sz w:val="20"/>
          <w:szCs w:val="20"/>
          <w:color w:val="auto"/>
        </w:rPr>
      </w:pPr>
    </w:p>
    <w:p>
      <w:pPr>
        <w:ind w:left="2160" w:right="1839" w:hanging="279"/>
        <w:spacing w:after="0" w:line="281" w:lineRule="auto"/>
        <w:tabs>
          <w:tab w:leader="none" w:pos="21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2" w:lineRule="exact"/>
        <w:rPr>
          <w:rFonts w:ascii="Times New Roman" w:cs="Times New Roman" w:eastAsia="Times New Roman" w:hAnsi="Times New Roman"/>
          <w:sz w:val="14"/>
          <w:szCs w:val="14"/>
          <w:color w:val="auto"/>
        </w:rPr>
      </w:pPr>
    </w:p>
    <w:p>
      <w:pPr>
        <w:ind w:left="2160" w:right="2019" w:hanging="279"/>
        <w:spacing w:after="0" w:line="281" w:lineRule="auto"/>
        <w:tabs>
          <w:tab w:leader="none" w:pos="21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62" w:lineRule="exact"/>
        <w:rPr>
          <w:rFonts w:ascii="Times New Roman" w:cs="Times New Roman" w:eastAsia="Times New Roman" w:hAnsi="Times New Roman"/>
          <w:sz w:val="14"/>
          <w:szCs w:val="14"/>
          <w:color w:val="auto"/>
        </w:rPr>
      </w:pPr>
    </w:p>
    <w:p>
      <w:pPr>
        <w:ind w:left="2160" w:right="1459" w:hanging="279"/>
        <w:spacing w:after="0" w:line="265" w:lineRule="auto"/>
        <w:tabs>
          <w:tab w:leader="none" w:pos="21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4" w:lineRule="exact"/>
        <w:rPr>
          <w:rFonts w:ascii="Times New Roman" w:cs="Times New Roman" w:eastAsia="Times New Roman" w:hAnsi="Times New Roman"/>
          <w:sz w:val="14"/>
          <w:szCs w:val="14"/>
          <w:color w:val="auto"/>
        </w:rPr>
      </w:pPr>
    </w:p>
    <w:p>
      <w:pPr>
        <w:ind w:left="2160" w:right="1479" w:hanging="279"/>
        <w:spacing w:after="0" w:line="281" w:lineRule="auto"/>
        <w:tabs>
          <w:tab w:leader="none" w:pos="21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62" w:lineRule="exact"/>
        <w:rPr>
          <w:rFonts w:ascii="Times New Roman" w:cs="Times New Roman" w:eastAsia="Times New Roman" w:hAnsi="Times New Roman"/>
          <w:sz w:val="14"/>
          <w:szCs w:val="14"/>
          <w:color w:val="auto"/>
        </w:rPr>
      </w:pPr>
    </w:p>
    <w:p>
      <w:pPr>
        <w:ind w:left="1880" w:right="1359" w:hanging="278"/>
        <w:spacing w:after="0" w:line="254" w:lineRule="auto"/>
        <w:tabs>
          <w:tab w:leader="none" w:pos="18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the securities at that time shall be deemed to be the initial bona fide offering thereof.</w:t>
      </w:r>
    </w:p>
    <w:p>
      <w:pPr>
        <w:spacing w:after="0" w:line="94" w:lineRule="exact"/>
        <w:rPr>
          <w:rFonts w:ascii="Times New Roman" w:cs="Times New Roman" w:eastAsia="Times New Roman" w:hAnsi="Times New Roman"/>
          <w:sz w:val="14"/>
          <w:szCs w:val="14"/>
          <w:color w:val="auto"/>
        </w:rPr>
      </w:pPr>
    </w:p>
    <w:p>
      <w:pPr>
        <w:ind w:left="1880" w:hanging="278"/>
        <w:spacing w:after="0"/>
        <w:tabs>
          <w:tab w:leader="none" w:pos="18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21" w:lineRule="exact"/>
        <w:rPr>
          <w:rFonts w:ascii="Times New Roman" w:cs="Times New Roman" w:eastAsia="Times New Roman" w:hAnsi="Times New Roman"/>
          <w:sz w:val="14"/>
          <w:szCs w:val="14"/>
          <w:color w:val="auto"/>
        </w:rPr>
      </w:pPr>
    </w:p>
    <w:p>
      <w:pPr>
        <w:ind w:left="1880" w:right="1439" w:firstLine="280"/>
        <w:spacing w:after="0" w:line="245" w:lineRule="auto"/>
        <w:tabs>
          <w:tab w:leader="none" w:pos="2412"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8" w:lineRule="exact"/>
        <w:rPr>
          <w:rFonts w:ascii="Times New Roman" w:cs="Times New Roman" w:eastAsia="Times New Roman" w:hAnsi="Times New Roman"/>
          <w:sz w:val="14"/>
          <w:szCs w:val="14"/>
          <w:color w:val="auto"/>
        </w:rPr>
      </w:pPr>
    </w:p>
    <w:p>
      <w:pPr>
        <w:ind w:left="1880" w:right="1399" w:firstLine="280"/>
        <w:spacing w:after="0" w:line="249" w:lineRule="auto"/>
        <w:tabs>
          <w:tab w:leader="none" w:pos="2454" w:val="left"/>
        </w:tabs>
        <w:numPr>
          <w:ilvl w:val="2"/>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4" w:lineRule="exact"/>
        <w:rPr>
          <w:sz w:val="20"/>
          <w:szCs w:val="20"/>
          <w:color w:val="auto"/>
        </w:rPr>
      </w:pPr>
    </w:p>
    <w:p>
      <w:pPr>
        <w:ind w:left="1320" w:right="1379" w:firstLine="279"/>
        <w:spacing w:after="0" w:line="25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Chico, State of California, on this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day of July, 2026.</w:t>
      </w:r>
    </w:p>
    <w:p>
      <w:pPr>
        <w:spacing w:after="0" w:line="106" w:lineRule="exact"/>
        <w:rPr>
          <w:sz w:val="20"/>
          <w:szCs w:val="20"/>
          <w:color w:val="auto"/>
        </w:rPr>
      </w:pPr>
    </w:p>
    <w:tbl>
      <w:tblPr>
        <w:tblLayout w:type="fixed"/>
        <w:tblInd w:w="1320" w:type="dxa"/>
        <w:tblCellMar>
          <w:top w:w="0" w:type="dxa"/>
          <w:left w:w="0" w:type="dxa"/>
          <w:bottom w:w="0" w:type="dxa"/>
          <w:right w:w="0" w:type="dxa"/>
        </w:tblCellMar>
      </w:tblPr>
      <w:tr>
        <w:trPr>
          <w:trHeight w:val="169"/>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92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 ​ LULU’S FASHION LOUNGE HOLDINGS, INC.</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 ​</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3"/>
        </w:trPr>
        <w:tc>
          <w:tcPr>
            <w:tcW w:w="1440" w:type="dxa"/>
            <w:vAlign w:val="bottom"/>
          </w:tcPr>
          <w:p>
            <w:pPr>
              <w:spacing w:after="0"/>
              <w:rPr>
                <w:sz w:val="24"/>
                <w:szCs w:val="24"/>
                <w:color w:val="auto"/>
              </w:rPr>
            </w:pPr>
          </w:p>
        </w:tc>
        <w:tc>
          <w:tcPr>
            <w:tcW w:w="1800" w:type="dxa"/>
            <w:vAlign w:val="bottom"/>
          </w:tcPr>
          <w:p>
            <w:pPr>
              <w:ind w:left="1580"/>
              <w:spacing w:after="0"/>
              <w:rPr>
                <w:sz w:val="20"/>
                <w:szCs w:val="20"/>
                <w:color w:val="auto"/>
              </w:rPr>
            </w:pPr>
            <w:r>
              <w:rPr>
                <w:rFonts w:ascii="Times New Roman" w:cs="Times New Roman" w:eastAsia="Times New Roman" w:hAnsi="Times New Roman"/>
                <w:sz w:val="14"/>
                <w:szCs w:val="14"/>
                <w:color w:val="auto"/>
                <w:w w:val="98"/>
              </w:rPr>
              <w:t>By:</w:t>
            </w:r>
          </w:p>
        </w:tc>
        <w:tc>
          <w:tcPr>
            <w:tcW w:w="16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/s/ Crystal Landsem</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color w:val="auto"/>
              </w:rPr>
              <w:t>​ ​ ​   ​ ​</w:t>
            </w:r>
          </w:p>
        </w:tc>
        <w:tc>
          <w:tcPr>
            <w:tcW w:w="29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440" w:type="dxa"/>
            <w:vAlign w:val="bottom"/>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9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Crystal Landsem</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 ​ ​</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Crystal Landsem and Heidi Crane, and each of them severally, his or her true and lawful attorney-in-fact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substitute or substitutes, may lawfully do or cause to be done by virtue hereof.</w:t>
      </w:r>
    </w:p>
    <w:p>
      <w:pPr>
        <w:spacing w:after="0" w:line="299" w:lineRule="exact"/>
        <w:rPr>
          <w:sz w:val="20"/>
          <w:szCs w:val="20"/>
          <w:color w:val="auto"/>
        </w:rPr>
      </w:pPr>
    </w:p>
    <w:tbl>
      <w:tblPr>
        <w:tblLayout w:type="fixed"/>
        <w:tblInd w:w="1320" w:type="dxa"/>
        <w:tblCellMar>
          <w:top w:w="0" w:type="dxa"/>
          <w:left w:w="0" w:type="dxa"/>
          <w:bottom w:w="0" w:type="dxa"/>
          <w:right w:w="0" w:type="dxa"/>
        </w:tblCellMar>
      </w:tblPr>
      <w:tr>
        <w:trPr>
          <w:trHeight w:val="15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430"/>
        </w:trPr>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Crystal Landsem</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 2026</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4"/>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Crystal Landsem</w:t>
            </w:r>
          </w:p>
        </w:tc>
        <w:tc>
          <w:tcPr>
            <w:tcW w:w="1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02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2"/>
                <w:szCs w:val="12"/>
                <w:color w:val="auto"/>
              </w:rPr>
            </w:pPr>
          </w:p>
        </w:tc>
        <w:tc>
          <w:tcPr>
            <w:tcW w:w="1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 2026</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10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/s/ Heidi Crane</w:t>
            </w: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0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r>
              <w:rPr>
                <w:rFonts w:ascii="Times New Roman" w:cs="Times New Roman" w:eastAsia="Times New Roman" w:hAnsi="Times New Roman"/>
                <w:sz w:val="14"/>
                <w:szCs w:val="14"/>
                <w:color w:val="auto"/>
              </w:rPr>
              <w:t>)</w:t>
            </w: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Heidi Crane</w:t>
            </w: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2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2"/>
                <w:szCs w:val="12"/>
                <w:color w:val="auto"/>
              </w:rPr>
            </w:pPr>
          </w:p>
        </w:tc>
        <w:tc>
          <w:tcPr>
            <w:tcW w:w="1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 and Board Chair</w:t>
            </w:r>
          </w:p>
        </w:tc>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 2026</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Dara Bazzano</w:t>
            </w:r>
          </w:p>
        </w:tc>
        <w:tc>
          <w:tcPr>
            <w:tcW w:w="1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Dara Bazzano</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2"/>
                <w:szCs w:val="12"/>
                <w:color w:val="auto"/>
              </w:rPr>
            </w:pPr>
          </w:p>
        </w:tc>
        <w:tc>
          <w:tcPr>
            <w:tcW w:w="1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 2026</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John Black</w:t>
            </w:r>
          </w:p>
        </w:tc>
        <w:tc>
          <w:tcPr>
            <w:tcW w:w="1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John Black</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2"/>
                <w:szCs w:val="12"/>
                <w:color w:val="auto"/>
              </w:rPr>
            </w:pPr>
          </w:p>
        </w:tc>
        <w:tc>
          <w:tcPr>
            <w:tcW w:w="1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 2026</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Evan Karp</w:t>
            </w:r>
          </w:p>
        </w:tc>
        <w:tc>
          <w:tcPr>
            <w:tcW w:w="1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Evan Karp</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2"/>
                <w:szCs w:val="12"/>
                <w:color w:val="auto"/>
              </w:rPr>
            </w:pPr>
          </w:p>
        </w:tc>
        <w:tc>
          <w:tcPr>
            <w:tcW w:w="1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 2026</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Anisa Kumar</w:t>
            </w:r>
          </w:p>
        </w:tc>
        <w:tc>
          <w:tcPr>
            <w:tcW w:w="1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Anisa Kumar</w:t>
            </w: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2"/>
                <w:szCs w:val="12"/>
                <w:color w:val="auto"/>
              </w:rPr>
            </w:pPr>
          </w:p>
        </w:tc>
        <w:tc>
          <w:tcPr>
            <w:tcW w:w="1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July 2, 2026</w:t>
            </w:r>
          </w:p>
        </w:tc>
        <w:tc>
          <w:tcPr>
            <w:tcW w:w="4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 Kelly McCarthy</w:t>
            </w:r>
          </w:p>
        </w:tc>
        <w:tc>
          <w:tcPr>
            <w:tcW w:w="140" w:type="dxa"/>
            <w:vAlign w:val="bottom"/>
          </w:tcPr>
          <w:p>
            <w:pPr>
              <w:spacing w:after="0"/>
              <w:rPr>
                <w:sz w:val="15"/>
                <w:szCs w:val="15"/>
                <w:color w:val="auto"/>
              </w:rPr>
            </w:pPr>
          </w:p>
        </w:tc>
        <w:tc>
          <w:tcPr>
            <w:tcW w:w="2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-8890</wp:posOffset>
            </wp:positionV>
            <wp:extent cx="159448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159448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Kelly McCarthy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4"/>
          <w:szCs w:val="14"/>
          <w:b w:val="1"/>
          <w:bCs w:val="1"/>
          <w:color w:val="auto"/>
        </w:rPr>
        <w:t>Exhibit 3.3</w:t>
      </w:r>
    </w:p>
    <w:p>
      <w:pPr>
        <w:spacing w:after="0" w:line="17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CERTIFICATE OF AMENDMENT TO</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THE FOURTH AMENDED AND RESTATED</w:t>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CERTIFICATE OF INCORPORATION OF</w:t>
      </w:r>
    </w:p>
    <w:p>
      <w:pPr>
        <w:spacing w:after="0" w:line="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LULU’S FASHION LOUNGE HOLDINGS, INC.</w:t>
      </w:r>
    </w:p>
    <w:p>
      <w:pPr>
        <w:spacing w:after="0" w:line="159" w:lineRule="exact"/>
        <w:rPr>
          <w:sz w:val="20"/>
          <w:szCs w:val="20"/>
          <w:color w:val="auto"/>
        </w:rPr>
      </w:pPr>
    </w:p>
    <w:p>
      <w:pPr>
        <w:ind w:firstLine="251"/>
        <w:spacing w:after="0" w:line="281" w:lineRule="auto"/>
        <w:rPr>
          <w:sz w:val="20"/>
          <w:szCs w:val="20"/>
          <w:color w:val="auto"/>
        </w:rPr>
      </w:pPr>
      <w:r>
        <w:rPr>
          <w:rFonts w:ascii="Times New Roman" w:cs="Times New Roman" w:eastAsia="Times New Roman" w:hAnsi="Times New Roman"/>
          <w:sz w:val="14"/>
          <w:szCs w:val="14"/>
          <w:color w:val="auto"/>
        </w:rPr>
        <w:t>Lulu’s Fashion Lounge Holdings, Inc.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 a corporation organized and existing under and by virtue of the Delaware General Corporation Law (the “DGCL”), hereby certifies as follows:</w:t>
      </w:r>
    </w:p>
    <w:p>
      <w:pPr>
        <w:spacing w:after="0" w:line="125" w:lineRule="exact"/>
        <w:rPr>
          <w:sz w:val="20"/>
          <w:szCs w:val="20"/>
          <w:color w:val="auto"/>
        </w:rPr>
      </w:pPr>
    </w:p>
    <w:p>
      <w:pPr>
        <w:ind w:left="500" w:hanging="245"/>
        <w:spacing w:after="0" w:line="281"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Certificate of Amendment (the “</w:t>
      </w:r>
      <w:r>
        <w:rPr>
          <w:rFonts w:ascii="Times New Roman" w:cs="Times New Roman" w:eastAsia="Times New Roman" w:hAnsi="Times New Roman"/>
          <w:sz w:val="14"/>
          <w:szCs w:val="14"/>
          <w:u w:val="single" w:color="auto"/>
          <w:color w:val="auto"/>
        </w:rPr>
        <w:t>Certificate of Amendment</w:t>
      </w:r>
      <w:r>
        <w:rPr>
          <w:rFonts w:ascii="Times New Roman" w:cs="Times New Roman" w:eastAsia="Times New Roman" w:hAnsi="Times New Roman"/>
          <w:sz w:val="14"/>
          <w:szCs w:val="14"/>
          <w:color w:val="auto"/>
        </w:rPr>
        <w:t>”) to the Fourth Amended and Restated Certificate of Incorporation of the corporation (the “</w:t>
      </w:r>
      <w:r>
        <w:rPr>
          <w:rFonts w:ascii="Times New Roman" w:cs="Times New Roman" w:eastAsia="Times New Roman" w:hAnsi="Times New Roman"/>
          <w:sz w:val="14"/>
          <w:szCs w:val="14"/>
          <w:u w:val="single" w:color="auto"/>
          <w:color w:val="auto"/>
        </w:rPr>
        <w:t>Certificate of Incorporation</w:t>
      </w:r>
      <w:r>
        <w:rPr>
          <w:rFonts w:ascii="Times New Roman" w:cs="Times New Roman" w:eastAsia="Times New Roman" w:hAnsi="Times New Roman"/>
          <w:sz w:val="14"/>
          <w:szCs w:val="14"/>
          <w:color w:val="auto"/>
        </w:rPr>
        <w:t>”) amends certain provisions of the Certificate of Incorporation.</w:t>
      </w:r>
    </w:p>
    <w:p>
      <w:pPr>
        <w:spacing w:after="0" w:line="125"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Certificate of Amendment has been approved and duly adopted by the Corporation’s Board of Directors and stockholders in accordance with the provisions of Section 242 of the DGCL.</w:t>
      </w:r>
    </w:p>
    <w:p>
      <w:pPr>
        <w:spacing w:after="0" w:line="173" w:lineRule="exact"/>
        <w:rPr>
          <w:rFonts w:ascii="Times New Roman" w:cs="Times New Roman" w:eastAsia="Times New Roman" w:hAnsi="Times New Roman"/>
          <w:sz w:val="14"/>
          <w:szCs w:val="14"/>
          <w:color w:val="auto"/>
        </w:rPr>
      </w:pPr>
    </w:p>
    <w:p>
      <w:pPr>
        <w:ind w:left="500" w:hanging="245"/>
        <w:spacing w:after="0" w:line="281" w:lineRule="auto"/>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this Certificate of Amendment becoming effective, the second paragraph of Article IV, Section 1 of the Corporation’s Certificate of Incorporation is hereby deleted and replaced in its entirety with the following paragraph:</w:t>
      </w:r>
    </w:p>
    <w:p>
      <w:pPr>
        <w:spacing w:after="0" w:line="125" w:lineRule="exact"/>
        <w:rPr>
          <w:rFonts w:ascii="Times New Roman" w:cs="Times New Roman" w:eastAsia="Times New Roman" w:hAnsi="Times New Roman"/>
          <w:sz w:val="14"/>
          <w:szCs w:val="14"/>
          <w:color w:val="auto"/>
        </w:rPr>
      </w:pPr>
    </w:p>
    <w:p>
      <w:pPr>
        <w:ind w:left="50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common stock authorized to be issued is 15,000,000, par value $0.001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The total number of shares of preferred stock authorized to be issued is 500,000, par value $0.001 per share (the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except as amended hereby, the provisions of the Corporation’s Certificate of Incorporation shall remain in full force and effect.</w:t>
      </w:r>
    </w:p>
    <w:p>
      <w:pPr>
        <w:spacing w:after="0" w:line="173"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Certificate of Amendment shall be effective immediately upon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this Certificate of Amendment has been signed on behalf of the Corporation by its duly authorized officer this 9th day of June, 2026.</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LULU’S FASHION LOUNGE HOLDINGS, INC.</w:t>
      </w:r>
    </w:p>
    <w:p>
      <w:pPr>
        <w:spacing w:after="0" w:line="176"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Crystal Landsem</w:t>
            </w:r>
          </w:p>
        </w:tc>
      </w:tr>
      <w:tr>
        <w:trPr>
          <w:trHeight w:val="158"/>
        </w:trPr>
        <w:tc>
          <w:tcPr>
            <w:tcW w:w="5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Name:</w:t>
            </w:r>
          </w:p>
        </w:tc>
        <w:tc>
          <w:tcPr>
            <w:tcW w:w="508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Crystal Landsem</w:t>
            </w:r>
          </w:p>
        </w:tc>
      </w:tr>
      <w:tr>
        <w:trPr>
          <w:trHeight w:val="158"/>
        </w:trPr>
        <w:tc>
          <w:tcPr>
            <w:tcW w:w="5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Title:</w:t>
            </w:r>
          </w:p>
        </w:tc>
        <w:tc>
          <w:tcPr>
            <w:tcW w:w="508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CEO</w:t>
            </w:r>
          </w:p>
        </w:tc>
      </w:tr>
    </w:tbl>
    <w:p>
      <w:pPr>
        <w:spacing w:after="0" w:line="151"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State of Delaware</w:t>
      </w:r>
    </w:p>
    <w:p>
      <w:pPr>
        <w:spacing w:after="0" w:line="23"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Secretary of State</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Division of Corporations</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Delivered 04:57 PM 06/09/2026</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FILED 04:57 PM 06/09/2026</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SR 20263342391 - File Number 6522674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16343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4"/>
          <w:szCs w:val="14"/>
          <w:b w:val="1"/>
          <w:bCs w:val="1"/>
          <w:color w:val="auto"/>
        </w:rPr>
        <w:t>Exhibit 3.4</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AMENDMENT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FOURTH AMENDED AND RESTATED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CERTIFICATE OF INCORPORATION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LULU’S FASHION LOUNGE HOLDINGS, INC.</w:t>
      </w:r>
    </w:p>
    <w:p>
      <w:pPr>
        <w:spacing w:after="0" w:line="159" w:lineRule="exact"/>
        <w:rPr>
          <w:sz w:val="20"/>
          <w:szCs w:val="20"/>
          <w:color w:val="auto"/>
        </w:rPr>
      </w:pPr>
    </w:p>
    <w:p>
      <w:pPr>
        <w:ind w:firstLine="251"/>
        <w:spacing w:after="0" w:line="281" w:lineRule="auto"/>
        <w:rPr>
          <w:sz w:val="20"/>
          <w:szCs w:val="20"/>
          <w:color w:val="auto"/>
        </w:rPr>
      </w:pPr>
      <w:r>
        <w:rPr>
          <w:rFonts w:ascii="Times New Roman" w:cs="Times New Roman" w:eastAsia="Times New Roman" w:hAnsi="Times New Roman"/>
          <w:sz w:val="14"/>
          <w:szCs w:val="14"/>
          <w:color w:val="auto"/>
        </w:rPr>
        <w:t>Lulu’s Fashion Lounge Holdings, Inc. (the “Corporation”), a corporation organized and existing under and by virtue of the Delaware General Corporation Law (the DGCL”), hereby certifies as follows:</w:t>
      </w:r>
    </w:p>
    <w:p>
      <w:pPr>
        <w:spacing w:after="0" w:line="125" w:lineRule="exact"/>
        <w:rPr>
          <w:sz w:val="20"/>
          <w:szCs w:val="20"/>
          <w:color w:val="auto"/>
        </w:rPr>
      </w:pPr>
    </w:p>
    <w:p>
      <w:pPr>
        <w:ind w:left="500" w:hanging="245"/>
        <w:spacing w:after="0" w:line="281"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Certificate of Amendment (the “Certificate of Amendment”) to the Fourth Amended and Restated Certificate of Incorporation of the Corporation (the “Certificate of Incorporation”) amends certain provisions of the Certificate of Incorporation.</w:t>
      </w:r>
    </w:p>
    <w:p>
      <w:pPr>
        <w:spacing w:after="0" w:line="125"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Certificate of Amendment has been approved and duly adopted by the Corporation’s Board of Directors and stockholders in accordance with the provisions of Section 242 of the DGCL.</w:t>
      </w:r>
    </w:p>
    <w:p>
      <w:pPr>
        <w:spacing w:after="0" w:line="173" w:lineRule="exact"/>
        <w:rPr>
          <w:rFonts w:ascii="Times New Roman" w:cs="Times New Roman" w:eastAsia="Times New Roman" w:hAnsi="Times New Roman"/>
          <w:sz w:val="14"/>
          <w:szCs w:val="14"/>
          <w:color w:val="auto"/>
        </w:rPr>
      </w:pPr>
    </w:p>
    <w:p>
      <w:pPr>
        <w:ind w:left="500" w:hanging="245"/>
        <w:spacing w:after="0" w:line="281" w:lineRule="auto"/>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this Certificate of Amendment becoming effective, Article VII of the Corporation’s Certificate of Incorporation is hereby amended by adding the following at the end of Article VII, Section 1:</w:t>
      </w:r>
    </w:p>
    <w:p>
      <w:pPr>
        <w:spacing w:after="0" w:line="125" w:lineRule="exact"/>
        <w:rPr>
          <w:rFonts w:ascii="Times New Roman" w:cs="Times New Roman" w:eastAsia="Times New Roman" w:hAnsi="Times New Roman"/>
          <w:sz w:val="14"/>
          <w:szCs w:val="14"/>
          <w:color w:val="auto"/>
        </w:rPr>
      </w:pPr>
    </w:p>
    <w:p>
      <w:pPr>
        <w:jc w:val="both"/>
        <w:ind w:left="500"/>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fullest extent permitted by the Delaware General Corporation Law,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transation from which the Officer derived an improper personal benefit, or (d) arising from any claim brought by or in the right of the Corporation. If the Delaware General Corporation Law is amended after the effective date of this Certificate to authorize corporate action further eliminating or limiting the personal liability of Officers, then the liability of an Officer of the Corporation shall be eliminated or limited to the fullest extent permitted by the Delaware General Corporation Law, as so amended. For purposes of this Article VII, “Officer “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Any amendment, repeal or modification of this Article VII by either of (i) the stockholders of the Corporation or (ii) an amendment to the Delaware General Corporation Law,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144"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except as amended hereby, the provisions of the Corporation’s Certificate of Incorporation shall remain in full force and effect.</w:t>
      </w:r>
    </w:p>
    <w:p>
      <w:pPr>
        <w:spacing w:after="0" w:line="173"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Certificate of Amendment shall be effective immediately upon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this Certificate of Amendment has been signed on behalf of the Corporation by its duly authorized officer this 9th day of June, 2026.</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LULU’S FASHION LOUNGE HOLDINGS, INC.</w:t>
      </w:r>
    </w:p>
    <w:p>
      <w:pPr>
        <w:spacing w:after="0" w:line="176"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Crystal Landsem</w:t>
            </w:r>
          </w:p>
        </w:tc>
      </w:tr>
      <w:tr>
        <w:trPr>
          <w:trHeight w:val="158"/>
        </w:trPr>
        <w:tc>
          <w:tcPr>
            <w:tcW w:w="5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Name:</w:t>
            </w:r>
          </w:p>
        </w:tc>
        <w:tc>
          <w:tcPr>
            <w:tcW w:w="508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Crystal Landsem</w:t>
            </w:r>
          </w:p>
        </w:tc>
      </w:tr>
      <w:tr>
        <w:trPr>
          <w:trHeight w:val="158"/>
        </w:trPr>
        <w:tc>
          <w:tcPr>
            <w:tcW w:w="5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Title:</w:t>
            </w:r>
          </w:p>
        </w:tc>
        <w:tc>
          <w:tcPr>
            <w:tcW w:w="5080" w:type="dxa"/>
            <w:vAlign w:val="bottom"/>
            <w:tcBorders>
              <w:bottom w:val="single" w:sz="8" w:color="auto"/>
            </w:tcBorders>
          </w:tcPr>
          <w:p>
            <w:pPr>
              <w:spacing w:after="0" w:line="158" w:lineRule="exact"/>
              <w:rPr>
                <w:sz w:val="20"/>
                <w:szCs w:val="20"/>
                <w:color w:val="auto"/>
              </w:rPr>
            </w:pPr>
            <w:r>
              <w:rPr>
                <w:rFonts w:ascii="Times New Roman" w:cs="Times New Roman" w:eastAsia="Times New Roman" w:hAnsi="Times New Roman"/>
                <w:sz w:val="14"/>
                <w:szCs w:val="14"/>
                <w:color w:val="auto"/>
              </w:rPr>
              <w:t>CEO</w:t>
            </w:r>
          </w:p>
        </w:tc>
      </w:tr>
    </w:tbl>
    <w:p>
      <w:pPr>
        <w:spacing w:after="0" w:line="151"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State of Delaware</w:t>
      </w:r>
    </w:p>
    <w:p>
      <w:pPr>
        <w:spacing w:after="0" w:line="23"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Secretary of State</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Division of Corporations</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Delivered 05:00 PM 06/09/2026</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FILED 05:00 PM 06/09/2026</w:t>
      </w:r>
    </w:p>
    <w:p>
      <w:pPr>
        <w:spacing w:after="0" w:line="6" w:lineRule="exact"/>
        <w:rPr>
          <w:sz w:val="20"/>
          <w:szCs w:val="20"/>
          <w:color w:val="auto"/>
        </w:rPr>
      </w:pPr>
    </w:p>
    <w:p>
      <w:pPr>
        <w:jc w:val="center"/>
        <w:ind w:right="7880"/>
        <w:spacing w:after="0"/>
        <w:rPr>
          <w:sz w:val="20"/>
          <w:szCs w:val="20"/>
          <w:color w:val="auto"/>
        </w:rPr>
      </w:pPr>
      <w:r>
        <w:rPr>
          <w:rFonts w:ascii="Times New Roman" w:cs="Times New Roman" w:eastAsia="Times New Roman" w:hAnsi="Times New Roman"/>
          <w:sz w:val="14"/>
          <w:szCs w:val="14"/>
          <w:b w:val="1"/>
          <w:bCs w:val="1"/>
          <w:color w:val="auto"/>
        </w:rPr>
        <w:t>SR 20263342467 - File Number 6522674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1634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Akerman LLP</w:t>
      </w:r>
    </w:p>
    <w:p>
      <w:pPr>
        <w:spacing w:after="0" w:line="2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Three Brickell City Centre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wp:posOffset>
            </wp:positionV>
            <wp:extent cx="1428750" cy="431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1428750" cy="43180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4"/>
          <w:szCs w:val="14"/>
          <w:color w:val="auto"/>
        </w:rPr>
        <w:t>98 Southeast Seventh Street</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Suite 1100</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Miami, FL 33131</w:t>
      </w:r>
    </w:p>
    <w:p>
      <w:pPr>
        <w:spacing w:after="0" w:line="1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T: 305 374 5600</w:t>
      </w:r>
    </w:p>
    <w:p>
      <w:pPr>
        <w:spacing w:after="0" w:line="2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4"/>
          <w:szCs w:val="14"/>
          <w:color w:val="auto"/>
        </w:rPr>
        <w:t>F: 305 374 5095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Lulu’s Fashion Lounge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495 Ryan Avenue, Suite 125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Chico, California 95973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 Registration Statement on Form S-3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4" w:lineRule="exact"/>
        <w:rPr>
          <w:sz w:val="20"/>
          <w:szCs w:val="20"/>
          <w:color w:val="auto"/>
        </w:rPr>
      </w:pPr>
    </w:p>
    <w:p>
      <w:pPr>
        <w:jc w:val="both"/>
        <w:ind w:firstLine="502"/>
        <w:spacing w:after="0" w:line="260" w:lineRule="auto"/>
        <w:rPr>
          <w:sz w:val="20"/>
          <w:szCs w:val="20"/>
          <w:color w:val="auto"/>
        </w:rPr>
      </w:pPr>
      <w:r>
        <w:rPr>
          <w:rFonts w:ascii="Times New Roman" w:cs="Times New Roman" w:eastAsia="Times New Roman" w:hAnsi="Times New Roman"/>
          <w:sz w:val="14"/>
          <w:szCs w:val="14"/>
          <w:color w:val="auto"/>
        </w:rPr>
        <w:t>We have acted as counsel to Lulu’s Fashion Lounge Holdings, Inc., a Delaware corporation (the “Company”), in connection with the preparation and filing with the Securities and Exchange Commission (the “Commission”) of a Registration Statement on Form S-3 (such registration statement, as may be amended from time to time, is herein referred to as the “Registration Statement”), under the Securities Act of 1933, as amended (the “Act”). You have provided us with a draft of the Registration Statement in the form in which it will be filed, which includes a base prospectus (the “Prospectus”). The Prospectus provides that it will be supplemented in the future by one or more supplements to the Prospectus or free writing prospectuses (each, a “Prospectus Supplement”).</w:t>
      </w:r>
    </w:p>
    <w:p>
      <w:pPr>
        <w:spacing w:after="0" w:line="140" w:lineRule="exact"/>
        <w:rPr>
          <w:sz w:val="20"/>
          <w:szCs w:val="20"/>
          <w:color w:val="auto"/>
        </w:rPr>
      </w:pPr>
    </w:p>
    <w:p>
      <w:pPr>
        <w:jc w:val="both"/>
        <w:ind w:firstLine="502"/>
        <w:spacing w:after="0" w:line="255" w:lineRule="auto"/>
        <w:rPr>
          <w:sz w:val="20"/>
          <w:szCs w:val="20"/>
          <w:color w:val="auto"/>
        </w:rPr>
      </w:pPr>
      <w:r>
        <w:rPr>
          <w:rFonts w:ascii="Times New Roman" w:cs="Times New Roman" w:eastAsia="Times New Roman" w:hAnsi="Times New Roman"/>
          <w:sz w:val="14"/>
          <w:szCs w:val="14"/>
          <w:color w:val="auto"/>
        </w:rPr>
        <w:t>The Registration Statement registers the offering and sale of up to an aggregate offering price of $7,500,000 of the following securities of the Company, which may be offered and sold from time to time on a delayed or continuous basis pursuant to Rule 415 of the general rules and regulations promulgated under the Act: (i) shares of the Company’s common stock, par value $0.001 per share (the “Common Stock”); (ii) shares of the Company’s preferred stock, par value $0.001 per share (the “Preferred Stock”), to be issued in one or more series or classes; (iii) warrants to purchase Common Stock or Preferred Stock in one or more series (the “Warrants”); and (iv) units consisting of Common Stock, Preferred Stock, or Warrants in any combination (the “Units”). The Common Stock, Preferred Stock, Warrants, and Units are referred to herein collectively as the “Securities.” All capitalized terms used herein and not otherwise defined shall have the respective meanings given to them in the Registration Statement.</w:t>
      </w:r>
    </w:p>
    <w:p>
      <w:pPr>
        <w:spacing w:after="0" w:line="146" w:lineRule="exact"/>
        <w:rPr>
          <w:sz w:val="20"/>
          <w:szCs w:val="20"/>
          <w:color w:val="auto"/>
        </w:rPr>
      </w:pPr>
    </w:p>
    <w:p>
      <w:pPr>
        <w:jc w:val="both"/>
        <w:ind w:firstLine="502"/>
        <w:spacing w:after="0" w:line="257" w:lineRule="auto"/>
        <w:rPr>
          <w:sz w:val="20"/>
          <w:szCs w:val="20"/>
          <w:color w:val="auto"/>
        </w:rPr>
      </w:pPr>
      <w:r>
        <w:rPr>
          <w:rFonts w:ascii="Times New Roman" w:cs="Times New Roman" w:eastAsia="Times New Roman" w:hAnsi="Times New Roman"/>
          <w:sz w:val="14"/>
          <w:szCs w:val="14"/>
          <w:color w:val="auto"/>
        </w:rPr>
        <w:t>In connection with this opinion, we have examined originals or copies, certified or otherwise identified to our satisfaction, of: (i) the Registration Statement; (ii) the Amended and Restated Certificate of Incorporation of the Company, as amended, as currently in effect (the “Certificate of Incorporation”); (iii) the Amended and Restated Bylaws of the Company as currently in effect (the “Bylaws”); and (iv) certain resolutions of the Board of Directors of the Company.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143" w:lineRule="exact"/>
        <w:rPr>
          <w:sz w:val="20"/>
          <w:szCs w:val="20"/>
          <w:color w:val="auto"/>
        </w:rPr>
      </w:pPr>
    </w:p>
    <w:p>
      <w:pPr>
        <w:jc w:val="both"/>
        <w:ind w:firstLine="502"/>
        <w:spacing w:after="0" w:line="255" w:lineRule="auto"/>
        <w:rPr>
          <w:sz w:val="20"/>
          <w:szCs w:val="20"/>
          <w:color w:val="auto"/>
        </w:rPr>
      </w:pPr>
      <w:r>
        <w:rPr>
          <w:rFonts w:ascii="Times New Roman" w:cs="Times New Roman" w:eastAsia="Times New Roman" w:hAnsi="Times New Roman"/>
          <w:sz w:val="14"/>
          <w:szCs w:val="14"/>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conformed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 expressed herein which we have not independently established or verified, we have relied upon statements and representations of officers and other representatives of the Company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327660</wp:posOffset>
            </wp:positionV>
            <wp:extent cx="71634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Lulu’s Fashion Lounge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179387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27" w:lineRule="exact"/>
        <w:rPr>
          <w:sz w:val="20"/>
          <w:szCs w:val="20"/>
          <w:color w:val="auto"/>
        </w:rPr>
      </w:pPr>
    </w:p>
    <w:p>
      <w:pPr>
        <w:jc w:val="both"/>
        <w:ind w:firstLine="502"/>
        <w:spacing w:after="0" w:line="257" w:lineRule="auto"/>
        <w:rPr>
          <w:sz w:val="20"/>
          <w:szCs w:val="20"/>
          <w:color w:val="auto"/>
        </w:rPr>
      </w:pPr>
      <w:r>
        <w:rPr>
          <w:rFonts w:ascii="Times New Roman" w:cs="Times New Roman" w:eastAsia="Times New Roman" w:hAnsi="Times New Roman"/>
          <w:sz w:val="14"/>
          <w:szCs w:val="14"/>
          <w:color w:val="auto"/>
        </w:rPr>
        <w:t>With your consent, we have assumed that (i) each of the Warrants and any related warrant agreement, the Units and any related unit agreement, and any purchase, underwriting or similar agreement (collectively, the “Documents”) will be governed by the internal laws of the State of New York and that the choice of law is legally enforceable; (ii) the Warrants, warrant agreements, Units and unit agreements will contain all provisions required under the laws of the State of Delaware in respect of contracts for the sale of securities issued by a Delaware corporation; (iii) each of the Documents will be duly authorized, executed and delivered by the parties thereto; and (iv) each of the Documents will constitute valid and binding obligations of the parties thereto other than the Company, enforceable against such parties in accordance with their respective terms.</w:t>
      </w:r>
    </w:p>
    <w:p>
      <w:pPr>
        <w:spacing w:after="0" w:line="143" w:lineRule="exact"/>
        <w:rPr>
          <w:sz w:val="20"/>
          <w:szCs w:val="20"/>
          <w:color w:val="auto"/>
        </w:rPr>
      </w:pPr>
    </w:p>
    <w:p>
      <w:pPr>
        <w:jc w:val="both"/>
        <w:ind w:firstLine="502"/>
        <w:spacing w:after="0" w:line="257" w:lineRule="auto"/>
        <w:rPr>
          <w:sz w:val="20"/>
          <w:szCs w:val="20"/>
          <w:color w:val="auto"/>
        </w:rPr>
      </w:pPr>
      <w:r>
        <w:rPr>
          <w:rFonts w:ascii="Times New Roman" w:cs="Times New Roman" w:eastAsia="Times New Roman" w:hAnsi="Times New Roman"/>
          <w:sz w:val="14"/>
          <w:szCs w:val="14"/>
          <w:color w:val="auto"/>
        </w:rPr>
        <w:t>We also have assumed that none of (i) the execution, delivery and performance of any of the Documents, (ii) the terms of any of the Securities to be established after the date hereof, (iii) the issuance and delivery of such Securities, or (iv) the compliance by the Company with the terms of such Securities will (a) violate any applicable law, rule or regulation to which the Company is then subject or the Certificate of Incorporation or Bylaws, each as then in effect, (b) result in a breach of or default under any instrument or agreement then binding upon the Company or any of its properties, or (c) violate, or cause the Company not to comply with, any consent, approval, license, authorization, restriction or requirement imposed by, or any filing, recording or registration with, any court or governmental body having jurisdiction over the Company.</w:t>
      </w:r>
    </w:p>
    <w:p>
      <w:pPr>
        <w:spacing w:after="0" w:line="143" w:lineRule="exact"/>
        <w:rPr>
          <w:sz w:val="20"/>
          <w:szCs w:val="20"/>
          <w:color w:val="auto"/>
        </w:rPr>
      </w:pPr>
    </w:p>
    <w:p>
      <w:pPr>
        <w:jc w:val="both"/>
        <w:ind w:firstLine="502"/>
        <w:spacing w:after="0" w:line="252" w:lineRule="auto"/>
        <w:rPr>
          <w:sz w:val="20"/>
          <w:szCs w:val="20"/>
          <w:color w:val="auto"/>
        </w:rPr>
      </w:pPr>
      <w:r>
        <w:rPr>
          <w:rFonts w:ascii="Times New Roman" w:cs="Times New Roman" w:eastAsia="Times New Roman" w:hAnsi="Times New Roman"/>
          <w:sz w:val="14"/>
          <w:szCs w:val="14"/>
          <w:color w:val="auto"/>
        </w:rPr>
        <w:t>We have further assumed that (i) the Registration Statement and any amendments thereto will have become effective under the Act (and such effectiveness shall not have been terminated or rescinded) and comply with all applicable laws at the time the Securities are offered and issued as contemplated by the Registration Statement, Prospectus and applicable Prospectus Supplement; (ii) an appropriate Prospectus Supplement relating to the Securities offered thereby will have been prepared and filed with the Commission in compliance with the Act and will comply with all applicable laws at the time the Securities are offered and issued as contemplated by the Registration Statement, Prospectus and such Prospectus Supplement; (iii) prior to any offering and sale of the Securities, the Company’s Board of Directors, including any appropriate committee thereof, will take all corporate action necessary to duly authorize the offering and sale of the Securities, including the price at which the Securities are to be issued and sold; (iv) the terms of the Securities will conform to the descriptions thereof in the Registration Statement, Prospectus, or applicable Prospectus Supplement and the corporate action of the Company authorizing the issuance and sale of such Securities; (v) all Securities will be issued and sold in compliance with the applicable provisions of the Act, and the securities or blue sky laws of various states and in the manner stated in the Registration Statement, Prospectus and applicable Prospectus Supplement; and (vi) the number of shares of Common Stock or Preferred Stock, as the case may be, offered pursuant to the Registration Statement, Prospectus and applicable Prospectus Supplement or, in the case of the Warrants and Units, as applicable, represented by, comprising or issuable upon exchange, exercise or conversion of such Securities, does not exceed, at the time of issuance of such Securities, the authorized but unissued shares of Common Stock or Preferred Stock, as the case may be.</w:t>
      </w:r>
    </w:p>
    <w:p>
      <w:pPr>
        <w:spacing w:after="0" w:line="1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Based upon the foregoing and subject to the limitations set forth below, as of the date hereof, we are of the opinion that:</w:t>
      </w:r>
    </w:p>
    <w:p>
      <w:pPr>
        <w:spacing w:after="0" w:line="174" w:lineRule="exact"/>
        <w:rPr>
          <w:sz w:val="20"/>
          <w:szCs w:val="20"/>
          <w:color w:val="auto"/>
        </w:rPr>
      </w:pPr>
    </w:p>
    <w:p>
      <w:pPr>
        <w:ind w:left="760" w:hanging="254"/>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a Delaware corporation that is validly existing and in good standing under Delaware law.</w:t>
      </w:r>
    </w:p>
    <w:p>
      <w:pPr>
        <w:spacing w:after="0" w:line="173" w:lineRule="exact"/>
        <w:rPr>
          <w:rFonts w:ascii="Times New Roman" w:cs="Times New Roman" w:eastAsia="Times New Roman" w:hAnsi="Times New Roman"/>
          <w:sz w:val="14"/>
          <w:szCs w:val="14"/>
          <w:color w:val="auto"/>
        </w:rPr>
      </w:pPr>
    </w:p>
    <w:p>
      <w:pPr>
        <w:jc w:val="both"/>
        <w:ind w:left="760" w:hanging="254"/>
        <w:spacing w:after="0" w:line="254" w:lineRule="auto"/>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shares of Common Stock to be offered by the Company pursuant to the Registration Statement, including shares of Common Stock issuable upon conversion of, exchange of or exercise of any Preferred Stock, Warrants or Units (the “Offered Common Stock”), (i) if the Offered Common Stock is to be sold pursuant to a firm commitment underwritten offering, when the underwriting agreement with respect to the Offered Common Stock has been duly authorized, executed and delivered by the Company and the other parties thereto, (ii) such Offered Common Stock shall have been duly authorized by the Company, (iii) the Offered Common Stock has been duly delivered to the purchasers thereof against payment of the agreed upon consideration therefor, provided that the consideration therefor is not less than $0.001 per share of Common Stock, and (iv) if the Offered Common Stock is to be certificated, certificates in the form required under the DGCL (as defined below) representing the shares of Offered Common Stock are duly executed and countersigned, the Offered Common Stock, when issued and sold in accordance with the applicable underwriting agreement, or any other duly authorized, executed and delivered valid and binding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716343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Lulu’s Fashion Lounge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179387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27" w:lineRule="exact"/>
        <w:rPr>
          <w:sz w:val="20"/>
          <w:szCs w:val="20"/>
          <w:color w:val="auto"/>
        </w:rPr>
      </w:pPr>
    </w:p>
    <w:p>
      <w:pPr>
        <w:jc w:val="both"/>
        <w:ind w:left="760" w:hanging="254"/>
        <w:spacing w:after="0" w:line="276" w:lineRule="auto"/>
        <w:tabs>
          <w:tab w:leader="none" w:pos="7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shares of any series or class of Preferred Stock to be offered by the Company pursuant to the Registration Statement, including shares of Preferred Stock issuable upon conversion of, exchange of or exercise of any Warrants or Units (the “Offered Preferred Stock”), (i) if the Offered Preferred Stock is to be sold pursuant to a firm commitment underwritten offering, when the underwriting agreement with respect to the Offered Preferred Stock has been duly authorized, executed and delivered by the Company and the other parties thereto,</w:t>
      </w:r>
    </w:p>
    <w:p>
      <w:pPr>
        <w:spacing w:after="0" w:line="1" w:lineRule="exact"/>
        <w:rPr>
          <w:rFonts w:ascii="Times New Roman" w:cs="Times New Roman" w:eastAsia="Times New Roman" w:hAnsi="Times New Roman"/>
          <w:sz w:val="13"/>
          <w:szCs w:val="13"/>
          <w:color w:val="auto"/>
        </w:rPr>
      </w:pPr>
    </w:p>
    <w:p>
      <w:pPr>
        <w:jc w:val="both"/>
        <w:ind w:left="760" w:hanging="3"/>
        <w:spacing w:after="0" w:line="251" w:lineRule="auto"/>
        <w:tabs>
          <w:tab w:leader="none" w:pos="979"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Offered Preferred Stock shall have been duly authorized by the Company, including the adoption of any required certificate of designation for the Offered Preferred Stock in accordance with the applicable provisions of the DGCL (the “Certificate of Designation”), (iii) when the filing of the Certificate of Designation with the Secretary of State of the State of Delaware has duly occurred, (iv) if the Offered Preferred Stock is to be certificated, certificates in the form required under the DGCL representing the shares of Offered Preferred Stock are duly executed and countersigned, and (v) the Offered Preferred Stock has been duly delivered to the purchasers thereof against payment of the agreed upon consideration therefor, provided that the consideration therefor is not less than $0.001 per share of Preferred Stock, the Offered Preferred Stock, when issued and sold in accordance with the applicable underwriting agreement, or any other duly authorized, executed and delivered valid and binding agreement, will be validly issued, fully paid and nonassessable.</w:t>
      </w:r>
    </w:p>
    <w:p>
      <w:pPr>
        <w:spacing w:after="0" w:line="146" w:lineRule="exact"/>
        <w:rPr>
          <w:rFonts w:ascii="Times New Roman" w:cs="Times New Roman" w:eastAsia="Times New Roman" w:hAnsi="Times New Roman"/>
          <w:sz w:val="14"/>
          <w:szCs w:val="14"/>
          <w:color w:val="auto"/>
        </w:rPr>
      </w:pPr>
    </w:p>
    <w:p>
      <w:pPr>
        <w:jc w:val="both"/>
        <w:ind w:left="760" w:hanging="254"/>
        <w:spacing w:after="0" w:line="254"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Warrants to be offered by the Company pursuant to the Registration Statement, when (a) a warrant agreement, if any, has been duly authorized, executed and delivered by the Company and the warrant agent named therein, (b) the specific terms of the particular issuance of Warrants have been duly established in accordance with such warrant agreement and applicable law and authorized by all necessary corporate action of the Company, (c) the Warrants have been duly executed, issued and delivered against payment therefor in accordance with such warrant agreement and as contemplated by the Registration Statement, the Prospectus, any applicable Prospectus Supplement, any applicable Documents and such corporate action, and (d) as applicable, the shares of Common Stock or Preferred Stock issuable upon exercise of the Warrants have been duly authorized and reserved for issuance upon exercise of the Warrants, such Warrants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46" w:lineRule="exact"/>
        <w:rPr>
          <w:rFonts w:ascii="Times New Roman" w:cs="Times New Roman" w:eastAsia="Times New Roman" w:hAnsi="Times New Roman"/>
          <w:sz w:val="14"/>
          <w:szCs w:val="14"/>
          <w:color w:val="auto"/>
        </w:rPr>
      </w:pPr>
    </w:p>
    <w:p>
      <w:pPr>
        <w:jc w:val="both"/>
        <w:ind w:left="760" w:hanging="254"/>
        <w:spacing w:after="0" w:line="254"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Units to be offered by the Company pursuant to the Registration Statement, when (a) a unit agreement has been duly authorized, executed and delivered by the Company and the counterparty named therein, (b) the specific terms of the particular issuance of Units have been duly established in accordance with such unit agreement and applicable law and authorized by all necessary corporate action of the Company, (c) the Units have been duly executed, authenticated, issued and delivered against payment therefor in accordance with such unit agreement and as contemplated by the Registration Statement, the Prospectus, any applicable Prospectus Supplement, any applicable Documents and such corporate action, and (d) as applicable, (i) the shares of Common Stock or Preferred Stock comprising the Units have been duly authorized and reserved for issuance, and/or (ii) the Warrants have been duly authorized, executed and delivered, in each case by all necessary corporate action and in accordance with the terms of the Units and the unit agreement, such Units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716343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Lulu’s Fashion Lounge Holdings,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179387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793875" cy="6350"/>
                    </a:xfrm>
                    <a:prstGeom prst="rect">
                      <a:avLst/>
                    </a:prstGeom>
                    <a:noFill/>
                  </pic:spPr>
                </pic:pic>
              </a:graphicData>
            </a:graphic>
          </wp:anchor>
        </w:drawing>
      </w:r>
    </w:p>
    <w:p>
      <w:pPr>
        <w:spacing w:after="0" w:line="327" w:lineRule="exact"/>
        <w:rPr>
          <w:sz w:val="20"/>
          <w:szCs w:val="20"/>
          <w:color w:val="auto"/>
        </w:rPr>
      </w:pPr>
    </w:p>
    <w:p>
      <w:pPr>
        <w:jc w:val="both"/>
        <w:ind w:firstLine="502"/>
        <w:spacing w:after="0" w:line="257" w:lineRule="auto"/>
        <w:rPr>
          <w:sz w:val="20"/>
          <w:szCs w:val="20"/>
          <w:color w:val="auto"/>
        </w:rPr>
      </w:pPr>
      <w:r>
        <w:rPr>
          <w:rFonts w:ascii="Times New Roman" w:cs="Times New Roman" w:eastAsia="Times New Roman" w:hAnsi="Times New Roman"/>
          <w:sz w:val="14"/>
          <w:szCs w:val="14"/>
          <w:color w:val="auto"/>
        </w:rPr>
        <w:t>For purposes of this opinion, we express no opinion as to matters governed by laws of any jurisdiction other than New York and the General Corporation Law of the State of Delaware (the “DGCL”). We neither express nor imply any obligation with respect to any other laws or the laws of any other jurisdiction or of the United States. For purposes of this opinion, we assume that the Securities will be issued in compliance with all applicable state securities or blue sky laws. We are opining only as to matters expressly set forth herein, and no opinion should be inferred as to any other matters. This opinion is rendered as of the date hereof and is based upon currently existing statutes, rules, regulations and judicial decisions. We disclaim any obligation to advise you of any change in any of these sources of law or subsequent legal or factual developments that affect any matters or opinions set forth herein.</w:t>
      </w:r>
    </w:p>
    <w:p>
      <w:pPr>
        <w:spacing w:after="0" w:line="143" w:lineRule="exact"/>
        <w:rPr>
          <w:sz w:val="20"/>
          <w:szCs w:val="20"/>
          <w:color w:val="auto"/>
        </w:rPr>
      </w:pPr>
    </w:p>
    <w:p>
      <w:pPr>
        <w:jc w:val="both"/>
        <w:ind w:firstLine="502"/>
        <w:spacing w:after="0" w:line="265" w:lineRule="auto"/>
        <w:rPr>
          <w:sz w:val="20"/>
          <w:szCs w:val="20"/>
          <w:color w:val="auto"/>
        </w:rPr>
      </w:pPr>
      <w:r>
        <w:rPr>
          <w:rFonts w:ascii="Times New Roman" w:cs="Times New Roman" w:eastAsia="Times New Roman" w:hAnsi="Times New Roman"/>
          <w:sz w:val="14"/>
          <w:szCs w:val="14"/>
          <w:color w:val="auto"/>
        </w:rPr>
        <w:t>We understand that you wish to file this opinion as an exhibit to the Registration Statement, and we hereby consent thereto. We hereby further consent to the reference to us under the caption “Legal Matters” in the Prospectus included in the Registration Statement. In giving such consent, we do not hereby admit that we are in the category of persons whose consent is required under Section 7 of the Act or the rules and regulations of the Commission.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AKERMAN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352425</wp:posOffset>
            </wp:positionV>
            <wp:extent cx="716343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March 30, 2026 relating to the financial statements of Lulu’s Fashion Lounge Holdings, Inc. appearing in the Annual Report on Form 10-K of Lulu’s Fashion Lounge Holdings, Inc. for the fiscal year ended December 28, 2025.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16343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311" w:right="319" w:bottom="1440" w:gutter="0" w:footer="0" w:header="0"/>
        </w:sectPr>
      </w:pPr>
    </w:p>
    <w:bookmarkStart w:id="34" w:name="page35"/>
    <w:bookmarkEnd w:id="34"/>
    <w:p>
      <w:pPr>
        <w:spacing w:after="0" w:line="63"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Lulu's Fashion Lounge Holdings, Inc.</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5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8"/>
              </w:rPr>
              <w:t>Table 1: Newly Registered and Carry Forward Securities</w:t>
            </w:r>
          </w:p>
        </w:tc>
        <w:tc>
          <w:tcPr>
            <w:tcW w:w="8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Fee</w:t>
            </w:r>
          </w:p>
        </w:tc>
        <w:tc>
          <w:tcPr>
            <w:tcW w:w="92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1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188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7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Carry</w:t>
            </w:r>
          </w:p>
        </w:tc>
        <w:tc>
          <w:tcPr>
            <w:tcW w:w="74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1860" w:type="dxa"/>
            <w:vAlign w:val="bottom"/>
          </w:tcPr>
          <w:p>
            <w:pPr>
              <w:spacing w:after="0"/>
              <w:rPr>
                <w:sz w:val="14"/>
                <w:szCs w:val="14"/>
                <w:color w:val="auto"/>
              </w:rPr>
            </w:pPr>
          </w:p>
        </w:tc>
        <w:tc>
          <w:tcPr>
            <w:tcW w:w="1740" w:type="dxa"/>
            <w:vAlign w:val="bottom"/>
            <w:gridSpan w:val="2"/>
          </w:tcPr>
          <w:p>
            <w:pPr>
              <w:ind w:left="80"/>
              <w:spacing w:after="0" w:line="167" w:lineRule="exact"/>
              <w:rPr>
                <w:sz w:val="20"/>
                <w:szCs w:val="20"/>
                <w:color w:val="auto"/>
              </w:rPr>
            </w:pPr>
            <w:r>
              <w:rPr>
                <w:rFonts w:ascii="Arial" w:cs="Arial" w:eastAsia="Arial" w:hAnsi="Arial"/>
                <w:sz w:val="17"/>
                <w:szCs w:val="17"/>
                <w:b w:val="1"/>
                <w:bCs w:val="1"/>
                <w:color w:val="auto"/>
              </w:rPr>
              <w:t>Security Calculation</w:t>
            </w:r>
          </w:p>
        </w:tc>
        <w:tc>
          <w:tcPr>
            <w:tcW w:w="920" w:type="dxa"/>
            <w:vAlign w:val="bottom"/>
          </w:tcPr>
          <w:p>
            <w:pPr>
              <w:spacing w:after="0"/>
              <w:rPr>
                <w:sz w:val="14"/>
                <w:szCs w:val="14"/>
                <w:color w:val="auto"/>
              </w:rPr>
            </w:pPr>
          </w:p>
        </w:tc>
        <w:tc>
          <w:tcPr>
            <w:tcW w:w="8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980" w:type="dxa"/>
            <w:vAlign w:val="bottom"/>
            <w:vMerge w:val="continue"/>
          </w:tcPr>
          <w:p>
            <w:pPr>
              <w:spacing w:after="0"/>
              <w:rPr>
                <w:sz w:val="14"/>
                <w:szCs w:val="14"/>
                <w:color w:val="auto"/>
              </w:rPr>
            </w:pPr>
          </w:p>
        </w:tc>
        <w:tc>
          <w:tcPr>
            <w:tcW w:w="1880" w:type="dxa"/>
            <w:vAlign w:val="bottom"/>
          </w:tcPr>
          <w:p>
            <w:pPr>
              <w:jc w:val="center"/>
              <w:ind w:left="756"/>
              <w:spacing w:after="0" w:line="167" w:lineRule="exact"/>
              <w:rPr>
                <w:sz w:val="20"/>
                <w:szCs w:val="20"/>
                <w:color w:val="auto"/>
              </w:rPr>
            </w:pPr>
            <w:r>
              <w:rPr>
                <w:rFonts w:ascii="Arial" w:cs="Arial" w:eastAsia="Arial" w:hAnsi="Arial"/>
                <w:sz w:val="17"/>
                <w:szCs w:val="17"/>
                <w:b w:val="1"/>
                <w:bCs w:val="1"/>
                <w:color w:val="auto"/>
                <w:w w:val="98"/>
              </w:rPr>
              <w:t>Amount of</w:t>
            </w:r>
          </w:p>
        </w:tc>
        <w:tc>
          <w:tcPr>
            <w:tcW w:w="6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60" w:type="dxa"/>
            <w:vAlign w:val="bottom"/>
          </w:tcPr>
          <w:p>
            <w:pPr>
              <w:jc w:val="center"/>
              <w:ind w:left="956"/>
              <w:spacing w:after="0" w:line="189" w:lineRule="exact"/>
              <w:rPr>
                <w:sz w:val="20"/>
                <w:szCs w:val="20"/>
                <w:color w:val="auto"/>
              </w:rPr>
            </w:pPr>
            <w:r>
              <w:rPr>
                <w:rFonts w:ascii="Arial" w:cs="Arial" w:eastAsia="Arial" w:hAnsi="Arial"/>
                <w:sz w:val="17"/>
                <w:szCs w:val="17"/>
                <w:b w:val="1"/>
                <w:bCs w:val="1"/>
                <w:color w:val="auto"/>
                <w:w w:val="98"/>
              </w:rPr>
              <w:t>Security</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6"/>
              </w:rPr>
              <w:t>Class</w:t>
            </w:r>
          </w:p>
        </w:tc>
        <w:tc>
          <w:tcPr>
            <w:tcW w:w="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1880" w:type="dxa"/>
            <w:vAlign w:val="bottom"/>
          </w:tcPr>
          <w:p>
            <w:pPr>
              <w:ind w:left="80"/>
              <w:spacing w:after="0" w:line="189" w:lineRule="exact"/>
              <w:rPr>
                <w:sz w:val="20"/>
                <w:szCs w:val="20"/>
                <w:color w:val="auto"/>
              </w:rPr>
            </w:pPr>
            <w:r>
              <w:rPr>
                <w:rFonts w:ascii="Arial" w:cs="Arial" w:eastAsia="Arial" w:hAnsi="Arial"/>
                <w:sz w:val="17"/>
                <w:szCs w:val="17"/>
                <w:b w:val="1"/>
                <w:bCs w:val="1"/>
                <w:color w:val="auto"/>
              </w:rPr>
              <w:t>Fee Rate Registration</w:t>
            </w:r>
          </w:p>
        </w:tc>
        <w:tc>
          <w:tcPr>
            <w:tcW w:w="142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w w:val="99"/>
              </w:rPr>
              <w:t>Forward Forward</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1860" w:type="dxa"/>
            <w:vAlign w:val="bottom"/>
          </w:tcPr>
          <w:p>
            <w:pPr>
              <w:jc w:val="center"/>
              <w:ind w:left="956"/>
              <w:spacing w:after="0" w:line="189" w:lineRule="exact"/>
              <w:rPr>
                <w:sz w:val="20"/>
                <w:szCs w:val="20"/>
                <w:color w:val="auto"/>
              </w:rPr>
            </w:pPr>
            <w:r>
              <w:rPr>
                <w:rFonts w:ascii="Arial" w:cs="Arial" w:eastAsia="Arial" w:hAnsi="Arial"/>
                <w:sz w:val="17"/>
                <w:szCs w:val="17"/>
                <w:b w:val="1"/>
                <w:bCs w:val="1"/>
                <w:color w:val="auto"/>
                <w:w w:val="95"/>
              </w:rPr>
              <w:t>Type</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Registered</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1880" w:type="dxa"/>
            <w:vAlign w:val="bottom"/>
          </w:tcPr>
          <w:p>
            <w:pPr>
              <w:jc w:val="center"/>
              <w:ind w:left="756"/>
              <w:spacing w:after="0" w:line="189" w:lineRule="exact"/>
              <w:rPr>
                <w:sz w:val="20"/>
                <w:szCs w:val="20"/>
                <w:color w:val="auto"/>
              </w:rPr>
            </w:pPr>
            <w:r>
              <w:rPr>
                <w:rFonts w:ascii="Arial" w:cs="Arial" w:eastAsia="Arial" w:hAnsi="Arial"/>
                <w:sz w:val="17"/>
                <w:szCs w:val="17"/>
                <w:b w:val="1"/>
                <w:bCs w:val="1"/>
                <w:color w:val="auto"/>
                <w:w w:val="95"/>
              </w:rPr>
              <w:t>Fee</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8"/>
        </w:trPr>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5"/>
                <w:szCs w:val="15"/>
                <w:b w:val="1"/>
                <w:bCs w:val="1"/>
                <w:color w:val="auto"/>
              </w:rPr>
              <w:t>Rule</w:t>
            </w:r>
          </w:p>
        </w:tc>
        <w:tc>
          <w:tcPr>
            <w:tcW w:w="920" w:type="dxa"/>
            <w:vAlign w:val="bottom"/>
          </w:tcPr>
          <w:p>
            <w:pPr>
              <w:spacing w:after="0"/>
              <w:rPr>
                <w:sz w:val="16"/>
                <w:szCs w:val="16"/>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5"/>
                <w:szCs w:val="15"/>
                <w:b w:val="1"/>
                <w:bCs w:val="1"/>
                <w:color w:val="auto"/>
              </w:rPr>
              <w:t>Unit</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6"/>
              </w:rPr>
              <w:t>Price</w:t>
            </w:r>
          </w:p>
        </w:tc>
        <w:tc>
          <w:tcPr>
            <w:tcW w:w="1880" w:type="dxa"/>
            <w:vAlign w:val="bottom"/>
          </w:tcPr>
          <w:p>
            <w:pPr>
              <w:spacing w:after="0"/>
              <w:rPr>
                <w:sz w:val="16"/>
                <w:szCs w:val="16"/>
                <w:color w:val="auto"/>
              </w:rPr>
            </w:pP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740" w:type="dxa"/>
            <w:vAlign w:val="bottom"/>
          </w:tcPr>
          <w:p>
            <w:pPr>
              <w:jc w:val="center"/>
              <w:spacing w:after="0" w:line="131" w:lineRule="exact"/>
              <w:rPr>
                <w:sz w:val="20"/>
                <w:szCs w:val="20"/>
                <w:color w:val="auto"/>
              </w:rPr>
            </w:pPr>
            <w:r>
              <w:rPr>
                <w:rFonts w:ascii="Arial" w:cs="Arial" w:eastAsia="Arial" w:hAnsi="Arial"/>
                <w:sz w:val="15"/>
                <w:szCs w:val="15"/>
                <w:b w:val="1"/>
                <w:bCs w:val="1"/>
                <w:color w:val="auto"/>
              </w:rPr>
              <w:t>Date</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-899160</wp:posOffset>
            </wp:positionV>
            <wp:extent cx="7214235" cy="5189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214235" cy="5189220"/>
                    </a:xfrm>
                    <a:prstGeom prst="rect">
                      <a:avLst/>
                    </a:prstGeom>
                    <a:noFill/>
                  </pic:spPr>
                </pic:pic>
              </a:graphicData>
            </a:graphic>
          </wp:anchor>
        </w:drawing>
      </w:r>
    </w:p>
    <w:p>
      <w:pPr>
        <w:jc w:val="center"/>
        <w:ind w:left="10440"/>
        <w:spacing w:after="0" w:line="182" w:lineRule="auto"/>
        <w:rPr>
          <w:sz w:val="20"/>
          <w:szCs w:val="20"/>
          <w:color w:val="auto"/>
        </w:rPr>
      </w:pPr>
      <w:r>
        <w:rPr>
          <w:rFonts w:ascii="Arial" w:cs="Arial" w:eastAsia="Arial" w:hAnsi="Arial"/>
          <w:sz w:val="15"/>
          <w:szCs w:val="15"/>
          <w:b w:val="1"/>
          <w:bCs w:val="1"/>
          <w:color w:val="auto"/>
        </w:rPr>
        <w:t>to be</w:t>
      </w:r>
    </w:p>
    <w:p>
      <w:pPr>
        <w:jc w:val="center"/>
        <w:ind w:left="10440"/>
        <w:spacing w:after="0" w:line="231" w:lineRule="auto"/>
        <w:rPr>
          <w:sz w:val="20"/>
          <w:szCs w:val="20"/>
          <w:color w:val="auto"/>
        </w:rPr>
      </w:pPr>
      <w:r>
        <w:rPr>
          <w:rFonts w:ascii="Arial" w:cs="Arial" w:eastAsia="Arial" w:hAnsi="Arial"/>
          <w:sz w:val="17"/>
          <w:szCs w:val="17"/>
          <w:b w:val="1"/>
          <w:bCs w:val="1"/>
          <w:color w:val="auto"/>
        </w:rPr>
        <w:t>Carried</w:t>
      </w:r>
    </w:p>
    <w:p>
      <w:pPr>
        <w:jc w:val="center"/>
        <w:ind w:left="10440"/>
        <w:spacing w:after="0"/>
        <w:rPr>
          <w:sz w:val="20"/>
          <w:szCs w:val="20"/>
          <w:color w:val="auto"/>
        </w:rPr>
      </w:pPr>
      <w:r>
        <w:rPr>
          <w:rFonts w:ascii="Arial" w:cs="Arial" w:eastAsia="Arial" w:hAnsi="Arial"/>
          <w:sz w:val="17"/>
          <w:szCs w:val="17"/>
          <w:b w:val="1"/>
          <w:bCs w:val="1"/>
          <w:color w:val="auto"/>
        </w:rPr>
        <w:t>Forward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Registered Securities</w:t>
      </w:r>
    </w:p>
    <w:p>
      <w:pPr>
        <w:spacing w:after="0" w:line="35"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Common</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Stock,</w:t>
      </w:r>
    </w:p>
    <w:p>
      <w:pPr>
        <w:ind w:left="1200"/>
        <w:spacing w:after="0" w:line="191" w:lineRule="auto"/>
        <w:tabs>
          <w:tab w:leader="none" w:pos="1900" w:val="left"/>
          <w:tab w:leader="none" w:pos="286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1"/>
          <w:szCs w:val="21"/>
          <w:color w:val="auto"/>
          <w:vertAlign w:val="superscript"/>
        </w:rPr>
        <w:t>par value</w:t>
      </w:r>
      <w:r>
        <w:rPr>
          <w:sz w:val="20"/>
          <w:szCs w:val="20"/>
          <w:color w:val="auto"/>
        </w:rPr>
        <w:tab/>
      </w:r>
      <w:r>
        <w:rPr>
          <w:rFonts w:ascii="Arial" w:cs="Arial" w:eastAsia="Arial" w:hAnsi="Arial"/>
          <w:sz w:val="12"/>
          <w:szCs w:val="12"/>
          <w:color w:val="auto"/>
        </w:rPr>
        <w:t>457(o)</w:t>
      </w:r>
    </w:p>
    <w:p>
      <w:pPr>
        <w:ind w:left="1920"/>
        <w:spacing w:after="0" w:line="231" w:lineRule="auto"/>
        <w:rPr>
          <w:sz w:val="20"/>
          <w:szCs w:val="20"/>
          <w:color w:val="auto"/>
        </w:rPr>
      </w:pPr>
      <w:r>
        <w:rPr>
          <w:rFonts w:ascii="Arial" w:cs="Arial" w:eastAsia="Arial" w:hAnsi="Arial"/>
          <w:sz w:val="17"/>
          <w:szCs w:val="17"/>
          <w:color w:val="auto"/>
        </w:rPr>
        <w:t>$0.001</w:t>
      </w:r>
    </w:p>
    <w:p>
      <w:pPr>
        <w:ind w:left="1920"/>
        <w:spacing w:after="0" w:line="231" w:lineRule="auto"/>
        <w:rPr>
          <w:sz w:val="20"/>
          <w:szCs w:val="20"/>
          <w:color w:val="auto"/>
        </w:rPr>
      </w:pPr>
      <w:r>
        <w:rPr>
          <w:rFonts w:ascii="Arial" w:cs="Arial" w:eastAsia="Arial" w:hAnsi="Arial"/>
          <w:sz w:val="17"/>
          <w:szCs w:val="17"/>
          <w:color w:val="auto"/>
        </w:rPr>
        <w:t>per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share</w:t>
      </w:r>
    </w:p>
    <w:p>
      <w:pPr>
        <w:spacing w:after="0" w:line="19"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Preferred</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Stock,</w:t>
      </w:r>
    </w:p>
    <w:p>
      <w:pPr>
        <w:ind w:left="1200"/>
        <w:spacing w:after="0" w:line="191" w:lineRule="auto"/>
        <w:tabs>
          <w:tab w:leader="none" w:pos="1900" w:val="left"/>
          <w:tab w:leader="none" w:pos="286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1"/>
          <w:szCs w:val="21"/>
          <w:color w:val="auto"/>
          <w:vertAlign w:val="superscript"/>
        </w:rPr>
        <w:t>par value</w:t>
      </w:r>
      <w:r>
        <w:rPr>
          <w:sz w:val="20"/>
          <w:szCs w:val="20"/>
          <w:color w:val="auto"/>
        </w:rPr>
        <w:tab/>
      </w:r>
      <w:r>
        <w:rPr>
          <w:rFonts w:ascii="Arial" w:cs="Arial" w:eastAsia="Arial" w:hAnsi="Arial"/>
          <w:sz w:val="12"/>
          <w:szCs w:val="12"/>
          <w:color w:val="auto"/>
        </w:rPr>
        <w:t>457(o)</w:t>
      </w:r>
    </w:p>
    <w:p>
      <w:pPr>
        <w:ind w:left="1920"/>
        <w:spacing w:after="0" w:line="231" w:lineRule="auto"/>
        <w:rPr>
          <w:sz w:val="20"/>
          <w:szCs w:val="20"/>
          <w:color w:val="auto"/>
        </w:rPr>
      </w:pPr>
      <w:r>
        <w:rPr>
          <w:rFonts w:ascii="Arial" w:cs="Arial" w:eastAsia="Arial" w:hAnsi="Arial"/>
          <w:sz w:val="17"/>
          <w:szCs w:val="17"/>
          <w:color w:val="auto"/>
        </w:rPr>
        <w:t>$0.001</w:t>
      </w:r>
    </w:p>
    <w:p>
      <w:pPr>
        <w:ind w:left="1920"/>
        <w:spacing w:after="0" w:line="231" w:lineRule="auto"/>
        <w:rPr>
          <w:sz w:val="20"/>
          <w:szCs w:val="20"/>
          <w:color w:val="auto"/>
        </w:rPr>
      </w:pPr>
      <w:r>
        <w:rPr>
          <w:rFonts w:ascii="Arial" w:cs="Arial" w:eastAsia="Arial" w:hAnsi="Arial"/>
          <w:sz w:val="17"/>
          <w:szCs w:val="17"/>
          <w:color w:val="auto"/>
        </w:rPr>
        <w:t>per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share</w:t>
      </w:r>
    </w:p>
    <w:p>
      <w:pPr>
        <w:spacing w:after="0" w:line="19" w:lineRule="exact"/>
        <w:rPr>
          <w:sz w:val="20"/>
          <w:szCs w:val="20"/>
          <w:color w:val="auto"/>
        </w:rPr>
      </w:pPr>
    </w:p>
    <w:p>
      <w:pPr>
        <w:ind w:left="1200"/>
        <w:spacing w:after="0"/>
        <w:tabs>
          <w:tab w:leader="none" w:pos="1900" w:val="left"/>
          <w:tab w:leader="none" w:pos="2860" w:val="left"/>
        </w:tabs>
        <w:rPr>
          <w:sz w:val="20"/>
          <w:szCs w:val="20"/>
          <w:color w:val="auto"/>
        </w:rPr>
      </w:pPr>
      <w:r>
        <w:rPr>
          <w:rFonts w:ascii="Arial" w:cs="Arial" w:eastAsia="Arial" w:hAnsi="Arial"/>
          <w:sz w:val="17"/>
          <w:szCs w:val="17"/>
          <w:color w:val="auto"/>
        </w:rPr>
        <w:t>Other</w:t>
      </w:r>
      <w:r>
        <w:rPr>
          <w:sz w:val="20"/>
          <w:szCs w:val="20"/>
          <w:color w:val="auto"/>
        </w:rPr>
        <w:tab/>
      </w:r>
      <w:r>
        <w:rPr>
          <w:rFonts w:ascii="Arial" w:cs="Arial" w:eastAsia="Arial" w:hAnsi="Arial"/>
          <w:sz w:val="17"/>
          <w:szCs w:val="17"/>
          <w:color w:val="auto"/>
          <w:shd w:val="clear" w:color="auto" w:fill="E7E7E2"/>
        </w:rPr>
        <w:t>Warrants</w:t>
      </w:r>
      <w:r>
        <w:rPr>
          <w:sz w:val="20"/>
          <w:szCs w:val="20"/>
          <w:color w:val="auto"/>
        </w:rPr>
        <w:tab/>
      </w:r>
      <w:r>
        <w:rPr>
          <w:rFonts w:ascii="Arial" w:cs="Arial" w:eastAsia="Arial" w:hAnsi="Arial"/>
          <w:sz w:val="16"/>
          <w:szCs w:val="16"/>
          <w:color w:val="auto"/>
        </w:rPr>
        <w:t>457(o)</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480" w:type="dxa"/>
            <w:vAlign w:val="bottom"/>
            <w:shd w:val="clear" w:color="auto" w:fill="E7E7E2"/>
          </w:tcPr>
          <w:p>
            <w:pPr>
              <w:spacing w:after="0"/>
              <w:rPr>
                <w:sz w:val="20"/>
                <w:szCs w:val="20"/>
                <w:color w:val="auto"/>
              </w:rPr>
            </w:pPr>
            <w:r>
              <w:rPr>
                <w:rFonts w:ascii="Arial" w:cs="Arial" w:eastAsia="Arial" w:hAnsi="Arial"/>
                <w:sz w:val="17"/>
                <w:szCs w:val="17"/>
                <w:color w:val="auto"/>
              </w:rPr>
              <w:t>Units</w:t>
            </w: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78" w:lineRule="exact"/>
              <w:rPr>
                <w:sz w:val="20"/>
                <w:szCs w:val="20"/>
                <w:color w:val="auto"/>
              </w:rPr>
            </w:pPr>
            <w:r>
              <w:rPr>
                <w:rFonts w:ascii="Arial" w:cs="Arial" w:eastAsia="Arial" w:hAnsi="Arial"/>
                <w:sz w:val="17"/>
                <w:szCs w:val="17"/>
                <w:color w:val="auto"/>
                <w:w w:val="97"/>
              </w:rPr>
              <w:t>Unallocated</w:t>
            </w: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(Universal)</w:t>
            </w:r>
          </w:p>
        </w:tc>
        <w:tc>
          <w:tcPr>
            <w:tcW w:w="20" w:type="dxa"/>
            <w:vAlign w:val="bottom"/>
          </w:tcPr>
          <w:p>
            <w:pPr>
              <w:spacing w:after="0"/>
              <w:rPr>
                <w:sz w:val="8"/>
                <w:szCs w:val="8"/>
                <w:color w:val="auto"/>
              </w:rPr>
            </w:pPr>
          </w:p>
        </w:tc>
        <w:tc>
          <w:tcPr>
            <w:tcW w:w="480" w:type="dxa"/>
            <w:vAlign w:val="bottom"/>
            <w:shd w:val="clear" w:color="auto" w:fill="E7E7E2"/>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$ 1,035.75</w:t>
            </w:r>
          </w:p>
        </w:tc>
        <w:tc>
          <w:tcPr>
            <w:tcW w:w="0" w:type="dxa"/>
            <w:vAlign w:val="bottom"/>
          </w:tcPr>
          <w:p>
            <w:pPr>
              <w:spacing w:after="0"/>
              <w:rPr>
                <w:sz w:val="1"/>
                <w:szCs w:val="1"/>
                <w:color w:val="auto"/>
              </w:rPr>
            </w:pPr>
          </w:p>
        </w:tc>
      </w:tr>
      <w:tr>
        <w:trPr>
          <w:trHeight w:val="168"/>
        </w:trPr>
        <w:tc>
          <w:tcPr>
            <w:tcW w:w="80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shd w:val="clear" w:color="auto" w:fill="E7E7E2"/>
          </w:tcPr>
          <w:p>
            <w:pPr>
              <w:spacing w:after="0"/>
              <w:rPr>
                <w:sz w:val="14"/>
                <w:szCs w:val="14"/>
                <w:color w:val="auto"/>
              </w:rPr>
            </w:pPr>
          </w:p>
        </w:tc>
        <w:tc>
          <w:tcPr>
            <w:tcW w:w="2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7,500,000.00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ind w:left="20"/>
              <w:spacing w:after="0" w:line="147"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480" w:type="dxa"/>
            <w:vAlign w:val="bottom"/>
            <w:shd w:val="clear" w:color="auto" w:fill="E7E7E2"/>
          </w:tcPr>
          <w:p>
            <w:pPr>
              <w:spacing w:after="0"/>
              <w:rPr>
                <w:sz w:val="12"/>
                <w:szCs w:val="12"/>
                <w:color w:val="auto"/>
              </w:rPr>
            </w:pPr>
          </w:p>
        </w:tc>
        <w:tc>
          <w:tcPr>
            <w:tcW w:w="2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jc w:val="right"/>
              <w:ind w:right="416"/>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$ 1,035.75</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7,500,000.00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$ 1,035.75</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jc w:val="both"/>
        <w:ind w:left="220" w:right="280"/>
        <w:spacing w:after="0" w:line="253" w:lineRule="auto"/>
        <w:rPr>
          <w:sz w:val="20"/>
          <w:szCs w:val="20"/>
          <w:color w:val="auto"/>
        </w:rPr>
      </w:pPr>
      <w:r>
        <w:rPr>
          <w:rFonts w:ascii="Arial" w:cs="Arial" w:eastAsia="Arial" w:hAnsi="Arial"/>
          <w:sz w:val="16"/>
          <w:szCs w:val="16"/>
          <w:color w:val="auto"/>
        </w:rPr>
        <w:t>Note.1a. An indeterminate number of shares of common stock and preferred stock, warrants and units are being registered hereunder as may from time to time be offered at indeterminate prices, with an aggregate maximum offering price not to exceed $7,500,000. There is also being registered hereunder such indeterminate number of shares of common stock and preferred stock as may be issuable upon conversion, exercise, exchange or settlement of any securities registered hereunder, including pursuant to any applicable anti-dilution provisions. Any securities registered hereunder may be sold separately or together with other securities registered hereunder.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49" w:lineRule="exact"/>
        <w:rPr>
          <w:sz w:val="20"/>
          <w:szCs w:val="20"/>
          <w:color w:val="auto"/>
        </w:rPr>
      </w:pPr>
    </w:p>
    <w:p>
      <w:pPr>
        <w:ind w:left="220" w:right="160"/>
        <w:spacing w:after="0" w:line="241" w:lineRule="auto"/>
        <w:rPr>
          <w:sz w:val="20"/>
          <w:szCs w:val="20"/>
          <w:color w:val="auto"/>
        </w:rPr>
      </w:pPr>
      <w:r>
        <w:rPr>
          <w:rFonts w:ascii="Arial" w:cs="Arial" w:eastAsia="Arial" w:hAnsi="Arial"/>
          <w:sz w:val="17"/>
          <w:szCs w:val="17"/>
          <w:color w:val="auto"/>
        </w:rPr>
        <w:t>Note.1b. 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 The registration fee has been calculated in accordance with Rule 457(o) under the Securities Act based on the proposed maximum aggregate offering price of all securities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8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7155815</wp:posOffset>
            </wp:positionH>
            <wp:positionV relativeFrom="paragraph">
              <wp:posOffset>-992505</wp:posOffset>
            </wp:positionV>
            <wp:extent cx="12700" cy="1946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12700" cy="19469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-992505</wp:posOffset>
            </wp:positionV>
            <wp:extent cx="12700" cy="1946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12700" cy="194691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095" cy="252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10095" cy="2527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095" cy="252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10095" cy="25273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-116840</wp:posOffset>
            </wp:positionV>
            <wp:extent cx="7110095" cy="1162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10095" cy="116205"/>
                    </a:xfrm>
                    <a:prstGeom prst="rect">
                      <a:avLst/>
                    </a:prstGeom>
                    <a:noFill/>
                  </pic:spPr>
                </pic:pic>
              </a:graphicData>
            </a:graphic>
          </wp:anchor>
        </w:drawing>
      </w:r>
    </w:p>
    <w:p>
      <w:pPr>
        <w:sectPr>
          <w:pgSz w:w="11900" w:h="16902" w:orient="portrait"/>
          <w:cols w:equalWidth="0" w:num="1">
            <w:col w:w="11360"/>
          </w:cols>
          <w:pgMar w:left="300" w:top="142" w:right="239" w:bottom="0" w:gutter="0" w:footer="0" w:header="0"/>
        </w:sectPr>
      </w:pPr>
    </w:p>
    <w:bookmarkStart w:id="35" w:name="page36"/>
    <w:bookmarkEnd w:id="35"/>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69150" cy="415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69150" cy="4152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7"/>
              </w:rPr>
              <w:t>Table 3: Combined Prospectuses</w:t>
            </w:r>
          </w:p>
        </w:tc>
        <w:tc>
          <w:tcPr>
            <w:tcW w:w="2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2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lvl w:ilvl="1">
      <w:lvlJc w:val="left"/>
      <w:lvlText w:val="(%2)"/>
      <w:numFmt w:val="lowerRoman"/>
      <w:start w:val="1"/>
    </w:lvl>
  </w:abstractNum>
  <w:abstractNum w:abstractNumId="10">
    <w:nsid w:val="1BEFD79F"/>
    <w:multiLevelType w:val="hybridMultilevel"/>
    <w:lvl w:ilvl="0">
      <w:lvlJc w:val="left"/>
      <w:lvlText w:val="(%1)"/>
      <w:numFmt w:val="decimal"/>
      <w:start w:val="2"/>
    </w:lvl>
    <w:lvl w:ilvl="1">
      <w:lvlJc w:val="left"/>
      <w:lvlText w:val="%2."/>
      <w:numFmt w:val="upperLetter"/>
      <w:start w:val="1"/>
    </w:lvl>
  </w:abstractNum>
  <w:abstractNum w:abstractNumId="11">
    <w:nsid w:val="41A7C4C9"/>
    <w:multiLevelType w:val="hybridMultilevel"/>
    <w:lvl w:ilvl="0">
      <w:lvlJc w:val="left"/>
      <w:lvlText w:val="%1"/>
      <w:numFmt w:val="decimal"/>
      <w:start w:val="1"/>
    </w:lvl>
    <w:lvl w:ilvl="1">
      <w:lvlJc w:val="left"/>
      <w:lvlText w:val="%2."/>
      <w:numFmt w:val="upperLetter"/>
      <w:start w:val="2"/>
    </w:lvl>
  </w:abstractNum>
  <w:abstractNum w:abstractNumId="12">
    <w:nsid w:val="6B68079A"/>
    <w:multiLevelType w:val="hybridMultilevel"/>
    <w:lvl w:ilvl="0">
      <w:lvlJc w:val="left"/>
      <w:lvlText w:val="(%1)"/>
      <w:numFmt w:val="decimal"/>
      <w:start w:val="5"/>
    </w:lvl>
    <w:lvl w:ilvl="1">
      <w:lvlJc w:val="left"/>
      <w:lvlText w:val="%2"/>
      <w:numFmt w:val="upperLetter"/>
      <w:start w:val="1"/>
    </w:lvl>
  </w:abstractNum>
  <w:abstractNum w:abstractNumId="13">
    <w:nsid w:val="4E6AFB66"/>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4">
    <w:nsid w:val="25E45D32"/>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3"/>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jpe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jpe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42" Type="http://schemas.openxmlformats.org/officeDocument/2006/relationships/hyperlink" Target="https://www.sec.gov/ix?doc=/Archives/edgar/data/1780201/000110465926036884/lvlu-20251228x10k.htm" TargetMode="External"/><Relationship Id="rId43" Type="http://schemas.openxmlformats.org/officeDocument/2006/relationships/hyperlink" Target="https://www.sec.gov/ix?doc=/Archives/edgar/data/1780201/000114036126016365/ny20064169x2_def14a.htm" TargetMode="External"/><Relationship Id="rId44" Type="http://schemas.openxmlformats.org/officeDocument/2006/relationships/hyperlink" Target="https://www.sec.gov/ix?doc=/Archives/edgar/data/1780201/000110465926060254/lvlu-20260329x10q.htm" TargetMode="External"/><Relationship Id="rId45" Type="http://schemas.openxmlformats.org/officeDocument/2006/relationships/hyperlink" Target="https://www.sec.gov/ix?doc=/Archives/edgar/data/1780201/000110465926005773/lvlu-20260122x8k.htm" TargetMode="External"/><Relationship Id="rId46" Type="http://schemas.openxmlformats.org/officeDocument/2006/relationships/hyperlink" Target="https://www.sec.gov/ix?doc=/Archives/edgar/data/1780201/000110465926010874/tm265328d1_8k.htm" TargetMode="External"/><Relationship Id="rId47" Type="http://schemas.openxmlformats.org/officeDocument/2006/relationships/hyperlink" Target="https://www.sec.gov/ix?doc=/Archives/edgar/data/1780201/000110465926067467/lvlu-20260521x8k.htm" TargetMode="External"/><Relationship Id="rId48" Type="http://schemas.openxmlformats.org/officeDocument/2006/relationships/hyperlink" Target="https://www.sec.gov/ix?doc=/Archives/edgar/data/1780201/000110465926072317/lvlu-20260609x8k.htm" TargetMode="External"/><Relationship Id="rId49" Type="http://schemas.openxmlformats.org/officeDocument/2006/relationships/hyperlink" Target="https://www.sec.gov/Archives/edgar/data/1780201/000119312521326040/d256146d8a12b.htm" TargetMode="External"/><Relationship Id="rId50" Type="http://schemas.openxmlformats.org/officeDocument/2006/relationships/hyperlink" Target="https://www.sec.gov/Archives/edgar/data/1780201/000155837022004959/tmb-20220102xex4d3.htm" TargetMode="External"/><Relationship Id="rId63" Type="http://schemas.openxmlformats.org/officeDocument/2006/relationships/hyperlink" Target="https://www.sec.gov/Archives/edgar/data/1780201/000155837021016885/tmb-20211003xex3d1.htm" TargetMode="External"/><Relationship Id="rId64" Type="http://schemas.openxmlformats.org/officeDocument/2006/relationships/hyperlink" Target="https://www.sec.gov/Archives/edgar/data/1780201/000155837025008916/tmb-20250623xex3d2.htm" TargetMode="External"/><Relationship Id="rId65" Type="http://schemas.openxmlformats.org/officeDocument/2006/relationships/hyperlink" Target="https://www.sec.gov/Archives/edgar/data/1780201/000155837021016885/tmb-20211003xex3d2.htm" TargetMode="External"/><Relationship Id="rId66" Type="http://schemas.openxmlformats.org/officeDocument/2006/relationships/hyperlink" Target="https://www.sec.gov/Archives/edgar/data/1780201/000119312521296901/d18937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2026-07-02T15:11:40Z</dcterms:created>
  <dcterms:modified xsi:type="dcterms:W3CDTF">2026-07-02T15:11:40Z</dcterms:modified>
</cp:coreProperties>
</file>