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114300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June 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103505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197485</wp:posOffset>
            </wp:positionV>
            <wp:extent cx="104584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Lulu’s Fashion Lounge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1"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001-41059</w:t>
            </w:r>
          </w:p>
        </w:tc>
        <w:tc>
          <w:tcPr>
            <w:tcW w:w="2660" w:type="dxa"/>
            <w:vAlign w:val="bottom"/>
            <w:gridSpan w:val="3"/>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20-8442468</w:t>
            </w:r>
          </w:p>
        </w:tc>
      </w:tr>
      <w:tr>
        <w:trPr>
          <w:trHeight w:val="20"/>
        </w:trPr>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6"/>
        </w:trPr>
        <w:tc>
          <w:tcPr>
            <w:tcW w:w="2160" w:type="dxa"/>
            <w:vAlign w:val="bottom"/>
            <w:gridSpan w:val="3"/>
          </w:tcPr>
          <w:p>
            <w:pPr>
              <w:jc w:val="center"/>
              <w:ind w:right="600"/>
              <w:spacing w:after="0" w:line="147" w:lineRule="exact"/>
              <w:rPr>
                <w:sz w:val="20"/>
                <w:szCs w:val="20"/>
                <w:color w:val="auto"/>
              </w:rPr>
            </w:pPr>
            <w:r>
              <w:rPr>
                <w:rFonts w:ascii="Times New Roman" w:cs="Times New Roman" w:eastAsia="Times New Roman" w:hAnsi="Times New Roman"/>
                <w:sz w:val="14"/>
                <w:szCs w:val="14"/>
                <w:color w:val="auto"/>
              </w:rPr>
              <w:t>(State or Other Jurisdiction</w:t>
            </w:r>
          </w:p>
        </w:tc>
        <w:tc>
          <w:tcPr>
            <w:tcW w:w="60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(Commission</w:t>
            </w:r>
          </w:p>
        </w:tc>
        <w:tc>
          <w:tcPr>
            <w:tcW w:w="2660" w:type="dxa"/>
            <w:vAlign w:val="bottom"/>
            <w:gridSpan w:val="3"/>
          </w:tcPr>
          <w:p>
            <w:pPr>
              <w:jc w:val="center"/>
              <w:ind w:left="1262"/>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1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of Incorporation)</w:t>
            </w:r>
          </w:p>
        </w:tc>
        <w:tc>
          <w:tcPr>
            <w:tcW w:w="60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File Number)</w:t>
            </w:r>
          </w:p>
        </w:tc>
        <w:tc>
          <w:tcPr>
            <w:tcW w:w="266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495 Ryan Avenue, Suite 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Chico, California 95973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(530) 343-3545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99060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7" w:lineRule="exact"/>
        <w:rPr>
          <w:sz w:val="24"/>
          <w:szCs w:val="24"/>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20" w:type="dxa"/>
            <w:vAlign w:val="bottom"/>
            <w:gridSpan w:val="2"/>
            <w:vMerge w:val="continue"/>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LVLU</w:t>
            </w:r>
          </w:p>
        </w:tc>
        <w:tc>
          <w:tcPr>
            <w:tcW w:w="18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left="60" w:right="7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436880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9, 2026, Lulu’s Fashion Lounge Holdings, Inc. (the “Company”) held its Annual Meeting of Stockholders (the “Annual Meeting”). A total of 2,720,565 shares of the Company’s common stock, $0.001 par value per share (“Common Stock”), were present in person or represented by proxy at the Annual Meeting, representing approximately 94.98% of the Company’s outstanding Common Stock as of the April 15, 2026 record date. The following are the voting results for the proposals considered and voted upon at the Annual Meeting, each of which were described in the Company’s Definitive Proxy Statement filed with the Securities and Exchange Commission on April 23, 2026.</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Proposal 1 — Election of two Class II directors to serve for a term of office expiring on the date of the 2029 annual meeting of stockholders, and until their respective successors have been duly elected and qualified or until each such director’s earlier death, resignation or removal.</w:t>
      </w:r>
    </w:p>
    <w:p>
      <w:pPr>
        <w:spacing w:after="0" w:line="1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WITHHOLD</w:t>
            </w:r>
          </w:p>
        </w:tc>
        <w:tc>
          <w:tcPr>
            <w:tcW w:w="3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BROKER</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rPr>
              <w:t>NON-VOTE</w:t>
            </w:r>
          </w:p>
        </w:tc>
        <w:tc>
          <w:tcPr>
            <w:tcW w:w="3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Anisa Kumar</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2,301,513</w:t>
            </w:r>
          </w:p>
        </w:tc>
        <w:tc>
          <w:tcPr>
            <w:tcW w:w="240" w:type="dxa"/>
            <w:vAlign w:val="bottom"/>
          </w:tcPr>
          <w:p>
            <w:pPr>
              <w:spacing w:after="0"/>
              <w:rPr>
                <w:sz w:val="24"/>
                <w:szCs w:val="24"/>
                <w:color w:val="auto"/>
              </w:rPr>
            </w:pPr>
          </w:p>
        </w:tc>
        <w:tc>
          <w:tcPr>
            <w:tcW w:w="120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35,217</w:t>
            </w: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383,835</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Crystal Landsem</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2,324,327</w:t>
            </w:r>
          </w:p>
        </w:tc>
        <w:tc>
          <w:tcPr>
            <w:tcW w:w="240" w:type="dxa"/>
            <w:vAlign w:val="bottom"/>
          </w:tcPr>
          <w:p>
            <w:pPr>
              <w:spacing w:after="0"/>
              <w:rPr>
                <w:sz w:val="24"/>
                <w:szCs w:val="24"/>
                <w:color w:val="auto"/>
              </w:rPr>
            </w:pPr>
          </w:p>
        </w:tc>
        <w:tc>
          <w:tcPr>
            <w:tcW w:w="120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12,403</w:t>
            </w: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383,835</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-590550</wp:posOffset>
            </wp:positionV>
            <wp:extent cx="2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Proposal 2 — Ratification of the appointment of Deloitte &amp; Touche LLP as the Company’s independent registered public accounting firm for the fiscal year ending January 3, 2027.</w:t>
      </w:r>
    </w:p>
    <w:p>
      <w:pPr>
        <w:spacing w:after="0" w:line="162"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BROKER</w:t>
            </w:r>
          </w:p>
        </w:tc>
      </w:tr>
      <w:tr>
        <w:trPr>
          <w:trHeight w:val="194"/>
        </w:trPr>
        <w:tc>
          <w:tcPr>
            <w:tcW w:w="620" w:type="dxa"/>
            <w:vAlign w:val="bottom"/>
          </w:tcPr>
          <w:p>
            <w:pPr>
              <w:spacing w:after="0"/>
              <w:rPr>
                <w:sz w:val="16"/>
                <w:szCs w:val="16"/>
                <w:color w:val="auto"/>
              </w:rPr>
            </w:pPr>
          </w:p>
        </w:tc>
        <w:tc>
          <w:tcPr>
            <w:tcW w:w="1200" w:type="dxa"/>
            <w:vAlign w:val="bottom"/>
            <w:gridSpan w:val="3"/>
          </w:tcPr>
          <w:p>
            <w:pPr>
              <w:jc w:val="center"/>
              <w:ind w:right="860"/>
              <w:spacing w:after="0" w:line="194" w:lineRule="exact"/>
              <w:rPr>
                <w:sz w:val="20"/>
                <w:szCs w:val="20"/>
                <w:color w:val="auto"/>
              </w:rPr>
            </w:pPr>
            <w:r>
              <w:rPr>
                <w:rFonts w:ascii="Times New Roman" w:cs="Times New Roman" w:eastAsia="Times New Roman" w:hAnsi="Times New Roman"/>
                <w:sz w:val="18"/>
                <w:szCs w:val="18"/>
                <w:color w:val="auto"/>
                <w:w w:val="96"/>
              </w:rPr>
              <w:t>FOR</w:t>
            </w:r>
          </w:p>
        </w:tc>
        <w:tc>
          <w:tcPr>
            <w:tcW w:w="1820" w:type="dxa"/>
            <w:vAlign w:val="bottom"/>
            <w:gridSpan w:val="4"/>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AGAINST</w:t>
            </w:r>
          </w:p>
        </w:tc>
        <w:tc>
          <w:tcPr>
            <w:tcW w:w="420" w:type="dxa"/>
            <w:vAlign w:val="bottom"/>
          </w:tcPr>
          <w:p>
            <w:pPr>
              <w:spacing w:after="0"/>
              <w:rPr>
                <w:sz w:val="16"/>
                <w:szCs w:val="16"/>
                <w:color w:val="auto"/>
              </w:rPr>
            </w:pPr>
          </w:p>
        </w:tc>
        <w:tc>
          <w:tcPr>
            <w:tcW w:w="1420" w:type="dxa"/>
            <w:vAlign w:val="bottom"/>
            <w:gridSpan w:val="3"/>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7"/>
              </w:rPr>
              <w:t>ABSTAIN</w:t>
            </w:r>
          </w:p>
        </w:tc>
        <w:tc>
          <w:tcPr>
            <w:tcW w:w="34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rPr>
              <w:t>NON-VOTE</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01"/>
        </w:trPr>
        <w:tc>
          <w:tcPr>
            <w:tcW w:w="16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2,700,276</w:t>
            </w: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20,130</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-539115</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Proposal 3 — Approval of an amendment to the Company’s Fourth Amended and Restated Certificate of Incorporation (the “Certificate of Incorporation”) to decrease the number of authorized shares of the Company’s common stock from 250,000,000 to 15,000,000 and decrease the number of authorized shares of the Company’s preferred stock from 10,000,000 to 500,000.</w:t>
      </w:r>
    </w:p>
    <w:p>
      <w:pPr>
        <w:spacing w:after="0" w:line="19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BROKER</w:t>
            </w:r>
          </w:p>
        </w:tc>
      </w:tr>
      <w:tr>
        <w:trPr>
          <w:trHeight w:val="194"/>
        </w:trPr>
        <w:tc>
          <w:tcPr>
            <w:tcW w:w="620" w:type="dxa"/>
            <w:vAlign w:val="bottom"/>
          </w:tcPr>
          <w:p>
            <w:pPr>
              <w:spacing w:after="0"/>
              <w:rPr>
                <w:sz w:val="16"/>
                <w:szCs w:val="16"/>
                <w:color w:val="auto"/>
              </w:rPr>
            </w:pPr>
          </w:p>
        </w:tc>
        <w:tc>
          <w:tcPr>
            <w:tcW w:w="1200" w:type="dxa"/>
            <w:vAlign w:val="bottom"/>
            <w:gridSpan w:val="3"/>
          </w:tcPr>
          <w:p>
            <w:pPr>
              <w:jc w:val="center"/>
              <w:ind w:right="860"/>
              <w:spacing w:after="0" w:line="194" w:lineRule="exact"/>
              <w:rPr>
                <w:sz w:val="20"/>
                <w:szCs w:val="20"/>
                <w:color w:val="auto"/>
              </w:rPr>
            </w:pPr>
            <w:r>
              <w:rPr>
                <w:rFonts w:ascii="Times New Roman" w:cs="Times New Roman" w:eastAsia="Times New Roman" w:hAnsi="Times New Roman"/>
                <w:sz w:val="18"/>
                <w:szCs w:val="18"/>
                <w:color w:val="auto"/>
                <w:w w:val="96"/>
              </w:rPr>
              <w:t>FOR</w:t>
            </w:r>
          </w:p>
        </w:tc>
        <w:tc>
          <w:tcPr>
            <w:tcW w:w="1820" w:type="dxa"/>
            <w:vAlign w:val="bottom"/>
            <w:gridSpan w:val="4"/>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AGAINST</w:t>
            </w:r>
          </w:p>
        </w:tc>
        <w:tc>
          <w:tcPr>
            <w:tcW w:w="420" w:type="dxa"/>
            <w:vAlign w:val="bottom"/>
          </w:tcPr>
          <w:p>
            <w:pPr>
              <w:spacing w:after="0"/>
              <w:rPr>
                <w:sz w:val="16"/>
                <w:szCs w:val="16"/>
                <w:color w:val="auto"/>
              </w:rPr>
            </w:pPr>
          </w:p>
        </w:tc>
        <w:tc>
          <w:tcPr>
            <w:tcW w:w="1420" w:type="dxa"/>
            <w:vAlign w:val="bottom"/>
            <w:gridSpan w:val="3"/>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7"/>
              </w:rPr>
              <w:t>ABSTAIN</w:t>
            </w:r>
          </w:p>
        </w:tc>
        <w:tc>
          <w:tcPr>
            <w:tcW w:w="34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rPr>
              <w:t>NON-VOTE</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01"/>
        </w:trPr>
        <w:tc>
          <w:tcPr>
            <w:tcW w:w="16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2,333,879</w:t>
            </w: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2,839</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383,835</w:t>
            </w:r>
          </w:p>
        </w:tc>
        <w:tc>
          <w:tcPr>
            <w:tcW w:w="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-539115</wp:posOffset>
            </wp:positionV>
            <wp:extent cx="28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Proposal 4 — Approval of an amendment to the Company’s Certificate of Incorporation to provide exculpation to certain officers of the Company as permitted by amendments to the Delaware General Corporation Law.</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BROKER</w:t>
            </w:r>
          </w:p>
        </w:tc>
      </w:tr>
      <w:tr>
        <w:trPr>
          <w:trHeight w:val="194"/>
        </w:trPr>
        <w:tc>
          <w:tcPr>
            <w:tcW w:w="620" w:type="dxa"/>
            <w:vAlign w:val="bottom"/>
          </w:tcPr>
          <w:p>
            <w:pPr>
              <w:spacing w:after="0"/>
              <w:rPr>
                <w:sz w:val="16"/>
                <w:szCs w:val="16"/>
                <w:color w:val="auto"/>
              </w:rPr>
            </w:pPr>
          </w:p>
        </w:tc>
        <w:tc>
          <w:tcPr>
            <w:tcW w:w="1200" w:type="dxa"/>
            <w:vAlign w:val="bottom"/>
            <w:gridSpan w:val="3"/>
          </w:tcPr>
          <w:p>
            <w:pPr>
              <w:jc w:val="center"/>
              <w:ind w:right="860"/>
              <w:spacing w:after="0" w:line="194" w:lineRule="exact"/>
              <w:rPr>
                <w:sz w:val="20"/>
                <w:szCs w:val="20"/>
                <w:color w:val="auto"/>
              </w:rPr>
            </w:pPr>
            <w:r>
              <w:rPr>
                <w:rFonts w:ascii="Times New Roman" w:cs="Times New Roman" w:eastAsia="Times New Roman" w:hAnsi="Times New Roman"/>
                <w:sz w:val="18"/>
                <w:szCs w:val="18"/>
                <w:color w:val="auto"/>
                <w:w w:val="96"/>
              </w:rPr>
              <w:t>FOR</w:t>
            </w:r>
          </w:p>
        </w:tc>
        <w:tc>
          <w:tcPr>
            <w:tcW w:w="1820" w:type="dxa"/>
            <w:vAlign w:val="bottom"/>
            <w:gridSpan w:val="4"/>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AGAINST</w:t>
            </w:r>
          </w:p>
        </w:tc>
        <w:tc>
          <w:tcPr>
            <w:tcW w:w="420" w:type="dxa"/>
            <w:vAlign w:val="bottom"/>
          </w:tcPr>
          <w:p>
            <w:pPr>
              <w:spacing w:after="0"/>
              <w:rPr>
                <w:sz w:val="16"/>
                <w:szCs w:val="16"/>
                <w:color w:val="auto"/>
              </w:rPr>
            </w:pPr>
          </w:p>
        </w:tc>
        <w:tc>
          <w:tcPr>
            <w:tcW w:w="1420" w:type="dxa"/>
            <w:vAlign w:val="bottom"/>
            <w:gridSpan w:val="3"/>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7"/>
              </w:rPr>
              <w:t>ABSTAIN</w:t>
            </w:r>
          </w:p>
        </w:tc>
        <w:tc>
          <w:tcPr>
            <w:tcW w:w="34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rPr>
              <w:t>NON-VOTE</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01"/>
        </w:trPr>
        <w:tc>
          <w:tcPr>
            <w:tcW w:w="16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2,328,832</w:t>
            </w: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7,790</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383,835</w:t>
            </w:r>
          </w:p>
        </w:tc>
        <w:tc>
          <w:tcPr>
            <w:tcW w:w="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-539115</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Based on the foregoing votes, Anisa Kumar and Crystal Landsem were elected to the Board, and Proposals 2, 3 and 4 were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1005840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b w:val="1"/>
          <w:bCs w:val="1"/>
          <w:color w:val="auto"/>
        </w:rPr>
        <w:t>LULU’S FASHION LOUNGE HOLDINGS, INC.</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18415</wp:posOffset>
            </wp:positionV>
            <wp:extent cx="2588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Crystal Landsem</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2026-06-10T15:02:58Z</dcterms:created>
  <dcterms:modified xsi:type="dcterms:W3CDTF">2026-06-10T15:02:58Z</dcterms:modified>
</cp:coreProperties>
</file>