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40331x10q.htm"/>
        <w:bookmarkStart w:id="1" w:name="kstmb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32"/>
        </w:rPr>
      </w:pPr>
      <w:bookmarkStart w:id="2" w:name="_65ff4c52_5b35_40cd_8e89_b6252667f9d0"/>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pBdr>
          <w:bottom w:val="single" w:sz="2" w:space="1" w:color="000000"/>
        </w:pBdr>
        <w:bidi w:val="0"/>
        <w:spacing w:before="0" w:after="120"/>
        <w:ind w:left="0" w:right="0" w:hanging="0"/>
        <w:jc w:val="center"/>
        <w:rPr/>
      </w:pPr>
      <w:r>
        <w:rPr/>
        <w:t>​</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YskF7EodRkCqC87tdSMkow_1_1"/>
      <w:bookmarkStart w:id="4" w:name="_3586bc08_409e_4c84_8a88_f77b88341fc0"/>
      <w:bookmarkStart w:id="5" w:name="Tc_YskF7EodRkCqC87tdSMkow_1_1"/>
      <w:bookmarkStart w:id="6" w:name="_3586bc08_409e_4c84_8a88_f77b88341fc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OvM-PgNXqkeykgSbjrHrUA_1_1"/>
      <w:bookmarkStart w:id="8" w:name="_047cb49a_6ab8_464c_b721_f28d7010be9a"/>
      <w:bookmarkStart w:id="9" w:name="Tc_OvM-PgNXqkeykgSbjrHrUA_1_1"/>
      <w:bookmarkStart w:id="10" w:name="_047cb49a_6ab8_464c_b721_f28d7010be9a"/>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___________________ to ___________________</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001-41059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022350" cy="439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2350" cy="43942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_QwYgcUqqUG7Sd6ckXkHlw_4_1"/>
      <w:bookmarkStart w:id="12" w:name="Tc_BMqIjqRLWkW8DGAsR9SbKQ_4_0"/>
      <w:bookmarkStart w:id="13" w:name="Tc_ukeBjlK_8E-xARrQcTkJsA_3_0"/>
      <w:bookmarkStart w:id="14" w:name="Tc_qq_umtnxYky8JV3mrmPeYg_2_1"/>
      <w:bookmarkStart w:id="15" w:name="Tc_wxgOtQRa8UuAmeC6dfn7Lg_2_0"/>
      <w:bookmarkStart w:id="16" w:name="_2e8a7c68_cf3e_42ac_9fdd_aa4211875b32"/>
      <w:bookmarkStart w:id="17" w:name="Tc__QwYgcUqqUG7Sd6ckXkHlw_4_1"/>
      <w:bookmarkStart w:id="18" w:name="Tc_BMqIjqRLWkW8DGAsR9SbKQ_4_0"/>
      <w:bookmarkStart w:id="19" w:name="Tc_ukeBjlK_8E-xARrQcTkJsA_3_0"/>
      <w:bookmarkStart w:id="20" w:name="Tc_qq_umtnxYky8JV3mrmPeYg_2_1"/>
      <w:bookmarkStart w:id="21" w:name="Tc_wxgOtQRa8UuAmeC6dfn7Lg_2_0"/>
      <w:bookmarkStart w:id="22" w:name="_2e8a7c68_cf3e_42ac_9fdd_aa4211875b32"/>
      <w:bookmarkEnd w:id="17"/>
      <w:bookmarkEnd w:id="18"/>
      <w:bookmarkEnd w:id="19"/>
      <w:bookmarkEnd w:id="20"/>
      <w:bookmarkEnd w:id="21"/>
      <w:bookmarkEnd w:id="22"/>
    </w:p>
    <w:tbl>
      <w:tblPr>
        <w:tblW w:w="4412" w:type="dxa"/>
        <w:jc w:val="left"/>
        <w:tblInd w:w="0" w:type="dxa"/>
        <w:tblLayout w:type="fixed"/>
        <w:tblCellMar>
          <w:top w:w="0" w:type="dxa"/>
          <w:left w:w="0" w:type="dxa"/>
          <w:bottom w:w="0" w:type="dxa"/>
          <w:right w:w="0" w:type="dxa"/>
        </w:tblCellMar>
      </w:tblPr>
      <w:tblGrid>
        <w:gridCol w:w="29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858010" cy="29210"/>
                      <wp:effectExtent l="0" t="0" r="0" b="0"/>
                      <wp:wrapNone/>
                      <wp:docPr id="2" name="Frame1"/>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43610" cy="29210"/>
                      <wp:effectExtent l="0" t="0" r="0" b="0"/>
                      <wp:wrapNone/>
                      <wp:docPr id="3" name="Frame2"/>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20-8442468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195 Humboldt Avenue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Chico, California</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95928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(530) 343-3545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yHOE3YAv90Wf2V-qLRfE2A_0_2"/>
      <w:bookmarkStart w:id="24" w:name="Tc_qgQT5HVn4Umf-K-ucYhxBg_0_1"/>
      <w:bookmarkStart w:id="25" w:name="Tc_FKjDLdfbE0OnQ2lsFWTLWQ_0_0"/>
      <w:bookmarkStart w:id="26" w:name="_0b67aa34_c169_429a_9db4_f6b2e7cf4f7b"/>
      <w:bookmarkStart w:id="27" w:name="Tc_yHOE3YAv90Wf2V-qLRfE2A_0_2"/>
      <w:bookmarkStart w:id="28" w:name="Tc_qgQT5HVn4Umf-K-ucYhxBg_0_1"/>
      <w:bookmarkStart w:id="29" w:name="Tc_FKjDLdfbE0OnQ2lsFWTLWQ_0_0"/>
      <w:bookmarkStart w:id="30" w:name="_0b67aa34_c169_429a_9db4_f6b2e7cf4f7b"/>
      <w:bookmarkEnd w:id="27"/>
      <w:bookmarkEnd w:id="28"/>
      <w:bookmarkEnd w:id="29"/>
      <w:bookmarkEnd w:id="30"/>
    </w:p>
    <w:tbl>
      <w:tblPr>
        <w:tblW w:w="8208" w:type="dxa"/>
        <w:jc w:val="left"/>
        <w:tblInd w:w="0" w:type="dxa"/>
        <w:tblLayout w:type="fixed"/>
        <w:tblCellMar>
          <w:top w:w="28" w:type="dxa"/>
          <w:left w:w="28" w:type="dxa"/>
          <w:bottom w:w="28" w:type="dxa"/>
          <w:right w:w="28" w:type="dxa"/>
        </w:tblCellMar>
      </w:tblPr>
      <w:tblGrid>
        <w:gridCol w:w="3166"/>
        <w:gridCol w:w="1561"/>
        <w:gridCol w:w="3481"/>
      </w:tblGrid>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LVLU</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rhQsYADHdUqnfuQEsew1mQ_3_0"/>
      <w:bookmarkStart w:id="32" w:name="Tc_QqvkTPXOHkSk2_HMtNZBow_2_3"/>
      <w:bookmarkStart w:id="33" w:name="Tc_fAorUXexbE-OykhZe6uCCQ_2_1"/>
      <w:bookmarkStart w:id="34" w:name="Tc_o-Ms-PYcQkGRBk17QKi2Lw_1_4"/>
      <w:bookmarkStart w:id="35" w:name="Tc_wz4At5Z2v0K2nyTW3tijyA_1_3"/>
      <w:bookmarkStart w:id="36" w:name="Tc_ap4eACk4Ekeu7J_XpEWGxA_1_1"/>
      <w:bookmarkStart w:id="37" w:name="Tc_1sTui7cdfkif5tYzcviYDg_1_0"/>
      <w:bookmarkStart w:id="38" w:name="_802ff32d_6140_48ee_8c95_2d5393b7c353"/>
      <w:bookmarkStart w:id="39" w:name="Tc_rhQsYADHdUqnfuQEsew1mQ_3_0"/>
      <w:bookmarkStart w:id="40" w:name="Tc_QqvkTPXOHkSk2_HMtNZBow_2_3"/>
      <w:bookmarkStart w:id="41" w:name="Tc_fAorUXexbE-OykhZe6uCCQ_2_1"/>
      <w:bookmarkStart w:id="42" w:name="Tc_o-Ms-PYcQkGRBk17QKi2Lw_1_4"/>
      <w:bookmarkStart w:id="43" w:name="Tc_wz4At5Z2v0K2nyTW3tijyA_1_3"/>
      <w:bookmarkStart w:id="44" w:name="Tc_ap4eACk4Ekeu7J_XpEWGxA_1_1"/>
      <w:bookmarkStart w:id="45" w:name="Tc_1sTui7cdfkif5tYzcviYDg_1_0"/>
      <w:bookmarkStart w:id="46" w:name="_802ff32d_6140_48ee_8c95_2d5393b7c353"/>
      <w:bookmarkEnd w:id="39"/>
      <w:bookmarkEnd w:id="40"/>
      <w:bookmarkEnd w:id="41"/>
      <w:bookmarkEnd w:id="42"/>
      <w:bookmarkEnd w:id="43"/>
      <w:bookmarkEnd w:id="44"/>
      <w:bookmarkEnd w:id="45"/>
      <w:bookmarkEnd w:id="46"/>
    </w:p>
    <w:tbl>
      <w:tblPr>
        <w:tblW w:w="4965" w:type="dxa"/>
        <w:jc w:val="left"/>
        <w:tblInd w:w="0" w:type="dxa"/>
        <w:tblLayout w:type="fixed"/>
        <w:tblCellMar>
          <w:top w:w="0" w:type="dxa"/>
          <w:left w:w="0" w:type="dxa"/>
          <w:bottom w:w="0" w:type="dxa"/>
          <w:right w:w="0" w:type="dxa"/>
        </w:tblCellMar>
      </w:tblPr>
      <w:tblGrid>
        <w:gridCol w:w="2056"/>
        <w:gridCol w:w="376"/>
        <w:gridCol w:w="14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76" w:type="dxa"/>
            <w:tcBorders/>
            <w:vAlign w:val="center"/>
          </w:tcPr>
          <w:p>
            <w:pPr>
              <w:pStyle w:val="TableContents"/>
              <w:bidi w:val="0"/>
              <w:spacing w:before="0" w:after="0"/>
              <w:ind w:left="0" w:right="0" w:hanging="0"/>
              <w:jc w:val="left"/>
              <w:rPr/>
            </w:pPr>
            <w:r>
              <w:rPr/>
              <w:t>☐</w:t>
            </w:r>
            <w:r>
              <w:rPr>
                <w:rFonts w:ascii="Segoe UI Symbol" w:hAnsi="Segoe UI Symbol"/>
                <w:sz w:val="18"/>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May 3, 2024, there were 41,326,868 shares of the registrant’s common stock, par value $0.001,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right"/>
        <w:rPr>
          <w:rFonts w:ascii="Times New Roman;Times;serif" w:hAnsi="Times New Roman;Times;serif"/>
          <w:b/>
          <w:sz w:val="20"/>
        </w:rPr>
      </w:pPr>
      <w:bookmarkStart w:id="47" w:name="TOC"/>
      <w:bookmarkStart w:id="48" w:name="_e1a75d04_632b_487c_9349_21d719a5e5ec"/>
      <w:bookmarkEnd w:id="47"/>
      <w:bookmarkEnd w:id="48"/>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76"/>
        <w:gridCol w:w="8658"/>
        <w:gridCol w:w="571"/>
      </w:tblGrid>
      <w:tr>
        <w:trPr/>
        <w:tc>
          <w:tcPr>
            <w:tcW w:w="976" w:type="dxa"/>
            <w:tcBorders/>
            <w:vAlign w:val="center"/>
          </w:tcPr>
          <w:p>
            <w:pPr>
              <w:pStyle w:val="TableContents"/>
              <w:bidi w:val="0"/>
              <w:spacing w:before="0" w:after="0"/>
              <w:ind w:left="0" w:right="0" w:hanging="0"/>
              <w:jc w:val="left"/>
              <w:rPr/>
            </w:pPr>
            <w:r>
              <w:rPr/>
              <w:t> </w:t>
            </w:r>
          </w:p>
        </w:tc>
        <w:tc>
          <w:tcPr>
            <w:tcW w:w="8658"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0"/>
                </w:rPr>
                <w:t>PART I</w:t>
              </w:r>
            </w:hyperlink>
          </w:p>
        </w:tc>
        <w:tc>
          <w:tcPr>
            <w:tcW w:w="8658"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0"/>
                </w:rPr>
                <w:t>FINANCIAL INFORMATION</w:t>
              </w:r>
            </w:hyperlink>
          </w:p>
        </w:tc>
        <w:tc>
          <w:tcPr>
            <w:tcW w:w="57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0"/>
                </w:rPr>
                <w:t>Item 1.</w:t>
              </w:r>
            </w:hyperlink>
          </w:p>
        </w:tc>
        <w:tc>
          <w:tcPr>
            <w:tcW w:w="8658"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left"/>
              <w:rPr/>
            </w:pPr>
            <w:hyperlink w:anchor="CondensedConsolidatedBalanceSheets_47417">
              <w:r>
                <w:rPr>
                  <w:rStyle w:val="InternetLink"/>
                  <w:rFonts w:ascii="Times New Roman;Times;serif" w:hAnsi="Times New Roman;Times;serif"/>
                  <w:b w:val="false"/>
                  <w:i w:val="false"/>
                  <w:caps w:val="false"/>
                  <w:smallCaps w:val="false"/>
                  <w:sz w:val="20"/>
                </w:rPr>
                <w:t>Condensed Consolidated Balance Sheets as of March 31, 2024 and December 31, 2023</w:t>
              </w:r>
            </w:hyperlink>
            <w:r>
              <w:rPr>
                <w:rFonts w:ascii="Times New Roman;Times;serif" w:hAnsi="Times New Roman;Times;serif"/>
                <w:sz w:val="20"/>
              </w:rPr>
              <w:t xml:space="preserve">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thirteen weeks ended March 31, 2024 and April 2, 2023</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left"/>
              <w:rPr/>
            </w:pPr>
            <w:hyperlink w:anchor="StockholdersEquity_449154">
              <w:r>
                <w:rPr>
                  <w:rStyle w:val="InternetLink"/>
                  <w:rFonts w:ascii="Times New Roman;Times;serif" w:hAnsi="Times New Roman;Times;serif"/>
                  <w:b w:val="false"/>
                  <w:i w:val="false"/>
                  <w:caps w:val="false"/>
                  <w:smallCaps w:val="false"/>
                  <w:sz w:val="20"/>
                </w:rPr>
                <w:t>Condensed Consolidated Statements of Stockholders’ Equity for the thirteen weeks ended March 31, 2024 and April 2, 2023</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thirteen weeks ended March 31, 2024 and April 2, 2023</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left"/>
              <w:rPr/>
            </w:pPr>
            <w:hyperlink w:anchor="DescriptionofBusinessOrganizationandLiqu">
              <w:r>
                <w:rPr>
                  <w:rStyle w:val="InternetLink"/>
                  <w:rFonts w:ascii="Times New Roman;Times;serif" w:hAnsi="Times New Roman;Times;serif"/>
                  <w:b w:val="false"/>
                  <w:i w:val="false"/>
                  <w:caps w:val="false"/>
                  <w:smallCaps w:val="false"/>
                  <w:sz w:val="20"/>
                </w:rPr>
                <w:t>Notes to Condensed Consolidated Financial Statements</w:t>
              </w:r>
            </w:hyperlink>
            <w:r>
              <w:rPr>
                <w:rFonts w:ascii="Times New Roman;Times;serif" w:hAnsi="Times New Roman;Times;serif"/>
                <w:sz w:val="20"/>
              </w:rPr>
              <w:t xml:space="preserve">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7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65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7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65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76"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0"/>
                </w:rPr>
                <w:t>Item 4.</w:t>
              </w:r>
            </w:hyperlink>
          </w:p>
        </w:tc>
        <w:tc>
          <w:tcPr>
            <w:tcW w:w="8658"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76" w:type="dxa"/>
            <w:tcBorders/>
            <w:vAlign w:val="center"/>
          </w:tcPr>
          <w:p>
            <w:pPr>
              <w:pStyle w:val="TableContents"/>
              <w:bidi w:val="0"/>
              <w:spacing w:before="0" w:after="0"/>
              <w:ind w:left="0" w:right="0" w:hanging="0"/>
              <w:jc w:val="left"/>
              <w:rPr/>
            </w:pPr>
            <w:r>
              <w:rPr/>
              <w:t>​</w:t>
            </w:r>
          </w:p>
        </w:tc>
        <w:tc>
          <w:tcPr>
            <w:tcW w:w="8658"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PARTIIOTHERINFORMATION_807620">
              <w:r>
                <w:rPr>
                  <w:rStyle w:val="InternetLink"/>
                  <w:rFonts w:ascii="Times New Roman;Times;serif" w:hAnsi="Times New Roman;Times;serif"/>
                  <w:b/>
                  <w:i w:val="false"/>
                  <w:caps w:val="false"/>
                  <w:smallCaps w:val="false"/>
                  <w:sz w:val="20"/>
                </w:rPr>
                <w:t>PART II</w:t>
              </w:r>
            </w:hyperlink>
          </w:p>
        </w:tc>
        <w:tc>
          <w:tcPr>
            <w:tcW w:w="8658" w:type="dxa"/>
            <w:tcBorders/>
            <w:vAlign w:val="center"/>
          </w:tcPr>
          <w:p>
            <w:pPr>
              <w:pStyle w:val="TableContents"/>
              <w:bidi w:val="0"/>
              <w:spacing w:before="0" w:after="0"/>
              <w:ind w:left="0" w:right="0" w:hanging="0"/>
              <w:jc w:val="left"/>
              <w:rPr/>
            </w:pPr>
            <w:hyperlink w:anchor="PARTIIOTHERINFORMATION_807620">
              <w:r>
                <w:rPr>
                  <w:rStyle w:val="InternetLink"/>
                  <w:rFonts w:ascii="Times New Roman;Times;serif" w:hAnsi="Times New Roman;Times;serif"/>
                  <w:b/>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0"/>
                </w:rPr>
                <w:t>Item 1.</w:t>
              </w:r>
            </w:hyperlink>
          </w:p>
        </w:tc>
        <w:tc>
          <w:tcPr>
            <w:tcW w:w="8658"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0"/>
                </w:rPr>
                <w:t>Item 1A.</w:t>
              </w:r>
            </w:hyperlink>
          </w:p>
        </w:tc>
        <w:tc>
          <w:tcPr>
            <w:tcW w:w="8658"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65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0"/>
                </w:rPr>
                <w:t>Item 3.</w:t>
              </w:r>
            </w:hyperlink>
          </w:p>
        </w:tc>
        <w:tc>
          <w:tcPr>
            <w:tcW w:w="8658"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0"/>
                </w:rPr>
                <w:t>Item 4.</w:t>
              </w:r>
            </w:hyperlink>
          </w:p>
        </w:tc>
        <w:tc>
          <w:tcPr>
            <w:tcW w:w="8658"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0"/>
                </w:rPr>
                <w:t>Item 5.</w:t>
              </w:r>
            </w:hyperlink>
          </w:p>
        </w:tc>
        <w:tc>
          <w:tcPr>
            <w:tcW w:w="8658"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76"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0"/>
                </w:rPr>
                <w:t>Item 6.</w:t>
              </w:r>
            </w:hyperlink>
          </w:p>
        </w:tc>
        <w:tc>
          <w:tcPr>
            <w:tcW w:w="8658"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76" w:type="dxa"/>
            <w:tcBorders/>
            <w:vAlign w:val="center"/>
          </w:tcPr>
          <w:p>
            <w:pPr>
              <w:pStyle w:val="TableContents"/>
              <w:bidi w:val="0"/>
              <w:spacing w:before="0" w:after="0"/>
              <w:ind w:left="0" w:right="0" w:hanging="0"/>
              <w:jc w:val="left"/>
              <w:rPr/>
            </w:pPr>
            <w:hyperlink w:anchor="SIGNATURES_813814">
              <w:r>
                <w:rPr>
                  <w:rStyle w:val="InternetLink"/>
                  <w:rFonts w:ascii="Times New Roman;Times;serif" w:hAnsi="Times New Roman;Times;serif"/>
                  <w:b w:val="false"/>
                  <w:i w:val="false"/>
                  <w:caps w:val="false"/>
                  <w:smallCaps w:val="false"/>
                  <w:sz w:val="20"/>
                </w:rPr>
                <w:t>Signatures</w:t>
              </w:r>
            </w:hyperlink>
          </w:p>
        </w:tc>
        <w:tc>
          <w:tcPr>
            <w:tcW w:w="8658"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378db5ba_9fbd_44ee_bed7_585ac482c8cf"/>
      <w:bookmarkEnd w:id="49"/>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stock compensation, business strategy, plans, market growth and our objectives for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 factors discussed in Part I, Item 1A, “Risk Factors” in our Annual Report on Form 10-K for the year ended December 31, 2023 and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before="0" w:after="240"/>
        <w:ind w:left="0" w:right="0" w:hanging="0"/>
        <w:jc w:val="both"/>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 w:name="_4661f16b_ea66_4ebf_b75b_c3e603637b8f"/>
      <w:bookmarkEnd w:id="50"/>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Quarterly Report on Form 10-Q to the terms “Lulus,” “we,” “us,” “our,” or the “Company” refer to Lulu’s Fashion Lounge Holdings, Inc. and its consolidated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fiscal year is a “52-53 week” year ending on the Sunday closest in proximity to December 31, such that each quarterly period will be 13 weeks in length, except during a 53-week year when the fourth quarter will be 14 weeks. References herein to “fiscal 2024” and/or “2024” relate to the year ending December 29, 2024 and “fiscal 2023” and/or “2023” relate to the year ended December 31, 2023. The fiscal years ending December 29, 2024 and ended December 31, 2023 consist of 52-weeks.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Free Cash Flow which are non-GAAP (accounting principles generally accepted in the United States of America) financial measures. See “Management’s Discussion and Analysis of Financial Condition and Results of Operations—Non-GAAP Financial Measures” for a discussion of Adjusted EBITDA, Adjusted EBITDA Margin and Free Cash Flow, as well as a reconciliation of net loss to Adjusted EBITDA and a reconciliation to non-GAAP Free Cash Flow from net cash provided by operating activities. Net loss is the most directly comparable financial measure to Adjusted EBITDA and net cash provided by operating activities is the most directly comparable financial measure to Free Cash Flow, required by, or presented in accordance with GAAP.</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735439"/>
      <w:bookmarkStart w:id="52" w:name="_26e8d4c3_0086_426b_b460_8e12314cb4c6"/>
      <w:bookmarkEnd w:id="51"/>
      <w:bookmarkEnd w:id="52"/>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val="false"/>
          <w:sz w:val="20"/>
        </w:rPr>
      </w:pPr>
      <w:bookmarkStart w:id="53" w:name="Item1FinancialStatements_894553"/>
      <w:bookmarkEnd w:id="53"/>
      <w:r>
        <w:rPr>
          <w:rFonts w:ascii="Times New Roman;Times;serif" w:hAnsi="Times New Roman;Times;serif"/>
          <w:b w:val="false"/>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54" w:name="CondensedConsolidatedBalanceSheets_47417"/>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 w:name="Tc_RN2ENZOQl0-SXem3h2nlvw_40_5"/>
      <w:bookmarkStart w:id="56" w:name="Tc_EAkUY8qR9kuXfd1s-Ug5ug_40_2"/>
      <w:bookmarkStart w:id="57" w:name="Tc_GFKBk_BHpEWSxgznYZZGJg_40_0"/>
      <w:bookmarkStart w:id="58" w:name="Tc_WVAj-kQmIU6b4OtVXxALBg_39_0"/>
      <w:bookmarkStart w:id="59" w:name="Tc_4kF8Tnd9AUmWxslxqaFN4A_38_0"/>
      <w:bookmarkStart w:id="60" w:name="Tc_opbQ7W2YT0i4_Y88Yciekg_37_0"/>
      <w:bookmarkStart w:id="61" w:name="Tc_YHDZ48g2Lkm7bzgBmhVM4g_36_0"/>
      <w:bookmarkStart w:id="62" w:name="_5c34f0e9_0c5d_4ec0_bd65_b4c89893608d_3"/>
      <w:bookmarkStart w:id="63" w:name="_5c34f0e9_0c5d_4ec0_bd65_b4c89893608d_2"/>
      <w:bookmarkStart w:id="64" w:name="_5c34f0e9_0c5d_4ec0_bd65_b4c89893608d"/>
      <w:bookmarkStart w:id="65" w:name="Tc_D2PSeS1iQ0CSDZWZ1kosag_35_0"/>
      <w:bookmarkStart w:id="66" w:name="Tc_y-6IJeyW9k24sqi1MyN4Sw_34_0"/>
      <w:bookmarkStart w:id="67" w:name="Tc_VevMkti-GEi-QxkRUqAmMQ_32_0"/>
      <w:bookmarkStart w:id="68" w:name="Tc__FnPcHrwi0up7Sz0VgZixQ_31_0"/>
      <w:bookmarkStart w:id="69" w:name="Tc_1W0YX4xuEEab1Qsv0t8ZyA_30_0"/>
      <w:bookmarkStart w:id="70" w:name="Tc_R571OjiWvkqcdLf7BNij_A_29_0"/>
      <w:bookmarkStart w:id="71" w:name="Tc_0nEWB8AGykexooKQYZt5rg_28_0"/>
      <w:bookmarkStart w:id="72" w:name="Tc_4bgWXnG_qkCQlXEtx-XlgA_27_0"/>
      <w:bookmarkStart w:id="73" w:name="Tc_BOJlKnPeqkmrfSt8Llkh_A_26_0"/>
      <w:bookmarkStart w:id="74" w:name="Tc_3iQGLdii6k-uvMrCyUy1zg_25_0"/>
      <w:bookmarkStart w:id="75" w:name="Tc_Ne47yz9ibE-bzkX1wjdo2A_24_0"/>
      <w:bookmarkStart w:id="76" w:name="Tc_5KFmoVa2pkKCchShjd5M4A_23_0"/>
      <w:bookmarkStart w:id="77" w:name="Tc_o5Y5EcKBJEWuu54Bd0beMQ_22_5"/>
      <w:bookmarkStart w:id="78" w:name="Tc_ZZgQJjmijEOqeSV7N1z7ig_22_2"/>
      <w:bookmarkStart w:id="79" w:name="Tc_USLsYDNoC02AP_rUB0rB3g_22_0"/>
      <w:bookmarkStart w:id="80" w:name="Tc_srrySKN7K0O49LnKcxKFZA_21_0"/>
      <w:bookmarkStart w:id="81" w:name="Tc_gSVe1I_IDUqKLGenWkH9Xw_20_0"/>
      <w:bookmarkStart w:id="82" w:name="Tc_oaHJMu61uEWr1hBmP4PCug_18_5"/>
      <w:bookmarkStart w:id="83" w:name="Tc_F2dajFSczECXxmMiadHzqg_18_2"/>
      <w:bookmarkStart w:id="84" w:name="Tc_0JH2v-xr10ugwRaQ-nrPkg_18_0"/>
      <w:bookmarkStart w:id="85" w:name="Tc_Ns-GP69qwky8a0MwiyUxiw_17_0"/>
      <w:bookmarkStart w:id="86" w:name="Tc_BGKJwC6zbEO5z_07GzuEAA_16_0"/>
      <w:bookmarkStart w:id="87" w:name="Tc_YqVFCFwG2UOKoTMVMJ45SA_15_0"/>
      <w:bookmarkStart w:id="88" w:name="Tc_pCZNnp3Hfk6I-73C10PPAg_14_0"/>
      <w:bookmarkStart w:id="89" w:name="Tc_3vjtTcEp1UO43-4jSwsBWg_13_0"/>
      <w:bookmarkStart w:id="90" w:name="Tc_Z7lamNUmx0Kd5kn3dvXObg_12_0"/>
      <w:bookmarkStart w:id="91" w:name="Tc_xX4W_a_Q80O1AkRFS4k8Dw_11_0"/>
      <w:bookmarkStart w:id="92" w:name="Tc_RwySoziYT067cUY_tTPmjw_10_0"/>
      <w:bookmarkStart w:id="93" w:name="Tc_7Xn0LldIKECPMSKZQxWhRg_9_0"/>
      <w:bookmarkStart w:id="94" w:name="Tc_gRBpKnRdwkamsTGbfjIUcw_8_0"/>
      <w:bookmarkStart w:id="95" w:name="Tc_lMJYvGT2T0q25KUQwK2mgA_7_0"/>
      <w:bookmarkStart w:id="96" w:name="Tc_g9irFYjAkEm4TdgedwU70g_6_0"/>
      <w:bookmarkStart w:id="97" w:name="Tc_kdYA2Uu58kWZodotEVk1jQ_5_5"/>
      <w:bookmarkStart w:id="98" w:name="Tc_MkdCTJ-mW02qIWd-k2yhjg_5_2"/>
      <w:bookmarkStart w:id="99" w:name="Tc_jv5g2ICCtEm_lvA9kiLmIA_5_0"/>
      <w:bookmarkStart w:id="100" w:name="Tc_NuxBbb3kokmC57T6Nb86fA_4_0"/>
      <w:bookmarkStart w:id="101" w:name="Tc_D_AxjlRAnk6QLiUzEDEMyQ_3_0"/>
      <w:bookmarkStart w:id="102" w:name="Tc_X2P2z_IuHk-0rsCSAbjgug_2_5"/>
      <w:bookmarkStart w:id="103" w:name="Tc_vwb9MHeXhUqONY8yrqeuiA_2_2"/>
      <w:bookmarkStart w:id="104" w:name="Tc_X8kpXDak5EiXXZz4iGOFfQ_1_5"/>
      <w:bookmarkStart w:id="105" w:name="Tc_kSXkrTnjJ0-6lTeVdq0QLw_1_2"/>
      <w:bookmarkStart w:id="106" w:name="_d943d634_e491_424e_b4f8_b70695775018"/>
      <w:bookmarkStart w:id="107" w:name="Tc_RN2ENZOQl0-SXem3h2nlvw_40_5"/>
      <w:bookmarkStart w:id="108" w:name="Tc_EAkUY8qR9kuXfd1s-Ug5ug_40_2"/>
      <w:bookmarkStart w:id="109" w:name="Tc_GFKBk_BHpEWSxgznYZZGJg_40_0"/>
      <w:bookmarkStart w:id="110" w:name="Tc_WVAj-kQmIU6b4OtVXxALBg_39_0"/>
      <w:bookmarkStart w:id="111" w:name="Tc_4kF8Tnd9AUmWxslxqaFN4A_38_0"/>
      <w:bookmarkStart w:id="112" w:name="Tc_opbQ7W2YT0i4_Y88Yciekg_37_0"/>
      <w:bookmarkStart w:id="113" w:name="Tc_YHDZ48g2Lkm7bzgBmhVM4g_36_0"/>
      <w:bookmarkStart w:id="114" w:name="_5c34f0e9_0c5d_4ec0_bd65_b4c89893608d_3"/>
      <w:bookmarkStart w:id="115" w:name="_5c34f0e9_0c5d_4ec0_bd65_b4c89893608d_2"/>
      <w:bookmarkStart w:id="116" w:name="_5c34f0e9_0c5d_4ec0_bd65_b4c89893608d"/>
      <w:bookmarkStart w:id="117" w:name="Tc_D2PSeS1iQ0CSDZWZ1kosag_35_0"/>
      <w:bookmarkStart w:id="118" w:name="Tc_y-6IJeyW9k24sqi1MyN4Sw_34_0"/>
      <w:bookmarkStart w:id="119" w:name="Tc_VevMkti-GEi-QxkRUqAmMQ_32_0"/>
      <w:bookmarkStart w:id="120" w:name="Tc__FnPcHrwi0up7Sz0VgZixQ_31_0"/>
      <w:bookmarkStart w:id="121" w:name="Tc_1W0YX4xuEEab1Qsv0t8ZyA_30_0"/>
      <w:bookmarkStart w:id="122" w:name="Tc_R571OjiWvkqcdLf7BNij_A_29_0"/>
      <w:bookmarkStart w:id="123" w:name="Tc_0nEWB8AGykexooKQYZt5rg_28_0"/>
      <w:bookmarkStart w:id="124" w:name="Tc_4bgWXnG_qkCQlXEtx-XlgA_27_0"/>
      <w:bookmarkStart w:id="125" w:name="Tc_BOJlKnPeqkmrfSt8Llkh_A_26_0"/>
      <w:bookmarkStart w:id="126" w:name="Tc_3iQGLdii6k-uvMrCyUy1zg_25_0"/>
      <w:bookmarkStart w:id="127" w:name="Tc_Ne47yz9ibE-bzkX1wjdo2A_24_0"/>
      <w:bookmarkStart w:id="128" w:name="Tc_5KFmoVa2pkKCchShjd5M4A_23_0"/>
      <w:bookmarkStart w:id="129" w:name="Tc_o5Y5EcKBJEWuu54Bd0beMQ_22_5"/>
      <w:bookmarkStart w:id="130" w:name="Tc_ZZgQJjmijEOqeSV7N1z7ig_22_2"/>
      <w:bookmarkStart w:id="131" w:name="Tc_USLsYDNoC02AP_rUB0rB3g_22_0"/>
      <w:bookmarkStart w:id="132" w:name="Tc_srrySKN7K0O49LnKcxKFZA_21_0"/>
      <w:bookmarkStart w:id="133" w:name="Tc_gSVe1I_IDUqKLGenWkH9Xw_20_0"/>
      <w:bookmarkStart w:id="134" w:name="Tc_oaHJMu61uEWr1hBmP4PCug_18_5"/>
      <w:bookmarkStart w:id="135" w:name="Tc_F2dajFSczECXxmMiadHzqg_18_2"/>
      <w:bookmarkStart w:id="136" w:name="Tc_0JH2v-xr10ugwRaQ-nrPkg_18_0"/>
      <w:bookmarkStart w:id="137" w:name="Tc_Ns-GP69qwky8a0MwiyUxiw_17_0"/>
      <w:bookmarkStart w:id="138" w:name="Tc_BGKJwC6zbEO5z_07GzuEAA_16_0"/>
      <w:bookmarkStart w:id="139" w:name="Tc_YqVFCFwG2UOKoTMVMJ45SA_15_0"/>
      <w:bookmarkStart w:id="140" w:name="Tc_pCZNnp3Hfk6I-73C10PPAg_14_0"/>
      <w:bookmarkStart w:id="141" w:name="Tc_3vjtTcEp1UO43-4jSwsBWg_13_0"/>
      <w:bookmarkStart w:id="142" w:name="Tc_Z7lamNUmx0Kd5kn3dvXObg_12_0"/>
      <w:bookmarkStart w:id="143" w:name="Tc_xX4W_a_Q80O1AkRFS4k8Dw_11_0"/>
      <w:bookmarkStart w:id="144" w:name="Tc_RwySoziYT067cUY_tTPmjw_10_0"/>
      <w:bookmarkStart w:id="145" w:name="Tc_7Xn0LldIKECPMSKZQxWhRg_9_0"/>
      <w:bookmarkStart w:id="146" w:name="Tc_gRBpKnRdwkamsTGbfjIUcw_8_0"/>
      <w:bookmarkStart w:id="147" w:name="Tc_lMJYvGT2T0q25KUQwK2mgA_7_0"/>
      <w:bookmarkStart w:id="148" w:name="Tc_g9irFYjAkEm4TdgedwU70g_6_0"/>
      <w:bookmarkStart w:id="149" w:name="Tc_kdYA2Uu58kWZodotEVk1jQ_5_5"/>
      <w:bookmarkStart w:id="150" w:name="Tc_MkdCTJ-mW02qIWd-k2yhjg_5_2"/>
      <w:bookmarkStart w:id="151" w:name="Tc_jv5g2ICCtEm_lvA9kiLmIA_5_0"/>
      <w:bookmarkStart w:id="152" w:name="Tc_NuxBbb3kokmC57T6Nb86fA_4_0"/>
      <w:bookmarkStart w:id="153" w:name="Tc_D_AxjlRAnk6QLiUzEDEMyQ_3_0"/>
      <w:bookmarkStart w:id="154" w:name="Tc_X2P2z_IuHk-0rsCSAbjgug_2_5"/>
      <w:bookmarkStart w:id="155" w:name="Tc_vwb9MHeXhUqONY8yrqeuiA_2_2"/>
      <w:bookmarkStart w:id="156" w:name="Tc_X8kpXDak5EiXXZz4iGOFfQ_1_5"/>
      <w:bookmarkStart w:id="157" w:name="Tc_kSXkrTnjJ0-6lTeVdq0QLw_1_2"/>
      <w:bookmarkStart w:id="158" w:name="_d943d634_e491_424e_b4f8_b7069577501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W w:w="10205" w:type="dxa"/>
        <w:jc w:val="left"/>
        <w:tblInd w:w="0" w:type="dxa"/>
        <w:tblLayout w:type="fixed"/>
        <w:tblCellMar>
          <w:top w:w="0" w:type="dxa"/>
          <w:left w:w="0" w:type="dxa"/>
          <w:bottom w:w="0" w:type="dxa"/>
          <w:right w:w="0" w:type="dxa"/>
        </w:tblCellMar>
      </w:tblPr>
      <w:tblGrid>
        <w:gridCol w:w="7550"/>
        <w:gridCol w:w="326"/>
        <w:gridCol w:w="196"/>
        <w:gridCol w:w="782"/>
        <w:gridCol w:w="326"/>
        <w:gridCol w:w="196"/>
        <w:gridCol w:w="829"/>
      </w:tblGrid>
      <w:tr>
        <w:trPr/>
        <w:tc>
          <w:tcPr>
            <w:tcW w:w="75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94250" cy="175260"/>
                      <wp:effectExtent l="0" t="0" r="0" b="0"/>
                      <wp:wrapNone/>
                      <wp:docPr id="4" name="Frame3"/>
                      <a:graphic xmlns:a="http://schemas.openxmlformats.org/drawingml/2006/main">
                        <a:graphicData uri="http://schemas.microsoft.com/office/word/2010/wordprocessingShape">
                          <wps:wsp>
                            <wps:cNvSpPr txBox="1"/>
                            <wps:spPr>
                              <a:xfrm>
                                <a:off x="0" y="0"/>
                                <a:ext cx="4794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6570" cy="175260"/>
                      <wp:effectExtent l="0" t="0" r="0" b="0"/>
                      <wp:wrapNone/>
                      <wp:docPr id="7" name="Frame6"/>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6415" cy="175260"/>
                      <wp:effectExtent l="0" t="0" r="0" b="0"/>
                      <wp:wrapNone/>
                      <wp:docPr id="10" name="Frame9"/>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8"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March 31,</w:t>
            </w:r>
          </w:p>
        </w:tc>
        <w:tc>
          <w:tcPr>
            <w:tcW w:w="326" w:type="dxa"/>
            <w:tcBorders/>
            <w:vAlign w:val="center"/>
          </w:tcPr>
          <w:p>
            <w:pPr>
              <w:pStyle w:val="TableContents"/>
              <w:bidi w:val="0"/>
              <w:spacing w:before="0" w:after="1"/>
              <w:ind w:left="0" w:right="0" w:hanging="0"/>
              <w:jc w:val="left"/>
              <w:rPr/>
            </w:pPr>
            <w:r>
              <w:rPr/>
              <w:t>    </w:t>
            </w:r>
          </w:p>
        </w:tc>
        <w:tc>
          <w:tcPr>
            <w:tcW w:w="1025"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31,</w:t>
            </w:r>
          </w:p>
        </w:tc>
      </w:tr>
      <w:tr>
        <w:trPr/>
        <w:tc>
          <w:tcPr>
            <w:tcW w:w="75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26" w:type="dxa"/>
            <w:tcBorders/>
            <w:vAlign w:val="center"/>
          </w:tcPr>
          <w:p>
            <w:pPr>
              <w:pStyle w:val="TableContents"/>
              <w:bidi w:val="0"/>
              <w:spacing w:before="0" w:after="1"/>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pPr>
            <w:r>
              <w:rPr/>
              <w:t>  </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2,506</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5,212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3,542</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35,472</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3,111</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2,510</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Prepaids and 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5,297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5,379</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52,520</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4,712</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35,430</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Tradename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3,147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3,263</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right-of-use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28,182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29,516</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5,495</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160,633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149,445</w:t>
            </w:r>
          </w:p>
        </w:tc>
      </w:tr>
      <w:tr>
        <w:trPr/>
        <w:tc>
          <w:tcPr>
            <w:tcW w:w="755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  </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pPr>
            <w:r>
              <w:rPr/>
              <w:t>  </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8,312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8,900</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18,343</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Returns reserve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15,858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7,854</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Stored-value card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13,142</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Revolving line of credit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8,000</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5,648</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78,986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61,887</w:t>
            </w:r>
          </w:p>
        </w:tc>
      </w:tr>
      <w:tr>
        <w:trPr/>
        <w:tc>
          <w:tcPr>
            <w:tcW w:w="7550"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liabilities,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23,863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25,427</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1,179</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102,887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88,493</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  </w:t>
            </w:r>
          </w:p>
        </w:tc>
      </w:tr>
      <w:tr>
        <w:trPr/>
        <w:tc>
          <w:tcPr>
            <w:tcW w:w="755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9" w:type="dxa"/>
            <w:tcBorders/>
            <w:shd w:fill="CCEEFF" w:val="clear"/>
            <w:vAlign w:val="center"/>
          </w:tcPr>
          <w:p>
            <w:pPr>
              <w:pStyle w:val="TableContents"/>
              <w:bidi w:val="0"/>
              <w:spacing w:before="0" w:after="1"/>
              <w:ind w:left="0" w:right="0" w:hanging="0"/>
              <w:jc w:val="left"/>
              <w:rPr/>
            </w:pPr>
            <w:r>
              <w:rPr/>
              <w:t>​</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pPr>
            <w:r>
              <w:rPr/>
              <w:t>​</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$0.001 par value, 10,000,000 shares authorized, and no shares issued or outstanding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$0.001</w:t>
            </w:r>
            <w:r>
              <w:rPr>
                <w:rFonts w:ascii="Times New Roman;Times;serif" w:hAnsi="Times New Roman;Times;serif"/>
                <w:sz w:val="20"/>
              </w:rPr>
              <w:t xml:space="preserve"> </w:t>
            </w:r>
            <w:r>
              <w:rPr>
                <w:rFonts w:ascii="Times New Roman;Times;serif" w:hAnsi="Times New Roman;Times;serif"/>
                <w:sz w:val="16"/>
              </w:rPr>
              <w:t>par value, 250,000,000</w:t>
            </w:r>
            <w:r>
              <w:rPr>
                <w:rFonts w:ascii="Times New Roman;Times;serif" w:hAnsi="Times New Roman;Times;serif"/>
                <w:sz w:val="20"/>
              </w:rPr>
              <w:t xml:space="preserve"> </w:t>
            </w:r>
            <w:r>
              <w:rPr>
                <w:rFonts w:ascii="Times New Roman;Times;serif" w:hAnsi="Times New Roman;Times;serif"/>
                <w:sz w:val="16"/>
              </w:rPr>
              <w:t>shares authorized; and 41,255,966</w:t>
            </w:r>
            <w:r>
              <w:rPr>
                <w:rFonts w:ascii="Times New Roman;Times;serif" w:hAnsi="Times New Roman;Times;serif"/>
                <w:sz w:val="20"/>
              </w:rPr>
              <w:t xml:space="preserve"> </w:t>
            </w:r>
            <w:r>
              <w:rPr>
                <w:rFonts w:ascii="Times New Roman;Times;serif" w:hAnsi="Times New Roman;Times;serif"/>
                <w:sz w:val="16"/>
              </w:rPr>
              <w:t>and 40,618,206</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 xml:space="preserve">as of March 31, 2024 and </w:t>
            </w:r>
            <w:r>
              <w:rPr>
                <w:rFonts w:ascii="Times New Roman;Times;serif" w:hAnsi="Times New Roman;Times;serif"/>
                <w:b w:val="false"/>
                <w:i w:val="false"/>
                <w:caps w:val="false"/>
                <w:smallCaps w:val="false"/>
                <w:sz w:val="16"/>
              </w:rPr>
              <w:t>December 31, 2023</w:t>
            </w:r>
            <w:r>
              <w:rPr>
                <w:rFonts w:ascii="Times New Roman;Times;serif" w:hAnsi="Times New Roman;Times;serif"/>
                <w:sz w:val="16"/>
              </w:rPr>
              <w:t>,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256,646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254,116</w:t>
            </w:r>
          </w:p>
        </w:tc>
      </w:tr>
      <w:tr>
        <w:trPr/>
        <w:tc>
          <w:tcPr>
            <w:tcW w:w="755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(198,941)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(193,205)</w:t>
            </w:r>
          </w:p>
        </w:tc>
      </w:tr>
      <w:tr>
        <w:trPr/>
        <w:tc>
          <w:tcPr>
            <w:tcW w:w="755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60,952</w:t>
            </w:r>
          </w:p>
        </w:tc>
      </w:tr>
      <w:tr>
        <w:trPr/>
        <w:tc>
          <w:tcPr>
            <w:tcW w:w="7550"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160,633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149,445</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9" w:name="_2f26a604_3d3f_41cd_9907_d07472a518ec"/>
      <w:bookmarkEnd w:id="159"/>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160" w:name="CondensedConsolidatedStatementsofOperati"/>
      <w:bookmarkEnd w:id="160"/>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61" w:name="Tc_kGrYUh-YgkOz0C1MCAV_lA_19_0"/>
      <w:bookmarkStart w:id="162" w:name="Tc_WM0VYzKHekGXr_bbtcSAKg_18_0"/>
      <w:bookmarkStart w:id="163" w:name="Tc_PY72QFOZbkWoli-Jw_WkGA_17_5"/>
      <w:bookmarkStart w:id="164" w:name="Tc_ymYeUetq_0-a9862NTLyOg_17_2"/>
      <w:bookmarkStart w:id="165" w:name="Tc_c4PAvSOOsUSWItWipgHJHA_17_0"/>
      <w:bookmarkStart w:id="166" w:name="Tc_02lR_qQdKk-3jkDfzJ1vbA_16_5"/>
      <w:bookmarkStart w:id="167" w:name="Tc_b660SgUtb0en2jRF5yAlug_16_2"/>
      <w:bookmarkStart w:id="168" w:name="Tc_SNNm99s74EuweHecVEEYiw_16_0"/>
      <w:bookmarkStart w:id="169" w:name="Tc_oJ_RHariWkuOHrwerAZgbQ_14_0"/>
      <w:bookmarkStart w:id="170" w:name="Tc_1GS4_op4g0OzquGLDDjK7Q_13_0"/>
      <w:bookmarkStart w:id="171" w:name="Tc_IuIUFHxwXkOcgVnbqtSgFg_12_0"/>
      <w:bookmarkStart w:id="172" w:name="Tc_B9klYufaaEuWJUrNa1ve6A_11_0"/>
      <w:bookmarkStart w:id="173" w:name="Tc_TN26GHQGVEi0y4n5f4Ca5Q_10_0"/>
      <w:bookmarkStart w:id="174" w:name="Tc_bjJ0onXDO0G4K9AsUY6TvA_9_0"/>
      <w:bookmarkStart w:id="175" w:name="Tc_YuHYbMBSREa5AIisS8k6jQ_8_0"/>
      <w:bookmarkStart w:id="176" w:name="Tc_qizgiGivNkuZad2EcS6yXQ_7_0"/>
      <w:bookmarkStart w:id="177" w:name="Tc_nv--m4y0vU2DIVwUdX9HhA_6_0"/>
      <w:bookmarkStart w:id="178" w:name="Tc_CfsTWVhjhku-mzM2vgn8oQ_5_0"/>
      <w:bookmarkStart w:id="179" w:name="Tc_KHd6OuqVXUqfHoUdZhUKHg_4_5"/>
      <w:bookmarkStart w:id="180" w:name="Tc_CyoqqefgvEuMytv8pr4b5Q_4_2"/>
      <w:bookmarkStart w:id="181" w:name="Tc_3oUgbxe9OkiOoCtJSxn9Eg_4_0"/>
      <w:bookmarkStart w:id="182" w:name="Tc_t4Jp7XHRQEinxB9_e2TZag_3_5"/>
      <w:bookmarkStart w:id="183" w:name="Tc_eHnackmGAUuxeRz0lVxmQQ_3_2"/>
      <w:bookmarkStart w:id="184" w:name="Tc_B6PaOVwcOUupoXbR5zLB4w_2_5"/>
      <w:bookmarkStart w:id="185" w:name="Tc_gUNp74U7Mk6lyY_WZA3JXw_2_2"/>
      <w:bookmarkStart w:id="186" w:name="Tc_xIzlRVIb2EeyS7DBD9rN8w_1_2"/>
      <w:bookmarkStart w:id="187" w:name="_e8f6d46b_2ef9_4048_b0c0_1a6772b8081e"/>
      <w:bookmarkStart w:id="188" w:name="Tc_kGrYUh-YgkOz0C1MCAV_lA_19_0"/>
      <w:bookmarkStart w:id="189" w:name="Tc_WM0VYzKHekGXr_bbtcSAKg_18_0"/>
      <w:bookmarkStart w:id="190" w:name="Tc_PY72QFOZbkWoli-Jw_WkGA_17_5"/>
      <w:bookmarkStart w:id="191" w:name="Tc_ymYeUetq_0-a9862NTLyOg_17_2"/>
      <w:bookmarkStart w:id="192" w:name="Tc_c4PAvSOOsUSWItWipgHJHA_17_0"/>
      <w:bookmarkStart w:id="193" w:name="Tc_02lR_qQdKk-3jkDfzJ1vbA_16_5"/>
      <w:bookmarkStart w:id="194" w:name="Tc_b660SgUtb0en2jRF5yAlug_16_2"/>
      <w:bookmarkStart w:id="195" w:name="Tc_SNNm99s74EuweHecVEEYiw_16_0"/>
      <w:bookmarkStart w:id="196" w:name="Tc_oJ_RHariWkuOHrwerAZgbQ_14_0"/>
      <w:bookmarkStart w:id="197" w:name="Tc_1GS4_op4g0OzquGLDDjK7Q_13_0"/>
      <w:bookmarkStart w:id="198" w:name="Tc_IuIUFHxwXkOcgVnbqtSgFg_12_0"/>
      <w:bookmarkStart w:id="199" w:name="Tc_B9klYufaaEuWJUrNa1ve6A_11_0"/>
      <w:bookmarkStart w:id="200" w:name="Tc_TN26GHQGVEi0y4n5f4Ca5Q_10_0"/>
      <w:bookmarkStart w:id="201" w:name="Tc_bjJ0onXDO0G4K9AsUY6TvA_9_0"/>
      <w:bookmarkStart w:id="202" w:name="Tc_YuHYbMBSREa5AIisS8k6jQ_8_0"/>
      <w:bookmarkStart w:id="203" w:name="Tc_qizgiGivNkuZad2EcS6yXQ_7_0"/>
      <w:bookmarkStart w:id="204" w:name="Tc_nv--m4y0vU2DIVwUdX9HhA_6_0"/>
      <w:bookmarkStart w:id="205" w:name="Tc_CfsTWVhjhku-mzM2vgn8oQ_5_0"/>
      <w:bookmarkStart w:id="206" w:name="Tc_KHd6OuqVXUqfHoUdZhUKHg_4_5"/>
      <w:bookmarkStart w:id="207" w:name="Tc_CyoqqefgvEuMytv8pr4b5Q_4_2"/>
      <w:bookmarkStart w:id="208" w:name="Tc_3oUgbxe9OkiOoCtJSxn9Eg_4_0"/>
      <w:bookmarkStart w:id="209" w:name="Tc_t4Jp7XHRQEinxB9_e2TZag_3_5"/>
      <w:bookmarkStart w:id="210" w:name="Tc_eHnackmGAUuxeRz0lVxmQQ_3_2"/>
      <w:bookmarkStart w:id="211" w:name="Tc_B6PaOVwcOUupoXbR5zLB4w_2_5"/>
      <w:bookmarkStart w:id="212" w:name="Tc_gUNp74U7Mk6lyY_WZA3JXw_2_2"/>
      <w:bookmarkStart w:id="213" w:name="Tc_xIzlRVIb2EeyS7DBD9rN8w_1_2"/>
      <w:bookmarkStart w:id="214" w:name="_e8f6d46b_2ef9_4048_b0c0_1a6772b8081e"/>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tbl>
      <w:tblPr>
        <w:tblW w:w="7141" w:type="dxa"/>
        <w:jc w:val="left"/>
        <w:tblInd w:w="0" w:type="dxa"/>
        <w:tblLayout w:type="fixed"/>
        <w:tblCellMar>
          <w:top w:w="0" w:type="dxa"/>
          <w:left w:w="0" w:type="dxa"/>
          <w:bottom w:w="0" w:type="dxa"/>
          <w:right w:w="0" w:type="dxa"/>
        </w:tblCellMar>
      </w:tblPr>
      <w:tblGrid>
        <w:gridCol w:w="3841"/>
        <w:gridCol w:w="326"/>
        <w:gridCol w:w="211"/>
        <w:gridCol w:w="1036"/>
        <w:gridCol w:w="326"/>
        <w:gridCol w:w="211"/>
        <w:gridCol w:w="1036"/>
        <w:gridCol w:w="154"/>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439035" cy="175260"/>
                      <wp:effectExtent l="0" t="0" r="0" b="0"/>
                      <wp:wrapNone/>
                      <wp:docPr id="11" name="Frame10"/>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7" name="Frame1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175260"/>
                      <wp:effectExtent l="0" t="0" r="0" b="0"/>
                      <wp:wrapNone/>
                      <wp:docPr id="18" name="Frame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154" w:type="dxa"/>
            <w:tcBorders/>
            <w:vAlign w:val="center"/>
          </w:tcPr>
          <w:p>
            <w:pPr>
              <w:pStyle w:val="TableContents"/>
              <w:bidi w:val="0"/>
              <w:spacing w:before="0" w:after="0"/>
              <w:ind w:left="0" w:right="0" w:hanging="0"/>
              <w:jc w:val="center"/>
              <w:rPr/>
            </w:pPr>
            <w:r>
              <w:rPr/>
              <w:t>​</w:t>
            </w:r>
          </w:p>
        </w:tc>
      </w:tr>
      <w:tr>
        <w:trPr/>
        <w:tc>
          <w:tcPr>
            <w:tcW w:w="3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77,259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90,976</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53,015</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37,961</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19,489</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24,348</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(5,876)</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before benefit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and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pPr>
            <w:r>
              <w:rPr/>
              <w:t> </w:t>
            </w:r>
            <w:r>
              <w:rPr>
                <w:rFonts w:ascii="Times New Roman;Times;serif" w:hAnsi="Times New Roman;Times;serif"/>
                <w:sz w:val="20"/>
              </w:rPr>
              <w:t>Basic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pPr>
            <w:r>
              <w:rPr/>
              <w:t> </w:t>
            </w:r>
            <w:r>
              <w:rPr>
                <w:rFonts w:ascii="Times New Roman;Times;serif" w:hAnsi="Times New Roman;Times;serif"/>
                <w:sz w:val="20"/>
              </w:rPr>
              <w:t>Diluted 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154" w:type="dxa"/>
            <w:tcBorders/>
            <w:vAlign w:val="center"/>
          </w:tcPr>
          <w:p>
            <w:pPr>
              <w:pStyle w:val="TableContents"/>
              <w:bidi w:val="0"/>
              <w:spacing w:before="0" w:after="0"/>
              <w:ind w:left="0" w:right="0" w:hanging="0"/>
              <w:jc w:val="right"/>
              <w:rPr/>
            </w:pPr>
            <w:r>
              <w:rPr/>
              <w:t>​</w:t>
            </w:r>
          </w:p>
        </w:tc>
      </w:tr>
      <w:tr>
        <w:trPr/>
        <w:tc>
          <w:tcPr>
            <w:tcW w:w="3841" w:type="dxa"/>
            <w:tcBorders/>
            <w:shd w:fill="CCEEFF" w:val="clear"/>
            <w:vAlign w:val="center"/>
          </w:tcPr>
          <w:p>
            <w:pPr>
              <w:pStyle w:val="TableContents"/>
              <w:bidi w:val="0"/>
              <w:spacing w:before="0" w:after="0"/>
              <w:ind w:left="0" w:right="0" w:hanging="0"/>
              <w:jc w:val="both"/>
              <w:rPr/>
            </w:pPr>
            <w:r>
              <w:rPr/>
              <w:t> </w:t>
            </w:r>
            <w:r>
              <w:rPr>
                <w:rFonts w:ascii="Times New Roman;Times;serif" w:hAnsi="Times New Roman;Times;serif"/>
                <w:sz w:val="20"/>
              </w:rPr>
              <w:t>Basic 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39,450,502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39,233,953</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3841" w:type="dxa"/>
            <w:tcBorders/>
            <w:vAlign w:val="center"/>
          </w:tcPr>
          <w:p>
            <w:pPr>
              <w:pStyle w:val="TableContents"/>
              <w:bidi w:val="0"/>
              <w:spacing w:before="0" w:after="0"/>
              <w:ind w:left="0" w:right="0" w:hanging="0"/>
              <w:jc w:val="both"/>
              <w:rPr/>
            </w:pPr>
            <w:r>
              <w:rPr/>
              <w:t> </w:t>
            </w:r>
            <w:r>
              <w:rPr>
                <w:rFonts w:ascii="Times New Roman;Times;serif" w:hAnsi="Times New Roman;Times;serif"/>
                <w:sz w:val="20"/>
              </w:rPr>
              <w:t>Diluted weighted-average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39,450,502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39,233,953</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15" w:name="_15bdba51_5e7e_4365_a802_7f6104fbd86b"/>
      <w:bookmarkEnd w:id="215"/>
      <w:r>
        <w:rPr>
          <w:rFonts w:ascii="Times New Roman;Times;serif" w:hAnsi="Times New Roman;Times;serif"/>
          <w:b/>
          <w:sz w:val="20"/>
        </w:rPr>
        <w:t xml:space="preserve">LULU’S FASHION LOUNGE HOLDINGS, INC. </w:t>
      </w:r>
    </w:p>
    <w:p>
      <w:pPr>
        <w:pStyle w:val="TextBody"/>
        <w:bidi w:val="0"/>
        <w:spacing w:before="0" w:after="0"/>
        <w:ind w:left="0" w:right="0" w:hanging="0"/>
        <w:jc w:val="center"/>
        <w:rPr>
          <w:rFonts w:ascii="Times New Roman;Times;serif" w:hAnsi="Times New Roman;Times;serif"/>
          <w:b/>
          <w:sz w:val="20"/>
        </w:rPr>
      </w:pPr>
      <w:bookmarkStart w:id="216" w:name="StockholdersEquity_449154"/>
      <w:bookmarkEnd w:id="216"/>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17" w:name="Tc_6sXbTOMd7UqJ0ewawBwGvA_12_0"/>
      <w:bookmarkStart w:id="218" w:name="Tc_MFczezZRpkCLg0gXVeT5oQ_11_8"/>
      <w:bookmarkStart w:id="219" w:name="Tc_NyGv0rUe9Emwswdffqlt5g_11_5"/>
      <w:bookmarkStart w:id="220" w:name="Tc_hrkVOsjErUeavnkvdrHnhA_11_2"/>
      <w:bookmarkStart w:id="221" w:name="Tc_DwUtBYkIgU2bryoJfRVstQ_11_0"/>
      <w:bookmarkStart w:id="222" w:name="Tc_03z3v0MMb0uFRJwhC_5Cpw_10_11"/>
      <w:bookmarkStart w:id="223" w:name="Tc_S37ZrAstbUmQJDMkYTbJ5A_10_5"/>
      <w:bookmarkStart w:id="224" w:name="Tc_V1-LxWMz7EmSpjLI_39ZRw_10_2"/>
      <w:bookmarkStart w:id="225" w:name="Tc_GvT9aVqOUEe_Gcpdm1jJHw_10_0"/>
      <w:bookmarkStart w:id="226" w:name="Tc_0rHmTPFu4kOLPpRid-2IkA_9_14"/>
      <w:bookmarkStart w:id="227" w:name="Tc_y6JJBEMCfUqgy5DBECBB5w_9_11"/>
      <w:bookmarkStart w:id="228" w:name="Tc_gtL98GKHZEiNf5xxieL_7g_9_8"/>
      <w:bookmarkStart w:id="229" w:name="Tc_qJWq9mKhBEO4LnRo50pxoA_9_5"/>
      <w:bookmarkStart w:id="230" w:name="Tc_f3zR4dp4o0-3g_wqO7qoZg_9_0"/>
      <w:bookmarkStart w:id="231" w:name="Tc_4mC7fdu9fEe6HUgG-2uCMw_8_11"/>
      <w:bookmarkStart w:id="232" w:name="Tc_TU1Fse-_PUW-dNyb0wtnCA_8_5"/>
      <w:bookmarkStart w:id="233" w:name="Tc_OVUKBHeTLEu4hcSZm7Z7sA_8_0"/>
      <w:bookmarkStart w:id="234" w:name="Tc_P4BdTP67qUm2lJfr0mzHxQ_7_11"/>
      <w:bookmarkStart w:id="235" w:name="Tc_oMbNNpOEmEyUTcUo9P-ooQ_7_5"/>
      <w:bookmarkStart w:id="236" w:name="Tc_QNtJl__CkU2B_zG3GNJ0fQ_7_0"/>
      <w:bookmarkStart w:id="237" w:name="Tc_-SoQCPGTbki3Xhmg7Yx4cg_6_14"/>
      <w:bookmarkStart w:id="238" w:name="Tc_AEITHOq1DUGiE-yRpgGt3A_6_11"/>
      <w:bookmarkStart w:id="239" w:name="Tc_8lmE4BTVfESglwWOSsYwUw_6_8"/>
      <w:bookmarkStart w:id="240" w:name="Tc_G40ZlLkUGEOi8AZ6UsXr3A_6_5"/>
      <w:bookmarkStart w:id="241" w:name="Tc_KKAaXQF7b0Gb8T0pmSqN6A_6_0"/>
      <w:bookmarkStart w:id="242" w:name="Tc_LdLqR6FTV0uQIPH_sG0nqw_5_13"/>
      <w:bookmarkStart w:id="243" w:name="Tc_kuKNwbTkrkyFl2HLtMIFnQ_5_10"/>
      <w:bookmarkStart w:id="244" w:name="Tc_1pWLZ_QAI0O3h5V5hwbU9Q_5_7"/>
      <w:bookmarkStart w:id="245" w:name="Tc_-gLOL_vsY0maB2NPlMNwdQ_5_4"/>
      <w:bookmarkStart w:id="246" w:name="Tc_NDAHTJONyEimBFQzxZhtnQ_5_0"/>
      <w:bookmarkStart w:id="247" w:name="Tc_K9QzAmbc_0uB26KlwQUklA_4_13"/>
      <w:bookmarkStart w:id="248" w:name="Tc_sJD8T2lz9Eev1M74sxoHog_4_10"/>
      <w:bookmarkStart w:id="249" w:name="Tc_3GifhOZAjUyMOln2KLQyJg_4_7"/>
      <w:bookmarkStart w:id="250" w:name="Tc_0A8bywncKEGntXAcik3-MQ_4_4"/>
      <w:bookmarkStart w:id="251" w:name="Tc_P5evvbrrY0uEgQpZezEfuw_4_2"/>
      <w:bookmarkStart w:id="252" w:name="Tc_hllDZi0vPkKMk6TRCOQa6g_3_13"/>
      <w:bookmarkStart w:id="253" w:name="Tc_u7axVSHkfEOvbF2OWfDFcw_3_10"/>
      <w:bookmarkStart w:id="254" w:name="Tc_quoMvZQa706KV818lQfGOQ_3_7"/>
      <w:bookmarkStart w:id="255" w:name="Tc_udHuJ_et7kSTFTS7jnCwRw_3_2"/>
      <w:bookmarkStart w:id="256" w:name="Tc_lBhLUlN_PEqyctCdpoUJFA_2_13"/>
      <w:bookmarkStart w:id="257" w:name="Tc_565fv8M8JUSf-RjVZtbCxQ_2_7"/>
      <w:bookmarkStart w:id="258" w:name="Tc_iKex0eg76UCXJ0YxE6vjVA_1_2"/>
      <w:bookmarkStart w:id="259" w:name="_0546eec8_2122_4aba_8648_dcb761a56f8f"/>
      <w:bookmarkStart w:id="260" w:name="Tc_6sXbTOMd7UqJ0ewawBwGvA_12_0"/>
      <w:bookmarkStart w:id="261" w:name="Tc_MFczezZRpkCLg0gXVeT5oQ_11_8"/>
      <w:bookmarkStart w:id="262" w:name="Tc_NyGv0rUe9Emwswdffqlt5g_11_5"/>
      <w:bookmarkStart w:id="263" w:name="Tc_hrkVOsjErUeavnkvdrHnhA_11_2"/>
      <w:bookmarkStart w:id="264" w:name="Tc_DwUtBYkIgU2bryoJfRVstQ_11_0"/>
      <w:bookmarkStart w:id="265" w:name="Tc_03z3v0MMb0uFRJwhC_5Cpw_10_11"/>
      <w:bookmarkStart w:id="266" w:name="Tc_S37ZrAstbUmQJDMkYTbJ5A_10_5"/>
      <w:bookmarkStart w:id="267" w:name="Tc_V1-LxWMz7EmSpjLI_39ZRw_10_2"/>
      <w:bookmarkStart w:id="268" w:name="Tc_GvT9aVqOUEe_Gcpdm1jJHw_10_0"/>
      <w:bookmarkStart w:id="269" w:name="Tc_0rHmTPFu4kOLPpRid-2IkA_9_14"/>
      <w:bookmarkStart w:id="270" w:name="Tc_y6JJBEMCfUqgy5DBECBB5w_9_11"/>
      <w:bookmarkStart w:id="271" w:name="Tc_gtL98GKHZEiNf5xxieL_7g_9_8"/>
      <w:bookmarkStart w:id="272" w:name="Tc_qJWq9mKhBEO4LnRo50pxoA_9_5"/>
      <w:bookmarkStart w:id="273" w:name="Tc_f3zR4dp4o0-3g_wqO7qoZg_9_0"/>
      <w:bookmarkStart w:id="274" w:name="Tc_4mC7fdu9fEe6HUgG-2uCMw_8_11"/>
      <w:bookmarkStart w:id="275" w:name="Tc_TU1Fse-_PUW-dNyb0wtnCA_8_5"/>
      <w:bookmarkStart w:id="276" w:name="Tc_OVUKBHeTLEu4hcSZm7Z7sA_8_0"/>
      <w:bookmarkStart w:id="277" w:name="Tc_P4BdTP67qUm2lJfr0mzHxQ_7_11"/>
      <w:bookmarkStart w:id="278" w:name="Tc_oMbNNpOEmEyUTcUo9P-ooQ_7_5"/>
      <w:bookmarkStart w:id="279" w:name="Tc_QNtJl__CkU2B_zG3GNJ0fQ_7_0"/>
      <w:bookmarkStart w:id="280" w:name="Tc_-SoQCPGTbki3Xhmg7Yx4cg_6_14"/>
      <w:bookmarkStart w:id="281" w:name="Tc_AEITHOq1DUGiE-yRpgGt3A_6_11"/>
      <w:bookmarkStart w:id="282" w:name="Tc_8lmE4BTVfESglwWOSsYwUw_6_8"/>
      <w:bookmarkStart w:id="283" w:name="Tc_G40ZlLkUGEOi8AZ6UsXr3A_6_5"/>
      <w:bookmarkStart w:id="284" w:name="Tc_KKAaXQF7b0Gb8T0pmSqN6A_6_0"/>
      <w:bookmarkStart w:id="285" w:name="Tc_LdLqR6FTV0uQIPH_sG0nqw_5_13"/>
      <w:bookmarkStart w:id="286" w:name="Tc_kuKNwbTkrkyFl2HLtMIFnQ_5_10"/>
      <w:bookmarkStart w:id="287" w:name="Tc_1pWLZ_QAI0O3h5V5hwbU9Q_5_7"/>
      <w:bookmarkStart w:id="288" w:name="Tc_-gLOL_vsY0maB2NPlMNwdQ_5_4"/>
      <w:bookmarkStart w:id="289" w:name="Tc_NDAHTJONyEimBFQzxZhtnQ_5_0"/>
      <w:bookmarkStart w:id="290" w:name="Tc_K9QzAmbc_0uB26KlwQUklA_4_13"/>
      <w:bookmarkStart w:id="291" w:name="Tc_sJD8T2lz9Eev1M74sxoHog_4_10"/>
      <w:bookmarkStart w:id="292" w:name="Tc_3GifhOZAjUyMOln2KLQyJg_4_7"/>
      <w:bookmarkStart w:id="293" w:name="Tc_0A8bywncKEGntXAcik3-MQ_4_4"/>
      <w:bookmarkStart w:id="294" w:name="Tc_P5evvbrrY0uEgQpZezEfuw_4_2"/>
      <w:bookmarkStart w:id="295" w:name="Tc_hllDZi0vPkKMk6TRCOQa6g_3_13"/>
      <w:bookmarkStart w:id="296" w:name="Tc_u7axVSHkfEOvbF2OWfDFcw_3_10"/>
      <w:bookmarkStart w:id="297" w:name="Tc_quoMvZQa706KV818lQfGOQ_3_7"/>
      <w:bookmarkStart w:id="298" w:name="Tc_udHuJ_et7kSTFTS7jnCwRw_3_2"/>
      <w:bookmarkStart w:id="299" w:name="Tc_lBhLUlN_PEqyctCdpoUJFA_2_13"/>
      <w:bookmarkStart w:id="300" w:name="Tc_565fv8M8JUSf-RjVZtbCxQ_2_7"/>
      <w:bookmarkStart w:id="301" w:name="Tc_iKex0eg76UCXJ0YxE6vjVA_1_2"/>
      <w:bookmarkStart w:id="302" w:name="_0546eec8_2122_4aba_8648_dcb761a56f8f"/>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tbl>
      <w:tblPr>
        <w:tblW w:w="10205" w:type="dxa"/>
        <w:jc w:val="left"/>
        <w:tblInd w:w="0" w:type="dxa"/>
        <w:tblLayout w:type="fixed"/>
        <w:tblCellMar>
          <w:top w:w="0" w:type="dxa"/>
          <w:left w:w="0" w:type="dxa"/>
          <w:bottom w:w="0" w:type="dxa"/>
          <w:right w:w="0" w:type="dxa"/>
        </w:tblCellMar>
      </w:tblPr>
      <w:tblGrid>
        <w:gridCol w:w="4721"/>
        <w:gridCol w:w="206"/>
        <w:gridCol w:w="766"/>
        <w:gridCol w:w="326"/>
        <w:gridCol w:w="196"/>
        <w:gridCol w:w="375"/>
        <w:gridCol w:w="326"/>
        <w:gridCol w:w="181"/>
        <w:gridCol w:w="586"/>
        <w:gridCol w:w="326"/>
        <w:gridCol w:w="194"/>
        <w:gridCol w:w="677"/>
        <w:gridCol w:w="326"/>
        <w:gridCol w:w="230"/>
        <w:gridCol w:w="769"/>
      </w:tblGrid>
      <w:tr>
        <w:trPr/>
        <w:tc>
          <w:tcPr>
            <w:tcW w:w="4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997835" cy="175260"/>
                      <wp:effectExtent l="0" t="0" r="0" b="0"/>
                      <wp:wrapNone/>
                      <wp:docPr id="19" name="Frame18"/>
                      <a:graphic xmlns:a="http://schemas.openxmlformats.org/drawingml/2006/main">
                        <a:graphicData uri="http://schemas.microsoft.com/office/word/2010/wordprocessingShape">
                          <wps:wsp>
                            <wps:cNvSpPr txBox="1"/>
                            <wps:spPr>
                              <a:xfrm>
                                <a:off x="0" y="0"/>
                                <a:ext cx="299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0810" cy="175260"/>
                      <wp:effectExtent l="0" t="0" r="0" b="0"/>
                      <wp:wrapNone/>
                      <wp:docPr id="20" name="Frame1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86410" cy="175260"/>
                      <wp:effectExtent l="0" t="0" r="0" b="0"/>
                      <wp:wrapNone/>
                      <wp:docPr id="21" name="Frame2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38125" cy="175260"/>
                      <wp:effectExtent l="0" t="0" r="0" b="0"/>
                      <wp:wrapNone/>
                      <wp:docPr id="24" name="Frame2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4935" cy="175260"/>
                      <wp:effectExtent l="0" t="0" r="0" b="0"/>
                      <wp:wrapNone/>
                      <wp:docPr id="26" name="Frame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72110" cy="175260"/>
                      <wp:effectExtent l="0" t="0" r="0" b="0"/>
                      <wp:wrapNone/>
                      <wp:docPr id="27" name="Frame2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3190" cy="175260"/>
                      <wp:effectExtent l="0" t="0" r="0" b="0"/>
                      <wp:wrapNone/>
                      <wp:docPr id="29" name="Frame28"/>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29895" cy="175260"/>
                      <wp:effectExtent l="0" t="0" r="0" b="0"/>
                      <wp:wrapNone/>
                      <wp:docPr id="30" name="Frame2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6050" cy="175260"/>
                      <wp:effectExtent l="0" t="0" r="0" b="0"/>
                      <wp:wrapNone/>
                      <wp:docPr id="32" name="Frame3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88315" cy="175260"/>
                      <wp:effectExtent l="0" t="0" r="0" b="0"/>
                      <wp:wrapNone/>
                      <wp:docPr id="33" name="Frame32"/>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7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Thirteen Weeks Ended March 31, 2024</w:t>
            </w:r>
          </w:p>
        </w:tc>
      </w:tr>
      <w:tr>
        <w:trPr/>
        <w:tc>
          <w:tcPr>
            <w:tcW w:w="47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47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6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99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47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4721"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December 31, 2023</w:t>
            </w:r>
          </w:p>
        </w:tc>
        <w:tc>
          <w:tcPr>
            <w:tcW w:w="20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40,618,206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254,116</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(193,205)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60,952</w:t>
            </w:r>
          </w:p>
        </w:tc>
      </w:tr>
      <w:tr>
        <w:trPr/>
        <w:tc>
          <w:tcPr>
            <w:tcW w:w="47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restricted stock units (RSUs), net of forfeiture</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983,460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r>
      <w:tr>
        <w:trPr/>
        <w:tc>
          <w:tcPr>
            <w:tcW w:w="47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employee stock purchase plan (ESPP)</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52,043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r>
      <w:tr>
        <w:trPr/>
        <w:tc>
          <w:tcPr>
            <w:tcW w:w="47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(396,708)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r>
      <w:tr>
        <w:trPr/>
        <w:tc>
          <w:tcPr>
            <w:tcW w:w="47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r>
      <w:tr>
        <w:trPr/>
        <w:tc>
          <w:tcPr>
            <w:tcW w:w="47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3,023</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3,023</w:t>
            </w:r>
          </w:p>
        </w:tc>
      </w:tr>
      <w:tr>
        <w:trPr/>
        <w:tc>
          <w:tcPr>
            <w:tcW w:w="472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(5,736)</w:t>
            </w:r>
          </w:p>
        </w:tc>
      </w:tr>
      <w:tr>
        <w:trPr/>
        <w:tc>
          <w:tcPr>
            <w:tcW w:w="4721"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March 31, 2024</w:t>
            </w:r>
          </w:p>
        </w:tc>
        <w:tc>
          <w:tcPr>
            <w:tcW w:w="20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41,255,966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256,646</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(198,941)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57,746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03" w:name="Tc_Wr8FyEETWUS5PkNYDAqihA_13_0"/>
      <w:bookmarkStart w:id="304" w:name="Tc_n-Fg7OteF0q0mKsH_sUmKw_12_8"/>
      <w:bookmarkStart w:id="305" w:name="Tc_MyebHa2veEKMMEugju6vlw_12_5"/>
      <w:bookmarkStart w:id="306" w:name="Tc_nfZPSUDbCEy_s8vehpe2gw_12_2"/>
      <w:bookmarkStart w:id="307" w:name="Tc_HsgYHrDMhUqpOaXh51nuVA_12_0"/>
      <w:bookmarkStart w:id="308" w:name="Tc_IjDs0oJUcUidEBxULM_vpA_11_11"/>
      <w:bookmarkStart w:id="309" w:name="Tc_rPtcS-3DrkO50RYxZrktDA_11_5"/>
      <w:bookmarkStart w:id="310" w:name="Tc_hWV-kV0j1EypZYYG0HVofg_11_2"/>
      <w:bookmarkStart w:id="311" w:name="Tc_yNRvUIgmQkOyiA9qgGGqkg_11_0"/>
      <w:bookmarkStart w:id="312" w:name="Tc_qp1DHMpZdU-wc7N8UQAz0w_10_14"/>
      <w:bookmarkStart w:id="313" w:name="Tc_UFT564eOQE6WYfB0YPWNOw_10_11"/>
      <w:bookmarkStart w:id="314" w:name="Tc_MCbE34FNAUS-t8fdTnlakA_10_8"/>
      <w:bookmarkStart w:id="315" w:name="Tc_R-kJDwAVgUWZR3Iuu25iFA_10_5"/>
      <w:bookmarkStart w:id="316" w:name="Tc_gqXv0tQN0U6zlc95yicoDw_10_0"/>
      <w:bookmarkStart w:id="317" w:name="Tc_3NyTvO0p1UqImQYb3hyK5w_9_11"/>
      <w:bookmarkStart w:id="318" w:name="Tc_Uf_IUUbLb0uyoh3JH_fFyw_9_5"/>
      <w:bookmarkStart w:id="319" w:name="Tc_49qRjSv-rka_-cPFOUewYg_9_0"/>
      <w:bookmarkStart w:id="320" w:name="Tc_Op0PAa5giEWlyTzlTfp5Ow_8_11"/>
      <w:bookmarkStart w:id="321" w:name="Tc_v3Iw_pSIU0qfiExF_Lz76A_8_5"/>
      <w:bookmarkStart w:id="322" w:name="Tc__BBdFtcrhUaBbu8bZRvsRQ_8_0"/>
      <w:bookmarkStart w:id="323" w:name="Tc_22LCnmpT4EGShS-spjluZA_7_14"/>
      <w:bookmarkStart w:id="324" w:name="Tc_gKSdvhJ1kUuQnf-8zSH0pA_7_11"/>
      <w:bookmarkStart w:id="325" w:name="Tc_Q-Tl2UHTrUa2p4wO39Vu9g_7_8"/>
      <w:bookmarkStart w:id="326" w:name="Tc_iai_nhp08Ua-O2KhgPRmkg_7_5"/>
      <w:bookmarkStart w:id="327" w:name="Tc_f_qZj5njPky4NTpTRrmIvg_7_0"/>
      <w:bookmarkStart w:id="328" w:name="Tc_KxdqwOQ9Wk-MBktbClTR2A_6_11"/>
      <w:bookmarkStart w:id="329" w:name="Tc_LvD7v-LOJUiNPC3n-oWSNg_6_8"/>
      <w:bookmarkStart w:id="330" w:name="Tc_5UpM_YQQtEu5FMGe6iPcwQ_6_0"/>
      <w:bookmarkStart w:id="331" w:name="Tc_DL-8GBrvQUq1hVWJhhb0bQ_5_0"/>
      <w:bookmarkStart w:id="332" w:name="Tc_vrh3U8vOb0evDMj9ZYXlRA_4_13"/>
      <w:bookmarkStart w:id="333" w:name="Tc_eRO2M7HhzEWGoEKmnpaqew_4_10"/>
      <w:bookmarkStart w:id="334" w:name="Tc_5ETb7mMIxUyTC5tpKIYnKQ_4_7"/>
      <w:bookmarkStart w:id="335" w:name="Tc_id53lTSSSUii83a8ncOAJA_4_4"/>
      <w:bookmarkStart w:id="336" w:name="Tc_Zh8foHL-MU-JpcbMBwLT1w_4_2"/>
      <w:bookmarkStart w:id="337" w:name="Tc_eczVArseA0GXynbngmnc8A_3_13"/>
      <w:bookmarkStart w:id="338" w:name="Tc_JgIdwZYMZ0-VyExK3O8fMA_3_10"/>
      <w:bookmarkStart w:id="339" w:name="Tc_ybyS15EZ5UyPJtdbLp8Wgg_3_7"/>
      <w:bookmarkStart w:id="340" w:name="Tc_mSUqtm9KekCNGfnSE0QVZQ_3_2"/>
      <w:bookmarkStart w:id="341" w:name="Tc_cE6hNwm82EGlbczptCM0-A_2_13"/>
      <w:bookmarkStart w:id="342" w:name="Tc_g1DjZFVuN0ihAhZOaEYunA_2_7"/>
      <w:bookmarkStart w:id="343" w:name="Tc__wCyDACnDUy863K6rJIeDw_1_2"/>
      <w:bookmarkStart w:id="344" w:name="_04ab2605_7d89_4891_98ab_640b964e289c"/>
      <w:bookmarkStart w:id="345" w:name="Tc_Wr8FyEETWUS5PkNYDAqihA_13_0"/>
      <w:bookmarkStart w:id="346" w:name="Tc_n-Fg7OteF0q0mKsH_sUmKw_12_8"/>
      <w:bookmarkStart w:id="347" w:name="Tc_MyebHa2veEKMMEugju6vlw_12_5"/>
      <w:bookmarkStart w:id="348" w:name="Tc_nfZPSUDbCEy_s8vehpe2gw_12_2"/>
      <w:bookmarkStart w:id="349" w:name="Tc_HsgYHrDMhUqpOaXh51nuVA_12_0"/>
      <w:bookmarkStart w:id="350" w:name="Tc_IjDs0oJUcUidEBxULM_vpA_11_11"/>
      <w:bookmarkStart w:id="351" w:name="Tc_rPtcS-3DrkO50RYxZrktDA_11_5"/>
      <w:bookmarkStart w:id="352" w:name="Tc_hWV-kV0j1EypZYYG0HVofg_11_2"/>
      <w:bookmarkStart w:id="353" w:name="Tc_yNRvUIgmQkOyiA9qgGGqkg_11_0"/>
      <w:bookmarkStart w:id="354" w:name="Tc_qp1DHMpZdU-wc7N8UQAz0w_10_14"/>
      <w:bookmarkStart w:id="355" w:name="Tc_UFT564eOQE6WYfB0YPWNOw_10_11"/>
      <w:bookmarkStart w:id="356" w:name="Tc_MCbE34FNAUS-t8fdTnlakA_10_8"/>
      <w:bookmarkStart w:id="357" w:name="Tc_R-kJDwAVgUWZR3Iuu25iFA_10_5"/>
      <w:bookmarkStart w:id="358" w:name="Tc_gqXv0tQN0U6zlc95yicoDw_10_0"/>
      <w:bookmarkStart w:id="359" w:name="Tc_3NyTvO0p1UqImQYb3hyK5w_9_11"/>
      <w:bookmarkStart w:id="360" w:name="Tc_Uf_IUUbLb0uyoh3JH_fFyw_9_5"/>
      <w:bookmarkStart w:id="361" w:name="Tc_49qRjSv-rka_-cPFOUewYg_9_0"/>
      <w:bookmarkStart w:id="362" w:name="Tc_Op0PAa5giEWlyTzlTfp5Ow_8_11"/>
      <w:bookmarkStart w:id="363" w:name="Tc_v3Iw_pSIU0qfiExF_Lz76A_8_5"/>
      <w:bookmarkStart w:id="364" w:name="Tc__BBdFtcrhUaBbu8bZRvsRQ_8_0"/>
      <w:bookmarkStart w:id="365" w:name="Tc_22LCnmpT4EGShS-spjluZA_7_14"/>
      <w:bookmarkStart w:id="366" w:name="Tc_gKSdvhJ1kUuQnf-8zSH0pA_7_11"/>
      <w:bookmarkStart w:id="367" w:name="Tc_Q-Tl2UHTrUa2p4wO39Vu9g_7_8"/>
      <w:bookmarkStart w:id="368" w:name="Tc_iai_nhp08Ua-O2KhgPRmkg_7_5"/>
      <w:bookmarkStart w:id="369" w:name="Tc_f_qZj5njPky4NTpTRrmIvg_7_0"/>
      <w:bookmarkStart w:id="370" w:name="Tc_KxdqwOQ9Wk-MBktbClTR2A_6_11"/>
      <w:bookmarkStart w:id="371" w:name="Tc_LvD7v-LOJUiNPC3n-oWSNg_6_8"/>
      <w:bookmarkStart w:id="372" w:name="Tc_5UpM_YQQtEu5FMGe6iPcwQ_6_0"/>
      <w:bookmarkStart w:id="373" w:name="Tc_DL-8GBrvQUq1hVWJhhb0bQ_5_0"/>
      <w:bookmarkStart w:id="374" w:name="Tc_vrh3U8vOb0evDMj9ZYXlRA_4_13"/>
      <w:bookmarkStart w:id="375" w:name="Tc_eRO2M7HhzEWGoEKmnpaqew_4_10"/>
      <w:bookmarkStart w:id="376" w:name="Tc_5ETb7mMIxUyTC5tpKIYnKQ_4_7"/>
      <w:bookmarkStart w:id="377" w:name="Tc_id53lTSSSUii83a8ncOAJA_4_4"/>
      <w:bookmarkStart w:id="378" w:name="Tc_Zh8foHL-MU-JpcbMBwLT1w_4_2"/>
      <w:bookmarkStart w:id="379" w:name="Tc_eczVArseA0GXynbngmnc8A_3_13"/>
      <w:bookmarkStart w:id="380" w:name="Tc_JgIdwZYMZ0-VyExK3O8fMA_3_10"/>
      <w:bookmarkStart w:id="381" w:name="Tc_ybyS15EZ5UyPJtdbLp8Wgg_3_7"/>
      <w:bookmarkStart w:id="382" w:name="Tc_mSUqtm9KekCNGfnSE0QVZQ_3_2"/>
      <w:bookmarkStart w:id="383" w:name="Tc_cE6hNwm82EGlbczptCM0-A_2_13"/>
      <w:bookmarkStart w:id="384" w:name="Tc_g1DjZFVuN0ihAhZOaEYunA_2_7"/>
      <w:bookmarkStart w:id="385" w:name="Tc__wCyDACnDUy863K6rJIeDw_1_2"/>
      <w:bookmarkStart w:id="386" w:name="_04ab2605_7d89_4891_98ab_640b964e289c"/>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tbl>
      <w:tblPr>
        <w:tblW w:w="8970" w:type="dxa"/>
        <w:jc w:val="left"/>
        <w:tblInd w:w="0" w:type="dxa"/>
        <w:tblLayout w:type="fixed"/>
        <w:tblCellMar>
          <w:top w:w="0" w:type="dxa"/>
          <w:left w:w="0" w:type="dxa"/>
          <w:bottom w:w="0" w:type="dxa"/>
          <w:right w:w="0" w:type="dxa"/>
        </w:tblCellMar>
      </w:tblPr>
      <w:tblGrid>
        <w:gridCol w:w="3466"/>
        <w:gridCol w:w="206"/>
        <w:gridCol w:w="796"/>
        <w:gridCol w:w="326"/>
        <w:gridCol w:w="136"/>
        <w:gridCol w:w="435"/>
        <w:gridCol w:w="326"/>
        <w:gridCol w:w="115"/>
        <w:gridCol w:w="636"/>
        <w:gridCol w:w="326"/>
        <w:gridCol w:w="125"/>
        <w:gridCol w:w="746"/>
        <w:gridCol w:w="326"/>
        <w:gridCol w:w="153"/>
        <w:gridCol w:w="852"/>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00910" cy="175260"/>
                      <wp:effectExtent l="0" t="0" r="0" b="0"/>
                      <wp:wrapNone/>
                      <wp:docPr id="34" name="Frame33"/>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0810" cy="175260"/>
                      <wp:effectExtent l="0" t="0" r="0" b="0"/>
                      <wp:wrapNone/>
                      <wp:docPr id="35" name="Frame3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05460" cy="175260"/>
                      <wp:effectExtent l="0" t="0" r="0" b="0"/>
                      <wp:wrapNone/>
                      <wp:docPr id="36" name="Frame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86360" cy="175260"/>
                      <wp:effectExtent l="0" t="0" r="0" b="0"/>
                      <wp:wrapNone/>
                      <wp:docPr id="38" name="Frame37"/>
                      <a:graphic xmlns:a="http://schemas.openxmlformats.org/drawingml/2006/main">
                        <a:graphicData uri="http://schemas.microsoft.com/office/word/2010/wordprocessingShape">
                          <wps:wsp>
                            <wps:cNvSpPr txBox="1"/>
                            <wps:spPr>
                              <a:xfrm>
                                <a:off x="0" y="0"/>
                                <a:ext cx="86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76225" cy="175260"/>
                      <wp:effectExtent l="0" t="0" r="0" b="0"/>
                      <wp:wrapNone/>
                      <wp:docPr id="39" name="Frame38"/>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3025" cy="175260"/>
                      <wp:effectExtent l="0" t="0" r="0" b="0"/>
                      <wp:wrapNone/>
                      <wp:docPr id="41" name="Frame40"/>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03860" cy="175260"/>
                      <wp:effectExtent l="0" t="0" r="0" b="0"/>
                      <wp:wrapNone/>
                      <wp:docPr id="42" name="Frame41"/>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9375" cy="175260"/>
                      <wp:effectExtent l="0" t="0" r="0" b="0"/>
                      <wp:wrapNone/>
                      <wp:docPr id="44" name="Frame43"/>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73710" cy="175260"/>
                      <wp:effectExtent l="0" t="0" r="0" b="0"/>
                      <wp:wrapNone/>
                      <wp:docPr id="45" name="Frame44"/>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7155" cy="175260"/>
                      <wp:effectExtent l="0" t="0" r="0" b="0"/>
                      <wp:wrapNone/>
                      <wp:docPr id="47" name="Frame46"/>
                      <a:graphic xmlns:a="http://schemas.openxmlformats.org/drawingml/2006/main">
                        <a:graphicData uri="http://schemas.microsoft.com/office/word/2010/wordprocessingShape">
                          <wps:wsp>
                            <wps:cNvSpPr txBox="1"/>
                            <wps:spPr>
                              <a:xfrm>
                                <a:off x="0" y="0"/>
                                <a:ext cx="97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41020" cy="175260"/>
                      <wp:effectExtent l="0" t="0" r="0" b="0"/>
                      <wp:wrapNone/>
                      <wp:docPr id="48" name="Frame47"/>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529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Thirteen Weeks Ended April 2, 2023</w:t>
            </w:r>
          </w:p>
        </w:tc>
      </w:tr>
      <w:tr>
        <w:trPr/>
        <w:tc>
          <w:tcPr>
            <w:tcW w:w="34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36" w:type="dxa"/>
            <w:tcBorders/>
            <w:vAlign w:val="center"/>
          </w:tcPr>
          <w:p>
            <w:pPr>
              <w:pStyle w:val="TableContents"/>
              <w:bidi w:val="0"/>
              <w:spacing w:before="0" w:after="0"/>
              <w:ind w:left="0" w:right="0" w:hanging="0"/>
              <w:jc w:val="center"/>
              <w:rPr/>
            </w:pPr>
            <w:r>
              <w:rPr/>
              <w:t>​</w:t>
            </w:r>
          </w:p>
        </w:tc>
        <w:tc>
          <w:tcPr>
            <w:tcW w:w="4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center"/>
              <w:rPr/>
            </w:pPr>
            <w:r>
              <w:rPr/>
              <w:t>​</w:t>
            </w:r>
          </w:p>
        </w:tc>
        <w:tc>
          <w:tcPr>
            <w:tcW w:w="7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34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69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00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346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466" w:type="dxa"/>
            <w:tcBorders/>
            <w:shd w:fill="CCEEFF" w:val="clear"/>
            <w:vAlign w:val="center"/>
          </w:tcPr>
          <w:p>
            <w:pPr>
              <w:pStyle w:val="TableContents"/>
              <w:bidi w:val="0"/>
              <w:spacing w:before="0" w:after="0"/>
              <w:ind w:left="0" w:right="0" w:hanging="0"/>
              <w:jc w:val="both"/>
              <w:rPr>
                <w:rFonts w:ascii="Times New Roman;Times;serif" w:hAnsi="Times New Roman;Times;serif"/>
                <w:sz w:val="15"/>
              </w:rPr>
            </w:pPr>
            <w:r>
              <w:rPr>
                <w:rFonts w:ascii="Times New Roman;Times;serif" w:hAnsi="Times New Roman;Times;serif"/>
                <w:sz w:val="15"/>
              </w:rPr>
              <w:t>Balance as of January 1, 2023</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39,259,328</w:t>
            </w:r>
          </w:p>
        </w:tc>
        <w:tc>
          <w:tcPr>
            <w:tcW w:w="32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238,725</w:t>
            </w:r>
          </w:p>
        </w:tc>
        <w:tc>
          <w:tcPr>
            <w:tcW w:w="326"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(173,871)</w:t>
            </w:r>
          </w:p>
        </w:tc>
        <w:tc>
          <w:tcPr>
            <w:tcW w:w="3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64,893</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491,769</w:t>
            </w:r>
          </w:p>
        </w:tc>
        <w:tc>
          <w:tcPr>
            <w:tcW w:w="32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special compensation award</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208,914</w:t>
            </w:r>
          </w:p>
        </w:tc>
        <w:tc>
          <w:tcPr>
            <w:tcW w:w="32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ESPP</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47,502</w:t>
            </w:r>
          </w:p>
        </w:tc>
        <w:tc>
          <w:tcPr>
            <w:tcW w:w="32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c>
          <w:tcPr>
            <w:tcW w:w="326"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(277,606)</w:t>
            </w:r>
          </w:p>
        </w:tc>
        <w:tc>
          <w:tcPr>
            <w:tcW w:w="32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c>
          <w:tcPr>
            <w:tcW w:w="326"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(662)</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20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(2,720)</w:t>
            </w:r>
          </w:p>
        </w:tc>
        <w:tc>
          <w:tcPr>
            <w:tcW w:w="326" w:type="dxa"/>
            <w:tcBorders/>
            <w:vAlign w:val="center"/>
          </w:tcPr>
          <w:p>
            <w:pPr>
              <w:pStyle w:val="TableContents"/>
              <w:bidi w:val="0"/>
              <w:spacing w:before="0" w:after="0"/>
              <w:ind w:left="0" w:right="0" w:hanging="0"/>
              <w:jc w:val="left"/>
              <w:rPr/>
            </w:pPr>
            <w:r>
              <w:rPr/>
              <w:t>​</w:t>
            </w:r>
          </w:p>
        </w:tc>
        <w:tc>
          <w:tcPr>
            <w:tcW w:w="136" w:type="dxa"/>
            <w:tcBorders/>
            <w:vAlign w:val="center"/>
          </w:tcPr>
          <w:p>
            <w:pPr>
              <w:pStyle w:val="TableContents"/>
              <w:bidi w:val="0"/>
              <w:spacing w:before="0" w:after="0"/>
              <w:ind w:left="0" w:right="0" w:hanging="0"/>
              <w:jc w:val="left"/>
              <w:rPr/>
            </w:pPr>
            <w:r>
              <w:rPr/>
              <w:t>​</w:t>
            </w:r>
          </w:p>
        </w:tc>
        <w:tc>
          <w:tcPr>
            <w:tcW w:w="4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6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852" w:type="dxa"/>
            <w:tcBorders/>
            <w:vAlign w:val="center"/>
          </w:tcPr>
          <w:p>
            <w:pPr>
              <w:pStyle w:val="TableContents"/>
              <w:bidi w:val="0"/>
              <w:spacing w:before="0" w:after="0"/>
              <w:ind w:left="0" w:right="0" w:hanging="0"/>
              <w:jc w:val="righ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4,892</w:t>
            </w:r>
          </w:p>
        </w:tc>
        <w:tc>
          <w:tcPr>
            <w:tcW w:w="326"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4,892</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(5,618)</w:t>
            </w:r>
          </w:p>
        </w:tc>
        <w:tc>
          <w:tcPr>
            <w:tcW w:w="326" w:type="dxa"/>
            <w:tcBorders/>
            <w:vAlign w:val="center"/>
          </w:tcPr>
          <w:p>
            <w:pPr>
              <w:pStyle w:val="TableContents"/>
              <w:bidi w:val="0"/>
              <w:spacing w:before="0" w:after="0"/>
              <w:ind w:left="0" w:right="0" w:hanging="0"/>
              <w:jc w:val="left"/>
              <w:rPr/>
            </w:pPr>
            <w:r>
              <w:rPr/>
              <w:t>​</w:t>
            </w:r>
          </w:p>
        </w:tc>
        <w:tc>
          <w:tcPr>
            <w:tcW w:w="1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(5,618)</w:t>
            </w:r>
          </w:p>
        </w:tc>
      </w:tr>
      <w:tr>
        <w:trPr/>
        <w:tc>
          <w:tcPr>
            <w:tcW w:w="346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April 2, 2023</w:t>
            </w:r>
          </w:p>
        </w:tc>
        <w:tc>
          <w:tcPr>
            <w:tcW w:w="20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39,727,187</w:t>
            </w:r>
          </w:p>
        </w:tc>
        <w:tc>
          <w:tcPr>
            <w:tcW w:w="326" w:type="dxa"/>
            <w:tcBorders/>
            <w:shd w:fill="CCEEFF" w:val="clear"/>
            <w:vAlign w:val="center"/>
          </w:tcPr>
          <w:p>
            <w:pPr>
              <w:pStyle w:val="TableContents"/>
              <w:bidi w:val="0"/>
              <w:spacing w:before="0" w:after="0"/>
              <w:ind w:left="0" w:right="0" w:hanging="0"/>
              <w:jc w:val="left"/>
              <w:rPr/>
            </w:pPr>
            <w:r>
              <w:rPr/>
              <w:t>​</w:t>
            </w:r>
          </w:p>
        </w:tc>
        <w:tc>
          <w:tcPr>
            <w:tcW w:w="136" w:type="dxa"/>
            <w:tcBorders/>
            <w:shd w:fill="CCEEFF" w:val="clear"/>
            <w:vAlign w:val="center"/>
          </w:tcPr>
          <w:p>
            <w:pPr>
              <w:pStyle w:val="TableContents"/>
              <w:bidi w:val="0"/>
              <w:spacing w:before="0" w:after="0"/>
              <w:ind w:left="0" w:right="0" w:hanging="0"/>
              <w:jc w:val="left"/>
              <w:rPr/>
            </w:pPr>
            <w:r>
              <w:rPr/>
              <w:t>​</w:t>
            </w:r>
          </w:p>
        </w:tc>
        <w:tc>
          <w:tcPr>
            <w:tcW w:w="43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243,224</w:t>
            </w:r>
          </w:p>
        </w:tc>
        <w:tc>
          <w:tcPr>
            <w:tcW w:w="326"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(179,489)</w:t>
            </w:r>
          </w:p>
        </w:tc>
        <w:tc>
          <w:tcPr>
            <w:tcW w:w="326"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852"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63,775</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7" w:name="_72fa317b_9ad5_4ae0_ac1d_8e6e91e7e040"/>
      <w:bookmarkEnd w:id="387"/>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388" w:name="CondensedConsolidatedStatementsofCashFlo"/>
      <w:bookmarkEnd w:id="38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shd w:fill="FFFF00" w:val="clear"/>
        </w:rPr>
      </w:pPr>
      <w:r>
        <w:rPr>
          <w:shd w:fill="FFFF00" w:val="clear"/>
        </w:rPr>
        <w:t>​</w:t>
      </w:r>
    </w:p>
    <w:p>
      <w:pPr>
        <w:pStyle w:val="Normal"/>
        <w:bidi w:val="0"/>
        <w:spacing w:before="0" w:after="0"/>
        <w:jc w:val="left"/>
        <w:rPr>
          <w:sz w:val="4"/>
          <w:szCs w:val="4"/>
        </w:rPr>
      </w:pPr>
      <w:r>
        <w:rPr>
          <w:sz w:val="4"/>
          <w:szCs w:val="4"/>
        </w:rPr>
      </w:r>
      <w:bookmarkStart w:id="389" w:name="Tc_0VBMWRak3kepbdF4FMW4Rw_43_5"/>
      <w:bookmarkStart w:id="390" w:name="Tc_BazAGztgmk6nSs1HmxgitA_41_5"/>
      <w:bookmarkStart w:id="391" w:name="Tc_Kn2skI4P8UygsSzHC49w9g_41_2"/>
      <w:bookmarkStart w:id="392" w:name="Tc_D4_X_jxaKE6lLLurtGjGdQ_41_0"/>
      <w:bookmarkStart w:id="393" w:name="Tc_Xa1_Yz2ehkKHeRxcUwvczQ_40_5"/>
      <w:bookmarkStart w:id="394" w:name="Tc_yPa6ucin5ESCMwWGpojvMQ_40_2"/>
      <w:bookmarkStart w:id="395" w:name="Tc_QGc9aFk00EqPPaY4nf7XZg_40_0"/>
      <w:bookmarkStart w:id="396" w:name="Tc_bifHifRd3kiSTCz_6GQH4A_39_0"/>
      <w:bookmarkStart w:id="397" w:name="Tc_ARlzSgKCp0-uQZFeDOIqVw_37_5"/>
      <w:bookmarkStart w:id="398" w:name="Tc_TQFxoYMqcUuMPD77veZNWA_37_2"/>
      <w:bookmarkStart w:id="399" w:name="Tc_Ez-l5HaL6ES_6-M-p3uYJA_37_0"/>
      <w:bookmarkStart w:id="400" w:name="Tc_tBAfhdW-Fke5FmPdSta4LQ_36_0"/>
      <w:bookmarkStart w:id="401" w:name="Tc_IQQN69ijU0WYH364Vl_LJw_35_0"/>
      <w:bookmarkStart w:id="402" w:name="Tc_1wlqv64n9U21yXVjXrndBg_34_0"/>
      <w:bookmarkStart w:id="403" w:name="Tc_jIM6u8a7MUeOW8RK6QZfww_33_3"/>
      <w:bookmarkStart w:id="404" w:name="Tc_QnUfn_L8e0KtUQKuu10h0Q_33_0"/>
      <w:bookmarkStart w:id="405" w:name="Tc_rclfBWA2EkqivM2nZbx4ig_32_0"/>
      <w:bookmarkStart w:id="406" w:name="Tc_0HHag2CzzU2hcrSBJgTtYg_31_0"/>
      <w:bookmarkStart w:id="407" w:name="Tc_-FjzDBVYXk-TiV_XO7KxVA_30_0"/>
      <w:bookmarkStart w:id="408" w:name="Tc_Egd4OcN0MkKuwcyoZVps8Q_29_0"/>
      <w:bookmarkStart w:id="409" w:name="Tc_xxIPVnnvBEO3OcE8jMBNfg_28_0"/>
      <w:bookmarkStart w:id="410" w:name="Tc_Qx9uMsTto0Gb3YGCJE2sOQ_27_0"/>
      <w:bookmarkStart w:id="411" w:name="Tc_yOO_3ZvTB0S1xkSRJhRekg_26_0"/>
      <w:bookmarkStart w:id="412" w:name="Tc_YIhTF8OuokypT_MuuVnrEQ_25_0"/>
      <w:bookmarkStart w:id="413" w:name="Tc_6Bov-oyYIEuVthkAIM-8BQ_24_0"/>
      <w:bookmarkStart w:id="414" w:name="Tc_S3CUC8piBEGkFp0yG9HCdw_23_0"/>
      <w:bookmarkStart w:id="415" w:name="Tc_TGExiATH9kimjZCY-Q78_w_22_0"/>
      <w:bookmarkStart w:id="416" w:name="Tc_wIV-7lSXXEuG43P4XYvQAw_21_0"/>
      <w:bookmarkStart w:id="417" w:name="Tc_F6nyHyiYvUSz9ZDURxLEwg_20_0"/>
      <w:bookmarkStart w:id="418" w:name="Tc_tlYGqN4mE06xuGs-Tt_uYg_19_0"/>
      <w:bookmarkStart w:id="419" w:name="Tc_nEwgpRKhxEmnEVqC3IcMoA_18_0"/>
      <w:bookmarkStart w:id="420" w:name="Tc__1h-jawWO0iQiljBN8BFkw_17_0"/>
      <w:bookmarkStart w:id="421" w:name="Tc_iHYqJBrbREW4LOXJO6cvlw_16_0"/>
      <w:bookmarkStart w:id="422" w:name="Tc_VkDFGgpcgkmV2f5aJw0C5w_15_0"/>
      <w:bookmarkStart w:id="423" w:name="Tc_A-rs-JJ_9kCRUyxEIsSZ3w_14_0"/>
      <w:bookmarkStart w:id="424" w:name="Tc_BSJ3AAYaaEiBySjRE_PwrQ_13_0"/>
      <w:bookmarkStart w:id="425" w:name="Tc_VNSyQSf2bUiQS18d8DgPFQ_12_0"/>
      <w:bookmarkStart w:id="426" w:name="Tc_ZbewjGKWPUeRVSVzlu4Usw_11_3"/>
      <w:bookmarkStart w:id="427" w:name="Tc_ByT7__tQTUezJ-lB8HfP2Q_11_0"/>
      <w:bookmarkStart w:id="428" w:name="Tc_5ZKwFiA5MUWVksLMxNXNcQ_10_0"/>
      <w:bookmarkStart w:id="429" w:name="Tc_rp-DlH6V2UCllq_-hAfzdw_9_0"/>
      <w:bookmarkStart w:id="430" w:name="Tc_L9_YCoRrf0ikQg0xDMtK9Q_8_0"/>
      <w:bookmarkStart w:id="431" w:name="Tc_DSorj2qXd0eihnbuVoH7cQ_7_0"/>
      <w:bookmarkStart w:id="432" w:name="Tc_X5fZwC2wX02Nmt4fdwncdg_6_0"/>
      <w:bookmarkStart w:id="433" w:name="Tc_mdFS8OdPeUGenw6NMpTAwg_5_5"/>
      <w:bookmarkStart w:id="434" w:name="Tc_jKQhago-S0CfAO3kH8-iVw_5_2"/>
      <w:bookmarkStart w:id="435" w:name="Tc_F8YyIi9bbk24-7gXJxl2Ow_5_0"/>
      <w:bookmarkStart w:id="436" w:name="Tc_G-rz_yeNU06zKzSBodfjCQ_4_0"/>
      <w:bookmarkStart w:id="437" w:name="Tc_lzzKEBtSKUeVB7iv8RZs1g_3_5"/>
      <w:bookmarkStart w:id="438" w:name="Tc_NByMunJWKUiSTXkPwVJKjA_3_2"/>
      <w:bookmarkStart w:id="439" w:name="Tc_1qymwkxyM0CgVw750tXleA_2_5"/>
      <w:bookmarkStart w:id="440" w:name="Tc_D5jM8T65-EeJ6B2QnNsmJw_2_2"/>
      <w:bookmarkStart w:id="441" w:name="Tc_CuEmJ4mLAUSucrEX9S8_LA_1_2"/>
      <w:bookmarkStart w:id="442" w:name="_9e91f264_e05c_4b91_9aa3_8f6652224d63"/>
      <w:bookmarkStart w:id="443" w:name="Tc_0VBMWRak3kepbdF4FMW4Rw_43_5"/>
      <w:bookmarkStart w:id="444" w:name="Tc_BazAGztgmk6nSs1HmxgitA_41_5"/>
      <w:bookmarkStart w:id="445" w:name="Tc_Kn2skI4P8UygsSzHC49w9g_41_2"/>
      <w:bookmarkStart w:id="446" w:name="Tc_D4_X_jxaKE6lLLurtGjGdQ_41_0"/>
      <w:bookmarkStart w:id="447" w:name="Tc_Xa1_Yz2ehkKHeRxcUwvczQ_40_5"/>
      <w:bookmarkStart w:id="448" w:name="Tc_yPa6ucin5ESCMwWGpojvMQ_40_2"/>
      <w:bookmarkStart w:id="449" w:name="Tc_QGc9aFk00EqPPaY4nf7XZg_40_0"/>
      <w:bookmarkStart w:id="450" w:name="Tc_bifHifRd3kiSTCz_6GQH4A_39_0"/>
      <w:bookmarkStart w:id="451" w:name="Tc_ARlzSgKCp0-uQZFeDOIqVw_37_5"/>
      <w:bookmarkStart w:id="452" w:name="Tc_TQFxoYMqcUuMPD77veZNWA_37_2"/>
      <w:bookmarkStart w:id="453" w:name="Tc_Ez-l5HaL6ES_6-M-p3uYJA_37_0"/>
      <w:bookmarkStart w:id="454" w:name="Tc_tBAfhdW-Fke5FmPdSta4LQ_36_0"/>
      <w:bookmarkStart w:id="455" w:name="Tc_IQQN69ijU0WYH364Vl_LJw_35_0"/>
      <w:bookmarkStart w:id="456" w:name="Tc_1wlqv64n9U21yXVjXrndBg_34_0"/>
      <w:bookmarkStart w:id="457" w:name="Tc_jIM6u8a7MUeOW8RK6QZfww_33_3"/>
      <w:bookmarkStart w:id="458" w:name="Tc_QnUfn_L8e0KtUQKuu10h0Q_33_0"/>
      <w:bookmarkStart w:id="459" w:name="Tc_rclfBWA2EkqivM2nZbx4ig_32_0"/>
      <w:bookmarkStart w:id="460" w:name="Tc_0HHag2CzzU2hcrSBJgTtYg_31_0"/>
      <w:bookmarkStart w:id="461" w:name="Tc_-FjzDBVYXk-TiV_XO7KxVA_30_0"/>
      <w:bookmarkStart w:id="462" w:name="Tc_Egd4OcN0MkKuwcyoZVps8Q_29_0"/>
      <w:bookmarkStart w:id="463" w:name="Tc_xxIPVnnvBEO3OcE8jMBNfg_28_0"/>
      <w:bookmarkStart w:id="464" w:name="Tc_Qx9uMsTto0Gb3YGCJE2sOQ_27_0"/>
      <w:bookmarkStart w:id="465" w:name="Tc_yOO_3ZvTB0S1xkSRJhRekg_26_0"/>
      <w:bookmarkStart w:id="466" w:name="Tc_YIhTF8OuokypT_MuuVnrEQ_25_0"/>
      <w:bookmarkStart w:id="467" w:name="Tc_6Bov-oyYIEuVthkAIM-8BQ_24_0"/>
      <w:bookmarkStart w:id="468" w:name="Tc_S3CUC8piBEGkFp0yG9HCdw_23_0"/>
      <w:bookmarkStart w:id="469" w:name="Tc_TGExiATH9kimjZCY-Q78_w_22_0"/>
      <w:bookmarkStart w:id="470" w:name="Tc_wIV-7lSXXEuG43P4XYvQAw_21_0"/>
      <w:bookmarkStart w:id="471" w:name="Tc_F6nyHyiYvUSz9ZDURxLEwg_20_0"/>
      <w:bookmarkStart w:id="472" w:name="Tc_tlYGqN4mE06xuGs-Tt_uYg_19_0"/>
      <w:bookmarkStart w:id="473" w:name="Tc_nEwgpRKhxEmnEVqC3IcMoA_18_0"/>
      <w:bookmarkStart w:id="474" w:name="Tc__1h-jawWO0iQiljBN8BFkw_17_0"/>
      <w:bookmarkStart w:id="475" w:name="Tc_iHYqJBrbREW4LOXJO6cvlw_16_0"/>
      <w:bookmarkStart w:id="476" w:name="Tc_VkDFGgpcgkmV2f5aJw0C5w_15_0"/>
      <w:bookmarkStart w:id="477" w:name="Tc_A-rs-JJ_9kCRUyxEIsSZ3w_14_0"/>
      <w:bookmarkStart w:id="478" w:name="Tc_BSJ3AAYaaEiBySjRE_PwrQ_13_0"/>
      <w:bookmarkStart w:id="479" w:name="Tc_VNSyQSf2bUiQS18d8DgPFQ_12_0"/>
      <w:bookmarkStart w:id="480" w:name="Tc_ZbewjGKWPUeRVSVzlu4Usw_11_3"/>
      <w:bookmarkStart w:id="481" w:name="Tc_ByT7__tQTUezJ-lB8HfP2Q_11_0"/>
      <w:bookmarkStart w:id="482" w:name="Tc_5ZKwFiA5MUWVksLMxNXNcQ_10_0"/>
      <w:bookmarkStart w:id="483" w:name="Tc_rp-DlH6V2UCllq_-hAfzdw_9_0"/>
      <w:bookmarkStart w:id="484" w:name="Tc_L9_YCoRrf0ikQg0xDMtK9Q_8_0"/>
      <w:bookmarkStart w:id="485" w:name="Tc_DSorj2qXd0eihnbuVoH7cQ_7_0"/>
      <w:bookmarkStart w:id="486" w:name="Tc_X5fZwC2wX02Nmt4fdwncdg_6_0"/>
      <w:bookmarkStart w:id="487" w:name="Tc_mdFS8OdPeUGenw6NMpTAwg_5_5"/>
      <w:bookmarkStart w:id="488" w:name="Tc_jKQhago-S0CfAO3kH8-iVw_5_2"/>
      <w:bookmarkStart w:id="489" w:name="Tc_F8YyIi9bbk24-7gXJxl2Ow_5_0"/>
      <w:bookmarkStart w:id="490" w:name="Tc_G-rz_yeNU06zKzSBodfjCQ_4_0"/>
      <w:bookmarkStart w:id="491" w:name="Tc_lzzKEBtSKUeVB7iv8RZs1g_3_5"/>
      <w:bookmarkStart w:id="492" w:name="Tc_NByMunJWKUiSTXkPwVJKjA_3_2"/>
      <w:bookmarkStart w:id="493" w:name="Tc_1qymwkxyM0CgVw750tXleA_2_5"/>
      <w:bookmarkStart w:id="494" w:name="Tc_D5jM8T65-EeJ6B2QnNsmJw_2_2"/>
      <w:bookmarkStart w:id="495" w:name="Tc_CuEmJ4mLAUSucrEX9S8_LA_1_2"/>
      <w:bookmarkStart w:id="496" w:name="_9e91f264_e05c_4b91_9aa3_8f6652224d63"/>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tbl>
      <w:tblPr>
        <w:tblW w:w="8789" w:type="dxa"/>
        <w:jc w:val="left"/>
        <w:tblInd w:w="0" w:type="dxa"/>
        <w:tblLayout w:type="fixed"/>
        <w:tblCellMar>
          <w:top w:w="0" w:type="dxa"/>
          <w:left w:w="0" w:type="dxa"/>
          <w:bottom w:w="0" w:type="dxa"/>
          <w:right w:w="0" w:type="dxa"/>
        </w:tblCellMar>
      </w:tblPr>
      <w:tblGrid>
        <w:gridCol w:w="6121"/>
        <w:gridCol w:w="326"/>
        <w:gridCol w:w="196"/>
        <w:gridCol w:w="721"/>
        <w:gridCol w:w="326"/>
        <w:gridCol w:w="231"/>
        <w:gridCol w:w="714"/>
        <w:gridCol w:w="154"/>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886835" cy="175260"/>
                      <wp:effectExtent l="0" t="0" r="0" b="0"/>
                      <wp:wrapNone/>
                      <wp:docPr id="49" name="Frame48"/>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57835" cy="175260"/>
                      <wp:effectExtent l="0" t="0" r="0" b="0"/>
                      <wp:wrapNone/>
                      <wp:docPr id="52" name="Frame5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6685" cy="175260"/>
                      <wp:effectExtent l="0" t="0" r="0" b="0"/>
                      <wp:wrapNone/>
                      <wp:docPr id="54" name="Frame5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53390" cy="175260"/>
                      <wp:effectExtent l="0" t="0" r="0" b="0"/>
                      <wp:wrapNone/>
                      <wp:docPr id="55" name="Frame54"/>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7790" cy="175260"/>
                      <wp:effectExtent l="0" t="0" r="0" b="0"/>
                      <wp:wrapNone/>
                      <wp:docPr id="56" name="Frame5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154" w:type="dxa"/>
            <w:tcBorders/>
            <w:vAlign w:val="center"/>
          </w:tcPr>
          <w:p>
            <w:pPr>
              <w:pStyle w:val="TableContents"/>
              <w:bidi w:val="0"/>
              <w:spacing w:before="0" w:after="0"/>
              <w:ind w:left="0" w:right="0" w:hanging="0"/>
              <w:jc w:val="center"/>
              <w:rPr/>
            </w:pPr>
            <w:r>
              <w:rPr/>
              <w:t>​</w:t>
            </w:r>
          </w:p>
        </w:tc>
      </w:tr>
      <w:tr>
        <w:trPr/>
        <w:tc>
          <w:tcPr>
            <w:tcW w:w="61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6121"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(5,736)</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(5,618)</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Adjustments to reconcile net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1,339</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1,121</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970</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discount and debt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1,934</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(2,105)</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(3,326)</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(5,799)</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(1,951)</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(2,862)</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20,053</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17,572</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(447)</w:t>
            </w:r>
          </w:p>
        </w:tc>
        <w:tc>
          <w:tcPr>
            <w:tcW w:w="326" w:type="dxa"/>
            <w:tcBorders/>
            <w:vAlign w:val="center"/>
          </w:tcPr>
          <w:p>
            <w:pPr>
              <w:pStyle w:val="TableContents"/>
              <w:bidi w:val="0"/>
              <w:spacing w:before="0" w:after="0"/>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6,947</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Capitalized software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(562)</w:t>
            </w:r>
          </w:p>
        </w:tc>
        <w:tc>
          <w:tcPr>
            <w:tcW w:w="326" w:type="dxa"/>
            <w:tcBorders/>
            <w:vAlign w:val="center"/>
          </w:tcPr>
          <w:p>
            <w:pPr>
              <w:pStyle w:val="TableContents"/>
              <w:bidi w:val="0"/>
              <w:spacing w:before="0" w:after="0"/>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(959)</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revolving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revolving line of credit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(12,000)</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(7,000)</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under employee stock purchase plan (ESPP)</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Withholding tax payments related to vesting of RSUs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(3,005)</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(5,026)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increase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2,983</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(2,390)</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2,506</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10,219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5,489</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7,829</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 xml:space="preserve">Reconciliation of cash and cash equivalents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14"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Total 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5,489</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7,829</w:t>
            </w:r>
          </w:p>
        </w:tc>
        <w:tc>
          <w:tcPr>
            <w:tcW w:w="154" w:type="dxa"/>
            <w:tcBorders/>
            <w:vAlign w:val="center"/>
          </w:tcPr>
          <w:p>
            <w:pPr>
              <w:pStyle w:val="TableContents"/>
              <w:bidi w:val="0"/>
              <w:spacing w:before="0" w:after="0"/>
              <w:ind w:left="0" w:right="0" w:hanging="0"/>
              <w:jc w:val="left"/>
              <w:rPr/>
            </w:pPr>
            <w:r>
              <w:rPr/>
              <w:t>​</w:t>
            </w:r>
          </w:p>
        </w:tc>
      </w:tr>
      <w:tr>
        <w:trPr/>
        <w:tc>
          <w:tcPr>
            <w:tcW w:w="612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714"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12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(Continued)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7" w:name="Tc__6-nS_v-hUObDZwPemxn1A_15_6"/>
      <w:bookmarkStart w:id="498" w:name="Tc_GrBsFnSOEkSAC3pm3YX6zg_14_5"/>
      <w:bookmarkStart w:id="499" w:name="Tc_lAilyKDJgUOZpK07UlBqlw_14_2"/>
      <w:bookmarkStart w:id="500" w:name="Tc_sEEUqBinwUuROdKJKewMAA_14_0"/>
      <w:bookmarkStart w:id="501" w:name="Tc_QL74aQ-idUyGIzGSWH5KkQ_13_5"/>
      <w:bookmarkStart w:id="502" w:name="Tc_bpm1vzwmwUq5VY2C5N618g_13_3"/>
      <w:bookmarkStart w:id="503" w:name="Tc_f4O09n1WXEyOQKgVrcEt8Q_13_2"/>
      <w:bookmarkStart w:id="504" w:name="Tc_feIi0JW14kyIyiY_pyUkbA_13_0"/>
      <w:bookmarkStart w:id="505" w:name="Tc__VAWlotgmkq9vgk5jr8yvg_12_5"/>
      <w:bookmarkStart w:id="506" w:name="Tc_NTagI6_fzUKt85clIshplA_12_3"/>
      <w:bookmarkStart w:id="507" w:name="Tc_MbpM8mGylkqdVZrKFjSJcQ_12_2"/>
      <w:bookmarkStart w:id="508" w:name="Tc_Jm1nExz3BUKWJ_2hTmKD3A_12_0"/>
      <w:bookmarkStart w:id="509" w:name="Tc_DtJokDXbnE-G97-6j3ENEw_11_0"/>
      <w:bookmarkStart w:id="510" w:name="Tc_KW5lL27HiUKbfdxu7SiTPw_9_5"/>
      <w:bookmarkStart w:id="511" w:name="Tc_LIG5IhCM_E6HRWwYxmNMbg_9_2"/>
      <w:bookmarkStart w:id="512" w:name="Tc_hWh5xG1lxEecxwattHrIvg_9_0"/>
      <w:bookmarkStart w:id="513" w:name="Tc_RkkktkKHk0eZrzrGaK4smQ_8_5"/>
      <w:bookmarkStart w:id="514" w:name="Tc_i3NVlk0_9kyus0RCF4J9ow_8_2"/>
      <w:bookmarkStart w:id="515" w:name="Tc_Gx5xATIqwk6fFT63qddE6A_8_0"/>
      <w:bookmarkStart w:id="516" w:name="Tc_E3Kp3j_oGUGaN6298yl8yg_7_5"/>
      <w:bookmarkStart w:id="517" w:name="Tc_Us_mNK0ebki6HMjUMA9WBQ_7_2"/>
      <w:bookmarkStart w:id="518" w:name="Tc_O8chprAs4EOgBUpW6MmQWA_7_0"/>
      <w:bookmarkStart w:id="519" w:name="Tc_Rj3hM7Hf9E-3SZKvLswaww_6_5"/>
      <w:bookmarkStart w:id="520" w:name="Tc_82OuPgTBK0icQ6h0vQM6pA_6_2"/>
      <w:bookmarkStart w:id="521" w:name="Tc_C3fB-Z0QSUucQEfoz97rnw_6_0"/>
      <w:bookmarkStart w:id="522" w:name="Tc_uEAGMsY2EkGauiDOdMtBqA_5_0"/>
      <w:bookmarkStart w:id="523" w:name="Tc_QKZBRQ9wh0a-Ukna2Rx6-g_4_0"/>
      <w:bookmarkStart w:id="524" w:name="Tc_BwO5yZ4WEUGeQ13N5O-DIA_3_5"/>
      <w:bookmarkStart w:id="525" w:name="Tc_nFgdkSSSzU2NC4JgL3xzLQ_3_2"/>
      <w:bookmarkStart w:id="526" w:name="Tc_IsgsOvO4Sk2IebMSEnpxGg_2_5"/>
      <w:bookmarkStart w:id="527" w:name="Tc_mLhrRPJT10Km4lO6gqkaFw_2_2"/>
      <w:bookmarkStart w:id="528" w:name="Tc_GYlk7EjKHU2I_s6Xs_RWrA_1_2"/>
      <w:bookmarkStart w:id="529" w:name="_e8ebb597_397a_4e9b_8c17_daa6018deb26"/>
      <w:bookmarkStart w:id="530" w:name="Tc__6-nS_v-hUObDZwPemxn1A_15_6"/>
      <w:bookmarkStart w:id="531" w:name="Tc_GrBsFnSOEkSAC3pm3YX6zg_14_5"/>
      <w:bookmarkStart w:id="532" w:name="Tc_lAilyKDJgUOZpK07UlBqlw_14_2"/>
      <w:bookmarkStart w:id="533" w:name="Tc_sEEUqBinwUuROdKJKewMAA_14_0"/>
      <w:bookmarkStart w:id="534" w:name="Tc_QL74aQ-idUyGIzGSWH5KkQ_13_5"/>
      <w:bookmarkStart w:id="535" w:name="Tc_bpm1vzwmwUq5VY2C5N618g_13_3"/>
      <w:bookmarkStart w:id="536" w:name="Tc_f4O09n1WXEyOQKgVrcEt8Q_13_2"/>
      <w:bookmarkStart w:id="537" w:name="Tc_feIi0JW14kyIyiY_pyUkbA_13_0"/>
      <w:bookmarkStart w:id="538" w:name="Tc__VAWlotgmkq9vgk5jr8yvg_12_5"/>
      <w:bookmarkStart w:id="539" w:name="Tc_NTagI6_fzUKt85clIshplA_12_3"/>
      <w:bookmarkStart w:id="540" w:name="Tc_MbpM8mGylkqdVZrKFjSJcQ_12_2"/>
      <w:bookmarkStart w:id="541" w:name="Tc_Jm1nExz3BUKWJ_2hTmKD3A_12_0"/>
      <w:bookmarkStart w:id="542" w:name="Tc_DtJokDXbnE-G97-6j3ENEw_11_0"/>
      <w:bookmarkStart w:id="543" w:name="Tc_KW5lL27HiUKbfdxu7SiTPw_9_5"/>
      <w:bookmarkStart w:id="544" w:name="Tc_LIG5IhCM_E6HRWwYxmNMbg_9_2"/>
      <w:bookmarkStart w:id="545" w:name="Tc_hWh5xG1lxEecxwattHrIvg_9_0"/>
      <w:bookmarkStart w:id="546" w:name="Tc_RkkktkKHk0eZrzrGaK4smQ_8_5"/>
      <w:bookmarkStart w:id="547" w:name="Tc_i3NVlk0_9kyus0RCF4J9ow_8_2"/>
      <w:bookmarkStart w:id="548" w:name="Tc_Gx5xATIqwk6fFT63qddE6A_8_0"/>
      <w:bookmarkStart w:id="549" w:name="Tc_E3Kp3j_oGUGaN6298yl8yg_7_5"/>
      <w:bookmarkStart w:id="550" w:name="Tc_Us_mNK0ebki6HMjUMA9WBQ_7_2"/>
      <w:bookmarkStart w:id="551" w:name="Tc_O8chprAs4EOgBUpW6MmQWA_7_0"/>
      <w:bookmarkStart w:id="552" w:name="Tc_Rj3hM7Hf9E-3SZKvLswaww_6_5"/>
      <w:bookmarkStart w:id="553" w:name="Tc_82OuPgTBK0icQ6h0vQM6pA_6_2"/>
      <w:bookmarkStart w:id="554" w:name="Tc_C3fB-Z0QSUucQEfoz97rnw_6_0"/>
      <w:bookmarkStart w:id="555" w:name="Tc_uEAGMsY2EkGauiDOdMtBqA_5_0"/>
      <w:bookmarkStart w:id="556" w:name="Tc_QKZBRQ9wh0a-Ukna2Rx6-g_4_0"/>
      <w:bookmarkStart w:id="557" w:name="Tc_BwO5yZ4WEUGeQ13N5O-DIA_3_5"/>
      <w:bookmarkStart w:id="558" w:name="Tc_nFgdkSSSzU2NC4JgL3xzLQ_3_2"/>
      <w:bookmarkStart w:id="559" w:name="Tc_IsgsOvO4Sk2IebMSEnpxGg_2_5"/>
      <w:bookmarkStart w:id="560" w:name="Tc_mLhrRPJT10Km4lO6gqkaFw_2_2"/>
      <w:bookmarkStart w:id="561" w:name="Tc_GYlk7EjKHU2I_s6Xs_RWrA_1_2"/>
      <w:bookmarkStart w:id="562" w:name="_e8ebb597_397a_4e9b_8c17_daa6018deb26"/>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tbl>
      <w:tblPr>
        <w:tblW w:w="9149" w:type="dxa"/>
        <w:jc w:val="left"/>
        <w:tblInd w:w="0" w:type="dxa"/>
        <w:tblLayout w:type="fixed"/>
        <w:tblCellMar>
          <w:top w:w="0" w:type="dxa"/>
          <w:left w:w="0" w:type="dxa"/>
          <w:bottom w:w="0" w:type="dxa"/>
          <w:right w:w="0" w:type="dxa"/>
        </w:tblCellMar>
      </w:tblPr>
      <w:tblGrid>
        <w:gridCol w:w="6316"/>
        <w:gridCol w:w="326"/>
        <w:gridCol w:w="237"/>
        <w:gridCol w:w="618"/>
        <w:gridCol w:w="326"/>
        <w:gridCol w:w="196"/>
        <w:gridCol w:w="976"/>
        <w:gridCol w:w="154"/>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010660" cy="175260"/>
                      <wp:effectExtent l="0" t="0" r="0" b="0"/>
                      <wp:wrapNone/>
                      <wp:docPr id="57" name="Frame56"/>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50495" cy="175260"/>
                      <wp:effectExtent l="0" t="0" r="0" b="0"/>
                      <wp:wrapNone/>
                      <wp:docPr id="59" name="Frame58"/>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92430" cy="175260"/>
                      <wp:effectExtent l="0" t="0" r="0" b="0"/>
                      <wp:wrapNone/>
                      <wp:docPr id="60" name="Frame59"/>
                      <a:graphic xmlns:a="http://schemas.openxmlformats.org/drawingml/2006/main">
                        <a:graphicData uri="http://schemas.microsoft.com/office/word/2010/wordprocessingShape">
                          <wps:wsp>
                            <wps:cNvSpPr txBox="1"/>
                            <wps:spPr>
                              <a:xfrm>
                                <a:off x="0" y="0"/>
                                <a:ext cx="392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19760" cy="175260"/>
                      <wp:effectExtent l="0" t="0" r="0" b="0"/>
                      <wp:wrapNone/>
                      <wp:docPr id="63" name="Frame6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97790" cy="175260"/>
                      <wp:effectExtent l="0" t="0" r="0" b="0"/>
                      <wp:wrapNone/>
                      <wp:docPr id="64" name="Frame6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left"/>
              <w:rPr/>
            </w:pPr>
            <w:r>
              <w:rPr/>
              <w:t>​</w:t>
            </w:r>
          </w:p>
        </w:tc>
        <w:tc>
          <w:tcPr>
            <w:tcW w:w="11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taxes, net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 </w:t>
            </w:r>
          </w:p>
        </w:tc>
        <w:tc>
          <w:tcPr>
            <w:tcW w:w="6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Right-of-use assets acquired under operating lease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Assets acquired under finance lease obligations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Purchases of property and equipment included in 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(Concluded)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18"/>
        </w:rPr>
      </w:pPr>
      <w:r>
        <w:rPr>
          <w:rFonts w:ascii="Times New Roman;Times;serif" w:hAnsi="Times New Roman;Times;serif"/>
          <w:i/>
          <w:sz w:val="18"/>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63" w:name="_cp_change_3"/>
      <w:bookmarkStart w:id="564" w:name="DescriptionofBusinessOrganizationandLiqu"/>
      <w:bookmarkStart w:id="565" w:name="_cp_change_4"/>
      <w:bookmarkEnd w:id="563"/>
      <w:bookmarkEnd w:id="564"/>
      <w:bookmarkEnd w:id="565"/>
      <w:r>
        <w:rPr>
          <w:rFonts w:ascii="Times New Roman;Times;serif" w:hAnsi="Times New Roman;Times;serif"/>
          <w:b/>
          <w:i w:val="false"/>
          <w:caps w:val="false"/>
          <w:smallCaps w:val="false"/>
          <w:sz w:val="20"/>
        </w:rPr>
        <w:t>1.</w:t>
      </w:r>
      <w:r>
        <w:rPr>
          <w:rFonts w:ascii="Times New Roman;Times;serif" w:hAnsi="Times New Roman;Times;serif"/>
          <w:b/>
          <w:sz w:val="20"/>
        </w:rPr>
        <w:t>Description of Business, Organization and Liquidity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Organization and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a reorganization, Lulu’s Fashion Lounge Holdings, Inc., a Delaware Corporation (“Lulus”, “we”, “our”, or the “Company”), was formed on August 25, 2017 as a holding company and its primary asset is an indirect membership interest in Lulu’s Fashion Lounge, LLC (“Lulus LLC”). Prior to the Company’s initial public offering, the Company was majority-owned by Lulu’s Holdings, L.P. (the “LP”). In connection with the Company’s initial public offering, the LP was liquidated.</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Lulus LLC was founded in 1996, starting as a vintage boutique in Chico, CA that began selling online in 2005 and transitioned to a purely online business in 2008. The LP was formed in 2014 as a holding company and purchased 100% of Lulus LLC’s outstanding common stock in 2014. The Company, through Lulus LLC, is a customer-driven, digitally-native, attainable luxury fashion brand for women, offering modern, unapologetically feminine designs at accessible prices for all of life’s fashionable moments.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Macroeconomic Trends on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student loan repayment resumption, as well as world events, wars and domestic and international conflicts, affect overall consumer confidence with respect to current and future economic conditions and continue to impact our sales as discretionary consumer spending levels and shopping behavior fluctuate with these factors. We continue to respond to these factors, as needed, by taking appropriate pricing, promotional and other actions to stimulate customer demand. These factors may continue to have an impact on our business, results of operations, our growth and financial condition.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accompanying condensed consolidated financial statements have been prepared on a going concern basis, which contemplates the realization of assets and the satisfaction of liabilities in the normal course of business. As of March 31, 2024, the Company had total cash and cash equivalents of $5.5 million and amounts due under the revolving line of credit of $6.0 million</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November 2021 the Company entered into a Credit Agreement (the “2021 Credit Agreement”) to provide a Revolving Facility (the “2021 Revolving Facility”) that provides for borrowings up to $50.0 million. The 2021 Credit Agreement contains various financial covenants and matures on November 15, 2024 as described in Note 5, </w:t>
      </w:r>
      <w:r>
        <w:rPr>
          <w:rFonts w:ascii="Times New Roman;Times;serif" w:hAnsi="Times New Roman;Times;serif"/>
          <w:i/>
          <w:sz w:val="20"/>
        </w:rPr>
        <w:t>Debt</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evaluating sources of debt financing. However, the Company believes the cash on hand and cash provided by operations in conjunction with certain cash conservation measures to be taken as necessary, including adjustments to marketing and other variable and capital spend, will enable the Company to meet its obligations as they become due within one year. The condensed consolidated financial statements do not reflect any adjustments relating to the outcome of this uncertainty.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Fiscal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fiscal year consists of a 52-week or 53-week period ending on the Sunday nearest December 31. The fiscal years ending December 29, 2024 and ended December 31, 2023 consist of 52-weeks.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Unites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March 31, 2024 and its results of operations for the thirteen weeks ended March 31, 2024 and April 2, 2023 and its cash flows for the thirteen weeks ended March 31, 2024 and April 2, 2023. The results of operations for the thirteen weeks ended March 31, 2024 are not necessarily indicative of the results to be expected for the fiscal year ending December 29, 2024 or for any other future annual or interim period</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condensed consolidated balance sheet as of December 31, 2023 was derived from the Company’s audited consolidated financial statements, which are included in the Company’s Annual Report on Form 10-K as filed with the SEC on March 6, 2024.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are consistent with those discussed in Note 2 to the audited consolidated financial statements included in the Company’s Annual Report on Form 10-K for the year ended December 31, 2023, except as noted below and within the "Adopted and Recently Issued Accounting Pronouncements" section.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income tax valuation allowance and fair value of equity awards.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consolidated financial statements in future periods. As future events and their effects cannot be determined with precision, actual results could materially differ from those estimates and assumptions.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Financial instruments that potentially subject the Company to concentrations of credit risk consist of cash, cash equivalents and restricted cash. Such amounts may exceed federally insured limits. The Company reduces credit risk by depositing its cash with a major credit-worthy financial institution within the United States. To date, the Company has not experienced any losses on its cash deposits. As of March 31, 2024 and December 31, 2023, no single customer represented greater than 10% </w:t>
      </w:r>
      <w:r>
        <w:rPr>
          <w:rFonts w:ascii="Times New Roman;Times;serif" w:hAnsi="Times New Roman;Times;serif"/>
          <w:sz w:val="20"/>
          <w:shd w:fill="FFFFFF" w:val="clear"/>
        </w:rPr>
        <w:t>of the Company’s accounts receivable balance. No customer accounted for greater than 10% of the Company’s net revenue during the thirteen weeks ended March 31, 2024 and April 2,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Leases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Contracts that have been determined to convey the right to use an identified asset are evaluated for classification as an operating or finance lease. For the Company’s operating and finance leases, the Company records a lease liability based on the present value of the lease payments at lease inception. The present value of lease payments is determined by using the interest rate implicit in the lease, if that rate is readily determinable; otherwise, the Company uses its incremental borrowing rate (“IBR”). The determination of the IBR requires judgment and is primarily based on publicly-available information for companies within similar industries and with similar credit profiles. The Company adjusts the rate for the impact of collateralization, the lease term and other specific terms included in each lease arrangement. The IBR is determined at the lease commencement and is subsequently reassessed upon a modification to the lease arrangement. The right-of-use asset is recorded based on the corresponding lease liability at lease inception, adjusted for payments made to the lessor at or before the commencement date, initial direct costs incurred and any tenant incentives allowed for under the lease. The Company does not include optional renewal terms or early termination provisions unless the Company is reasonably certain such options would be exercised at the inception of the lease. Lease right-of-use assets, current portion of lease liabilities, and lease liabilities, net of current portion are included on the condensed consolidated balance sheets.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Fixed lease expense for operating leases is recognized on a straight-line basis, unless the right-of-use assets have been impaired, over the reasonably assured lease term based on the total lease payments and is included in operating expenses in the condensed consolidated statements of operations and comprehensive loss. Fixed and variable lease expense on operating leases is recognized within operating expenses in the condensed consolidated statements of operations and comprehensive loss. Finance lease expenses are recognized on a straight-line basis.  Fixed and variable expenses are captured within interest expense and depreciation expense, which has components within general and administrative expenses and cost of revenue.  The Company’s non-lease components are primarily related to maintenance, insurance and taxes, which varies based on future outcomes and is thus recognized in lease expense when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point of sale for merchandise product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566" w:name="Tc_0_hm0a3Xa02f6ddzuSAtzg_6_0"/>
      <w:bookmarkStart w:id="567" w:name="Tc_zSWm6umo1Euq9_-2lPBknQ_5_0"/>
      <w:bookmarkStart w:id="568" w:name="Tc_FVvqiV_SVUaJkpJ9Pb2J_A_4_0"/>
      <w:bookmarkStart w:id="569" w:name="Tc_GTsVYKSMDkylgR40mvCKlQ_3_5"/>
      <w:bookmarkStart w:id="570" w:name="Tc_KdFWc46dtE2l285lHM-uuw_3_2"/>
      <w:bookmarkStart w:id="571" w:name="Tc_W97Es8GaqUCEhnDW7ZjMnQ_3_0"/>
      <w:bookmarkStart w:id="572" w:name="Tc__zPmXSmkb0ejVXeuoYDe4w_2_5"/>
      <w:bookmarkStart w:id="573" w:name="Tc_mYWR6ONxdUSihnrkW97Tdg_2_2"/>
      <w:bookmarkStart w:id="574" w:name="Tc_iZBdeVQuE0eC1m9K5SVgkQ_1_5"/>
      <w:bookmarkStart w:id="575" w:name="Tc_JdJm0ktX7UaK-50VOaMirw_1_2"/>
      <w:bookmarkStart w:id="576" w:name="_9ccf7e4f_3f92_40c4_bc31_46abeffb666c"/>
      <w:bookmarkStart w:id="577" w:name="Tc_36pDoQ4wCkSnhopSXNyjoQ_6_0"/>
      <w:bookmarkStart w:id="578" w:name="Tc_sHSZsUQazEOzYATx0pbY_A_5_0"/>
      <w:bookmarkStart w:id="579" w:name="Tc_JYxrgglk6Em2XasA0VnkLQ_4_0"/>
      <w:bookmarkStart w:id="580" w:name="Tc_Gys0We5sF0ywhZ1OgjQLuQ_3_5"/>
      <w:bookmarkStart w:id="581" w:name="Tc_VSzdkP9L4Uyr0ea6ZyUMlQ_3_2"/>
      <w:bookmarkStart w:id="582" w:name="Tc_DJBRPKyox0yElYJUd0mIRA_3_0"/>
      <w:bookmarkStart w:id="583" w:name="Tc_oHZQlMDWSkCu8wBzZ97pNQ_2_5"/>
      <w:bookmarkStart w:id="584" w:name="Tc_i7dVM-gae0qcVU6eQukVnA_2_2"/>
      <w:bookmarkStart w:id="585" w:name="Tc_Pp6HFZZUO0u6SKdh2cuXNA_1_5"/>
      <w:bookmarkStart w:id="586" w:name="Tc_IDBxx_a7DkiRfFa79ebxpQ_1_2"/>
      <w:bookmarkStart w:id="587" w:name="_47da9e46_bd4d_4bef_ab6b_3c71838dc47f"/>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r>
        <w:rPr>
          <w:rFonts w:ascii="Times New Roman;Times;serif" w:hAnsi="Times New Roman;Times;serif"/>
          <w:sz w:val="20"/>
        </w:rPr>
        <w:t>The Company sells stored-value gift cards to customers and offers merchandise credit stored-value cards for certain returns.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thirteen weeks ended March 31, 2024 and April 2, 2023 was not 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significant changes in the contract liabilities balances included in accrued expenses and other current liabilities during the thirteen weeks ended March 31, 2024 and April 2, 2023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649"/>
        <w:gridCol w:w="326"/>
        <w:gridCol w:w="263"/>
        <w:gridCol w:w="529"/>
        <w:gridCol w:w="326"/>
        <w:gridCol w:w="236"/>
        <w:gridCol w:w="876"/>
      </w:tblGrid>
      <w:tr>
        <w:trPr/>
        <w:tc>
          <w:tcPr>
            <w:tcW w:w="7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857115" cy="175260"/>
                      <wp:effectExtent l="0" t="0" r="0" b="0"/>
                      <wp:wrapNone/>
                      <wp:docPr id="65" name="Frame64"/>
                      <a:graphic xmlns:a="http://schemas.openxmlformats.org/drawingml/2006/main">
                        <a:graphicData uri="http://schemas.microsoft.com/office/word/2010/wordprocessingShape">
                          <wps:wsp>
                            <wps:cNvSpPr txBox="1"/>
                            <wps:spPr>
                              <a:xfrm>
                                <a:off x="0" y="0"/>
                                <a:ext cx="4857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7005" cy="175260"/>
                      <wp:effectExtent l="0" t="0" r="0" b="0"/>
                      <wp:wrapNone/>
                      <wp:docPr id="67" name="Frame6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35915" cy="175260"/>
                      <wp:effectExtent l="0" t="0" r="0" b="0"/>
                      <wp:wrapNone/>
                      <wp:docPr id="68" name="Frame67"/>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9860" cy="175260"/>
                      <wp:effectExtent l="0" t="0" r="0" b="0"/>
                      <wp:wrapNone/>
                      <wp:docPr id="70" name="Frame6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56260" cy="175260"/>
                      <wp:effectExtent l="0" t="0" r="0" b="0"/>
                      <wp:wrapNone/>
                      <wp:docPr id="71" name="Frame70"/>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Deferred </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r>
      <w:tr>
        <w:trPr/>
        <w:tc>
          <w:tcPr>
            <w:tcW w:w="7649"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r>
      <w:tr>
        <w:trPr/>
        <w:tc>
          <w:tcPr>
            <w:tcW w:w="76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March 31, 2024</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13,209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91"/>
        <w:gridCol w:w="326"/>
        <w:gridCol w:w="250"/>
        <w:gridCol w:w="501"/>
        <w:gridCol w:w="326"/>
        <w:gridCol w:w="236"/>
        <w:gridCol w:w="875"/>
      </w:tblGrid>
      <w:tr>
        <w:trPr/>
        <w:tc>
          <w:tcPr>
            <w:tcW w:w="7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883785" cy="175260"/>
                      <wp:effectExtent l="0" t="0" r="0" b="0"/>
                      <wp:wrapNone/>
                      <wp:docPr id="72" name="Frame71"/>
                      <a:graphic xmlns:a="http://schemas.openxmlformats.org/drawingml/2006/main">
                        <a:graphicData uri="http://schemas.microsoft.com/office/word/2010/wordprocessingShape">
                          <wps:wsp>
                            <wps:cNvSpPr txBox="1"/>
                            <wps:spPr>
                              <a:xfrm>
                                <a:off x="0" y="0"/>
                                <a:ext cx="488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58750" cy="175260"/>
                      <wp:effectExtent l="0" t="0" r="0" b="0"/>
                      <wp:wrapNone/>
                      <wp:docPr id="74" name="Frame7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18135" cy="175260"/>
                      <wp:effectExtent l="0" t="0" r="0" b="0"/>
                      <wp:wrapNone/>
                      <wp:docPr id="75" name="Frame74"/>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49860" cy="175260"/>
                      <wp:effectExtent l="0" t="0" r="0" b="0"/>
                      <wp:wrapNone/>
                      <wp:docPr id="77" name="Frame7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55625" cy="175260"/>
                      <wp:effectExtent l="0" t="0" r="0" b="0"/>
                      <wp:wrapNone/>
                      <wp:docPr id="78" name="Frame77"/>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26" w:type="dxa"/>
            <w:tcBorders/>
            <w:vAlign w:val="center"/>
          </w:tcPr>
          <w:p>
            <w:pPr>
              <w:pStyle w:val="TableContents"/>
              <w:bidi w:val="0"/>
              <w:spacing w:before="0" w:after="0"/>
              <w:ind w:left="0" w:right="0" w:hanging="0"/>
              <w:jc w:val="center"/>
              <w:rPr/>
            </w:pPr>
            <w:r>
              <w:rPr/>
              <w:t>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10,828</w:t>
            </w:r>
          </w:p>
        </w:tc>
      </w:tr>
      <w:tr>
        <w:trPr/>
        <w:tc>
          <w:tcPr>
            <w:tcW w:w="7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r>
      <w:tr>
        <w:trPr/>
        <w:tc>
          <w:tcPr>
            <w:tcW w:w="76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r>
      <w:tr>
        <w:trPr/>
        <w:tc>
          <w:tcPr>
            <w:tcW w:w="76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April 2, 2023</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11,130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Advertising costs included in selling and marketing expenses were $13.0 million and $15.1 million for the thirteen weeks ended </w:t>
      </w:r>
      <w:r>
        <w:rPr>
          <w:rFonts w:ascii="Times New Roman;Times;serif" w:hAnsi="Times New Roman;Times;serif"/>
          <w:sz w:val="20"/>
        </w:rPr>
        <w:t>March 31, 2024 and April 2, 2023</w:t>
      </w:r>
      <w:r>
        <w:rPr>
          <w:rFonts w:ascii="Times New Roman;Times;serif" w:hAnsi="Times New Roman;Times;serif"/>
          <w:sz w:val="20"/>
          <w:shd w:fill="FFFFFF" w:val="clear"/>
        </w:rPr>
        <w:t>, respectively.</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Share Attributable to Common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Basic net loss per share attributable to common stockholders is computed using net loss attributable to common stockholders divided by the weighted average number of common shares outstanding during the period. Diluted net loss per share attributable to common stockholders represents net loss attributable to common stockholders divided by the weighted average number of common shares outstanding during the period, including the effects of any dilutive securities outstanding.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bookmarkStart w:id="588" w:name="Tc_XxK42yqPtkCDHeXMM9zvsw_9_0"/>
      <w:bookmarkStart w:id="589" w:name="Tc_BX8zieof9k2tLiTsDQYFfw_8_4"/>
      <w:bookmarkStart w:id="590" w:name="Tc_68VigksJs0O5L6k_qUXUKA_8_0"/>
      <w:bookmarkStart w:id="591" w:name="Tc_bq9rmlApfUK1R80GJzkviA_7_0"/>
      <w:bookmarkStart w:id="592" w:name="Tc_v7WMtL-Nh02rRlYj44CHQA_6_0"/>
      <w:bookmarkStart w:id="593" w:name="Tc_qw8fgrGoU0aqOI7YNa3X5Q_5_0"/>
      <w:bookmarkStart w:id="594" w:name="Tc_9oesNFk6CEeaORdTDIVDIw_4_0"/>
      <w:bookmarkStart w:id="595" w:name="Tc_ON_-2RwfwEapgSm5ng_ZZA_3_0"/>
      <w:bookmarkStart w:id="596" w:name="Tc_O3LqzBrtAEuOLTqBVViplw_2_4"/>
      <w:bookmarkStart w:id="597" w:name="Tc_evWw_YaszEClw94jBjVI1g_2_2"/>
      <w:bookmarkStart w:id="598" w:name="Tc_RmGbFtmMj0apfqHjs7qfiw_1_2"/>
      <w:bookmarkStart w:id="599" w:name="Tc_3lp8XQ1HcU2iVMeniocoHQ_12_0"/>
      <w:bookmarkStart w:id="600" w:name="Tc_FrgPoIRudkmIMQJWoHuxJQ_11_3"/>
      <w:bookmarkStart w:id="601" w:name="Tc_q1VOlnDOX02DIba2wJVobA_11_1"/>
      <w:bookmarkStart w:id="602" w:name="Tc__pBnMRdaGkOa_5ysnqus9w_11_0"/>
      <w:bookmarkStart w:id="603" w:name="Tc_rv7nWkUs5kqxGPwQ_dR-Ew_10_3"/>
      <w:bookmarkStart w:id="604" w:name="Tc_q1obX5ah90aeA2b-CUq-4Q_10_1"/>
      <w:bookmarkStart w:id="605" w:name="Tc_9BLcFrIFjUCA4vVv_66a5Q_10_0"/>
      <w:bookmarkStart w:id="606" w:name="Tc_Vl8PDkETLkyhJdjY_qMSgg_9_3"/>
      <w:bookmarkStart w:id="607" w:name="Tc_o6otbmgacEuoaAxXbE2giQ_9_1"/>
      <w:bookmarkStart w:id="608" w:name="Tc_XEryc62jQ0O51NFTyKXnUg_9_0"/>
      <w:bookmarkStart w:id="609" w:name="Tc_wJFy847MjkG-ty90zPKY-w_8_3"/>
      <w:bookmarkStart w:id="610" w:name="Tc_YMNrwc7-Akm63cOyORHv1w_8_1"/>
      <w:bookmarkStart w:id="611" w:name="Tc_AdCXEkoXhEic0GkutC0UNw_8_0"/>
      <w:bookmarkStart w:id="612" w:name="Tc_PrMZ5euGNUCZKqrBIi5MbA_7_3"/>
      <w:bookmarkStart w:id="613" w:name="Tc_AntMO65jWUGK0Kd2Lh83sg_7_1"/>
      <w:bookmarkStart w:id="614" w:name="Tc_xsHKAD1OiUSZnpxMV5e_Zg_7_0"/>
      <w:bookmarkStart w:id="615" w:name="Tc_eTY2xoWGyEC7swhbwuBjHA_6_3"/>
      <w:bookmarkStart w:id="616" w:name="Tc_ma7o4fTVTkGxCxbKG4-9Wg_6_1"/>
      <w:bookmarkStart w:id="617" w:name="Tc_LdtWlytn-EOVvHiqEmnkrQ_6_0"/>
      <w:bookmarkStart w:id="618" w:name="Tc__VuT35aZSk6vBCEvarehag_5_3"/>
      <w:bookmarkStart w:id="619" w:name="Tc_FVpJx4MqZUmhXNjxwC6Ffw_5_1"/>
      <w:bookmarkStart w:id="620" w:name="Tc_VK2_8zN-UU6BCWzMl-Pakg_5_0"/>
      <w:bookmarkStart w:id="621" w:name="Tc_1kB_1rJDPUK4yGXOP9Pjew_4_0"/>
      <w:bookmarkStart w:id="622" w:name="Tc_bEWGZHn57kWp5M2g3B-UyQ_3_0"/>
      <w:bookmarkStart w:id="623" w:name="Tc_K_akh42nDUiWkenRG7eOCA_2_3"/>
      <w:bookmarkStart w:id="624" w:name="Tc_5aaRkFgCuUyB87pdkGKP3Q_2_1"/>
      <w:bookmarkStart w:id="625" w:name="Tc___yJq3bMd0mhTf2BfXy6qQ_1_1"/>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Pr>
          <w:rFonts w:ascii="Times New Roman;Times;serif" w:hAnsi="Times New Roman;Times;serif"/>
          <w:sz w:val="20"/>
        </w:rPr>
        <w:t>The following table presents the calculation of basic and diluted weighted average shares used to compute net loss per share attributable to common stockholders: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501"/>
        <w:gridCol w:w="1222"/>
        <w:gridCol w:w="266"/>
        <w:gridCol w:w="1060"/>
        <w:gridCol w:w="156"/>
      </w:tblGrid>
      <w:tr>
        <w:trPr/>
        <w:tc>
          <w:tcPr>
            <w:tcW w:w="7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763135" cy="175260"/>
                      <wp:effectExtent l="0" t="0" r="0" b="0"/>
                      <wp:wrapNone/>
                      <wp:docPr id="79" name="Frame78"/>
                      <a:graphic xmlns:a="http://schemas.openxmlformats.org/drawingml/2006/main">
                        <a:graphicData uri="http://schemas.microsoft.com/office/word/2010/wordprocessingShape">
                          <wps:wsp>
                            <wps:cNvSpPr txBox="1"/>
                            <wps:spPr>
                              <a:xfrm>
                                <a:off x="0" y="0"/>
                                <a:ext cx="476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75970" cy="175260"/>
                      <wp:effectExtent l="0" t="0" r="0" b="0"/>
                      <wp:wrapNone/>
                      <wp:docPr id="80" name="Frame79"/>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68910" cy="175260"/>
                      <wp:effectExtent l="0" t="0" r="0" b="0"/>
                      <wp:wrapNone/>
                      <wp:docPr id="81" name="Frame8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73100" cy="175260"/>
                      <wp:effectExtent l="0" t="0" r="0" b="0"/>
                      <wp:wrapNone/>
                      <wp:docPr id="82" name="Frame81"/>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99060" cy="175260"/>
                      <wp:effectExtent l="0" t="0" r="0" b="0"/>
                      <wp:wrapNone/>
                      <wp:docPr id="83" name="Frame82"/>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01" w:type="dxa"/>
            <w:tcBorders/>
            <w:vAlign w:val="center"/>
          </w:tcPr>
          <w:p>
            <w:pPr>
              <w:pStyle w:val="TableContents"/>
              <w:bidi w:val="0"/>
              <w:spacing w:before="0" w:after="1"/>
              <w:ind w:left="0" w:right="0" w:hanging="0"/>
              <w:jc w:val="left"/>
              <w:rPr/>
            </w:pPr>
            <w:r>
              <w:rPr/>
              <w:t>​</w:t>
            </w:r>
          </w:p>
        </w:tc>
        <w:tc>
          <w:tcPr>
            <w:tcW w:w="254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6" w:type="dxa"/>
            <w:tcBorders/>
            <w:vAlign w:val="center"/>
          </w:tcPr>
          <w:p>
            <w:pPr>
              <w:pStyle w:val="TableContents"/>
              <w:bidi w:val="0"/>
              <w:spacing w:before="0" w:after="1"/>
              <w:ind w:left="0" w:right="0" w:hanging="0"/>
              <w:jc w:val="left"/>
              <w:rPr/>
            </w:pPr>
            <w:r>
              <w:rPr/>
              <w:t>​</w:t>
            </w:r>
          </w:p>
        </w:tc>
      </w:tr>
      <w:tr>
        <w:trPr/>
        <w:tc>
          <w:tcPr>
            <w:tcW w:w="7501" w:type="dxa"/>
            <w:tcBorders/>
            <w:vAlign w:val="center"/>
          </w:tcPr>
          <w:p>
            <w:pPr>
              <w:pStyle w:val="TableContents"/>
              <w:bidi w:val="0"/>
              <w:spacing w:before="0" w:after="1"/>
              <w:ind w:left="0" w:right="0" w:hanging="0"/>
              <w:jc w:val="left"/>
              <w:rPr/>
            </w:pPr>
            <w:r>
              <w:rPr/>
              <w:t>​</w:t>
            </w:r>
          </w:p>
        </w:tc>
        <w:tc>
          <w:tcPr>
            <w:tcW w:w="12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266" w:type="dxa"/>
            <w:tcBorders/>
            <w:vAlign w:val="center"/>
          </w:tcPr>
          <w:p>
            <w:pPr>
              <w:pStyle w:val="TableContents"/>
              <w:bidi w:val="0"/>
              <w:spacing w:before="0" w:after="1"/>
              <w:ind w:left="0" w:right="0" w:hanging="0"/>
              <w:jc w:val="center"/>
              <w:rPr/>
            </w:pPr>
            <w:r>
              <w:rPr/>
              <w:t>   </w:t>
            </w:r>
          </w:p>
        </w:tc>
        <w:tc>
          <w:tcPr>
            <w:tcW w:w="10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April 2, 2023</w:t>
            </w:r>
          </w:p>
        </w:tc>
        <w:tc>
          <w:tcPr>
            <w:tcW w:w="156" w:type="dxa"/>
            <w:tcBorders/>
            <w:vAlign w:val="center"/>
          </w:tcPr>
          <w:p>
            <w:pPr>
              <w:pStyle w:val="TableContents"/>
              <w:bidi w:val="0"/>
              <w:spacing w:before="0" w:after="1"/>
              <w:ind w:left="0" w:right="0" w:hanging="0"/>
              <w:jc w:val="left"/>
              <w:rPr/>
            </w:pPr>
            <w:r>
              <w:rPr/>
              <w:t>​</w:t>
            </w:r>
          </w:p>
        </w:tc>
      </w:tr>
      <w:tr>
        <w:trPr/>
        <w:tc>
          <w:tcPr>
            <w:tcW w:w="7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loss per share attributable to common stockholders – Basic</w:t>
            </w:r>
          </w:p>
        </w:tc>
        <w:tc>
          <w:tcPr>
            <w:tcW w:w="12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39,450,502</w:t>
            </w:r>
          </w:p>
        </w:tc>
        <w:tc>
          <w:tcPr>
            <w:tcW w:w="266"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39,233,953</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securities:</w:t>
            </w:r>
          </w:p>
        </w:tc>
        <w:tc>
          <w:tcPr>
            <w:tcW w:w="1222"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222"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w:t>
            </w:r>
          </w:p>
        </w:tc>
        <w:tc>
          <w:tcPr>
            <w:tcW w:w="1222"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Restricted Stock Units (RSUs)</w:t>
            </w:r>
          </w:p>
        </w:tc>
        <w:tc>
          <w:tcPr>
            <w:tcW w:w="1222"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Performance Stock Units (PSUs)</w:t>
            </w:r>
          </w:p>
        </w:tc>
        <w:tc>
          <w:tcPr>
            <w:tcW w:w="1222"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Special compensation awards</w:t>
            </w:r>
          </w:p>
        </w:tc>
        <w:tc>
          <w:tcPr>
            <w:tcW w:w="12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Employee Stock Purchase Plan (ESPP) shares </w:t>
            </w:r>
          </w:p>
        </w:tc>
        <w:tc>
          <w:tcPr>
            <w:tcW w:w="1222"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7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 Bonus Plan</w:t>
            </w:r>
          </w:p>
        </w:tc>
        <w:tc>
          <w:tcPr>
            <w:tcW w:w="12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7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loss per share attributable to common stockholders – Diluted</w:t>
            </w:r>
          </w:p>
        </w:tc>
        <w:tc>
          <w:tcPr>
            <w:tcW w:w="122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39,450,502</w:t>
            </w:r>
          </w:p>
        </w:tc>
        <w:tc>
          <w:tcPr>
            <w:tcW w:w="266" w:type="dxa"/>
            <w:tcBorders/>
            <w:vAlign w:val="center"/>
          </w:tcPr>
          <w:p>
            <w:pPr>
              <w:pStyle w:val="TableContents"/>
              <w:bidi w:val="0"/>
              <w:spacing w:before="0" w:after="1"/>
              <w:ind w:left="0" w:right="0" w:hanging="0"/>
              <w:jc w:val="left"/>
              <w:rPr/>
            </w:pPr>
            <w:r>
              <w:rPr/>
              <w:t>​</w:t>
            </w:r>
          </w:p>
        </w:tc>
        <w:tc>
          <w:tcPr>
            <w:tcW w:w="10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39,233,953</w:t>
            </w:r>
          </w:p>
        </w:tc>
        <w:tc>
          <w:tcPr>
            <w:tcW w:w="15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securities were excluded from the computation of diluted net loss per share attributable to common stockholders for the periods presented because including them would have been anti-dilutive (on an as-converted basis):</w:t>
      </w:r>
    </w:p>
    <w:p>
      <w:pPr>
        <w:pStyle w:val="TextBody"/>
        <w:bidi w:val="0"/>
        <w:spacing w:before="0" w:after="240"/>
        <w:ind w:left="0" w:right="0" w:firstLine="360"/>
        <w:jc w:val="both"/>
        <w:rPr/>
      </w:pPr>
      <w:r>
        <w:rPr/>
        <w:t>​</w:t>
      </w:r>
    </w:p>
    <w:tbl>
      <w:tblPr>
        <w:tblW w:w="4860" w:type="dxa"/>
        <w:jc w:val="left"/>
        <w:tblInd w:w="0" w:type="dxa"/>
        <w:tblLayout w:type="fixed"/>
        <w:tblCellMar>
          <w:top w:w="0" w:type="dxa"/>
          <w:left w:w="0" w:type="dxa"/>
          <w:bottom w:w="0" w:type="dxa"/>
          <w:right w:w="0" w:type="dxa"/>
        </w:tblCellMar>
      </w:tblPr>
      <w:tblGrid>
        <w:gridCol w:w="2161"/>
        <w:gridCol w:w="109"/>
        <w:gridCol w:w="1261"/>
        <w:gridCol w:w="109"/>
        <w:gridCol w:w="1066"/>
        <w:gridCol w:w="154"/>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72235" cy="175260"/>
                      <wp:effectExtent l="0" t="0" r="0" b="0"/>
                      <wp:wrapNone/>
                      <wp:docPr id="84" name="Frame8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800735" cy="175260"/>
                      <wp:effectExtent l="0" t="0" r="0" b="0"/>
                      <wp:wrapNone/>
                      <wp:docPr id="86" name="Frame8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76910" cy="175260"/>
                      <wp:effectExtent l="0" t="0" r="0" b="0"/>
                      <wp:wrapNone/>
                      <wp:docPr id="88" name="Frame87"/>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7790" cy="175260"/>
                      <wp:effectExtent l="0" t="0" r="0" b="0"/>
                      <wp:wrapNone/>
                      <wp:docPr id="89" name="Frame8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43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2023</w:t>
            </w:r>
          </w:p>
        </w:tc>
        <w:tc>
          <w:tcPr>
            <w:tcW w:w="154"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Unvested restricted stock</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15,617</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66,313</w:t>
            </w:r>
          </w:p>
        </w:tc>
        <w:tc>
          <w:tcPr>
            <w:tcW w:w="154"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Unvested RSUs</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4,453,480</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4,024,510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PSUs</w:t>
            </w:r>
          </w:p>
        </w:tc>
        <w:tc>
          <w:tcPr>
            <w:tcW w:w="109"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2,161,571</w:t>
            </w:r>
          </w:p>
        </w:tc>
        <w:tc>
          <w:tcPr>
            <w:tcW w:w="109"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1,811,571</w:t>
            </w:r>
          </w:p>
        </w:tc>
        <w:tc>
          <w:tcPr>
            <w:tcW w:w="154"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ESPP shares</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161,237</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146,535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2023 Bonus Plan</w:t>
            </w:r>
          </w:p>
        </w:tc>
        <w:tc>
          <w:tcPr>
            <w:tcW w:w="109" w:type="dxa"/>
            <w:tcBorders/>
            <w:vAlign w:val="center"/>
          </w:tcPr>
          <w:p>
            <w:pPr>
              <w:pStyle w:val="TableContents"/>
              <w:bidi w:val="0"/>
              <w:spacing w:before="0" w:after="0"/>
              <w:ind w:left="0" w:right="0" w:hanging="0"/>
              <w:jc w:val="left"/>
              <w:rPr/>
            </w:pPr>
            <w:r>
              <w:rPr/>
              <w:t>​</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95,912</w:t>
            </w:r>
          </w:p>
        </w:tc>
        <w:tc>
          <w:tcPr>
            <w:tcW w:w="109"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7,049,214</w:t>
            </w:r>
          </w:p>
        </w:tc>
        <w:tc>
          <w:tcPr>
            <w:tcW w:w="109"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6,210,326</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Goodwill and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tests for goodwill impairment at the reporting unit level on the first day of the fourth quarter of each year and between annual tests if significant indicators exist that would suggest the Company's goodwill and intangible assets could potentially be impaired.  The Company monitors changing business conditions as well as industry and economic factors, among others, for events which could trigger the need for an interim impairment analysis. The Company concluded that a sustained decline in its stock price coupled with continuing net losses, were significant enough factors to warrant an impairment analysis of its goodwill, tradename and intangible assets (which constitutes the Company's sole reporting unit) during the thirteen weeks ended March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Accordingly, the Company performed an interim quantitative assessment as of March 31, 2024 using a market-based quantitative assessment utilizing a combination of the (i) the guideline public company method applying revenue and EBITDA multiples of similar companies and (ii) the discounted cash flow method. The fair value determination used in the impairment assessment requires estimates of the fair values based on present value or other valuation techniques or a combination thereof, necessitating subjective judgments and assumptions by management. These estimates and assumptions could result in significant differences to the amounts reported if underlying circumstances were to change. The fair value exceeded the carrying value by approximately 17% and the Company concluded that no impairment relating to the goodwill, tradename and intangible assets existed as of March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2023, FASB issued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which updates reportable segment disclosure requirements primarily through enhanced disclosures about significant segment expenses and information used to assess segment performance. ASU 2023-07 is effective for annual periods beginning after December 15, 2023, and interim periods within fiscal years beginning after December 15, 2024, with early adoption permitted. The amendments should be applied retrospectively to all prior periods presented in the financial statements. We are currently evaluating the effects of this pronouncement on our consolidated financial statements and related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2023, FASB issued ASU 2023-09, </w:t>
      </w:r>
      <w:r>
        <w:rPr>
          <w:rFonts w:ascii="Times New Roman;Times;serif" w:hAnsi="Times New Roman;Times;serif"/>
          <w:i/>
          <w:sz w:val="20"/>
        </w:rPr>
        <w:t>Income Taxes (Topic 740): Improvements to Income Tax Disclosures, </w:t>
      </w:r>
      <w:r>
        <w:rPr>
          <w:rFonts w:ascii="Times New Roman;Times;serif" w:hAnsi="Times New Roman;Times;serif"/>
          <w:sz w:val="20"/>
        </w:rPr>
        <w:t xml:space="preserve">which amends existing income tax disclosure guidance, primarily requiring more detailed disclosure for income taxes paid and the effective tax rate reconciliation. ASU 2023-09 is effective for annual reporting periods beginning after December 15, 2024, with early adoption permitted and can be applied on either a prospective or retroactive basis. We are currently evaluating this pronouncement to determine its impact on our income tax disclosures.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2024, FASB issued ASU 2024-01, </w:t>
      </w:r>
      <w:r>
        <w:rPr>
          <w:rFonts w:ascii="Times New Roman;Times;serif" w:hAnsi="Times New Roman;Times;serif"/>
          <w:i/>
          <w:sz w:val="20"/>
        </w:rPr>
        <w:t>Compensation—Stock Compensation (Topic 718): Scope Application of Profits Interest and Similar Awards, </w:t>
      </w:r>
      <w:r>
        <w:rPr>
          <w:rFonts w:ascii="Times New Roman;Times;serif" w:hAnsi="Times New Roman;Times;serif"/>
          <w:sz w:val="20"/>
        </w:rPr>
        <w:t xml:space="preserve">which is intended to reduce complexity in determining whether a profits interest award is subject to the guidance in Topic 718 and existing diversity in practice. ASU 2024-01 is effective for annual reporting periods beginning after December 15, 2024, with early adoption permitted and can be applied on either a prospective or retroactive basis. We are currently evaluating this pronouncement to determine its impact on our stock compensation.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March 2024, FASB issued ASU 2024-02, </w:t>
      </w:r>
      <w:r>
        <w:rPr>
          <w:rFonts w:ascii="Times New Roman;Times;serif" w:hAnsi="Times New Roman;Times;serif"/>
          <w:i/>
          <w:sz w:val="20"/>
        </w:rPr>
        <w:t>Codification Improvements—Amendments to Remove References to the Concepts Statements, </w:t>
      </w:r>
      <w:r>
        <w:rPr>
          <w:rFonts w:ascii="Times New Roman;Times;serif" w:hAnsi="Times New Roman;Times;serif"/>
          <w:sz w:val="20"/>
        </w:rPr>
        <w:t xml:space="preserve">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We are currently evaluating this pronouncement to determine its impact on our stock compensation.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Fair Value Measurements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financial instruments consist of cash and cash equivalents, restricted cash, accounts payable, accrued expenses and revolving line of credit. As of March 31, 2024 and December 31, 2023, the carrying values of cash and cash equivalents, restricted cash, accounts payable and accrued expenses and other current liabilities approximate fair value due to their short-term maturities. The fair value of the Company’s 2021 Revolving Facility that provides for borrowings up to $50.0 million (see Note 5, </w:t>
      </w:r>
      <w:r>
        <w:rPr>
          <w:rFonts w:ascii="Times New Roman;Times;serif" w:hAnsi="Times New Roman;Times;serif"/>
          <w:i/>
          <w:sz w:val="20"/>
        </w:rPr>
        <w:t>Debt</w:t>
      </w:r>
      <w:r>
        <w:rPr>
          <w:rFonts w:ascii="Times New Roman;Times;serif" w:hAnsi="Times New Roman;Times;serif"/>
          <w:sz w:val="20"/>
        </w:rPr>
        <w:t>) approximates its carrying value as the stated interest rates reset daily at the daily secured overnight financing rate (“SOFR”) plus an applicable margin and, as such, approximate market rates currently available to the Company. The Company does not have any financial instruments that were determined to be Level 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26" w:name="Tc_LoLfV-pWgEOYy2dASTOvLQ_8_5"/>
      <w:bookmarkStart w:id="627" w:name="Tc_f5ozEMU4FEWqtIsWi8k4gw_8_2"/>
      <w:bookmarkStart w:id="628" w:name="Tc_PjoEIjoszUS9jdj8X8FVwA_8_0"/>
      <w:bookmarkStart w:id="629" w:name="Tc_XhA2vMGYDkyoaPZtkE-8cw_7_0"/>
      <w:bookmarkStart w:id="630" w:name="Tc_V95BAs_xI0ePEhQrMQL-WQ_6_0"/>
      <w:bookmarkStart w:id="631" w:name="Tc_1Q4o0jDxhEKgTEpzAhXmVA_5_0"/>
      <w:bookmarkStart w:id="632" w:name="Tc_juYgsu5NdEW58FfRNO_-bg_4_0"/>
      <w:bookmarkStart w:id="633" w:name="Tc_9RYcHCMcj0q9S4hEQ5Ch-g_3_5"/>
      <w:bookmarkStart w:id="634" w:name="Tc_bq5dPYWMA0OWBY57SQiWsw_3_2"/>
      <w:bookmarkStart w:id="635" w:name="Tc_DndO4x_Co0-Fzh0fCYiQwQ_3_0"/>
      <w:bookmarkStart w:id="636" w:name="Tc_aq7MO6ttW06fDEm6HNGhPg_2_5"/>
      <w:bookmarkStart w:id="637" w:name="Tc_5ymYxrObKk2rXOKimjpeew_2_2"/>
      <w:bookmarkStart w:id="638" w:name="Tc_5ijJOpRefUqAQO_HDWyLBQ_1_5"/>
      <w:bookmarkStart w:id="639" w:name="Tc_yCMnDBubn0qz_RfbDCr8bg_1_2"/>
      <w:bookmarkStart w:id="640" w:name="_460b0449_a0d3_4593_8467_82a82ef1c094"/>
      <w:bookmarkStart w:id="641" w:name="Tc_wuNvDUX9NUm16AuCkX2Gyw_9_7"/>
      <w:bookmarkStart w:id="642" w:name="Tc_D2hHlw3BkkWeZTvTnE9xpw_9_4"/>
      <w:bookmarkStart w:id="643" w:name="Tc_xZT0QTXVOEWfuH8SaEGbKQ_9_0"/>
      <w:bookmarkStart w:id="644" w:name="Tc_Laksh6BFE06MMv23bnhbOQ_8_0"/>
      <w:bookmarkStart w:id="645" w:name="Tc_SpFHZsjNYEa5h6Tey951xQ_7_0"/>
      <w:bookmarkStart w:id="646" w:name="Tc_k8CchNCq6EWtAPLwpSt5Kw_6_0"/>
      <w:bookmarkStart w:id="647" w:name="Tc_z8IbPHxfAEK5D8zSlBQFpw_5_2"/>
      <w:bookmarkStart w:id="648" w:name="Tc_6pCEWArRE0WpvLVtGiuXTA_5_0"/>
      <w:bookmarkStart w:id="649" w:name="Tc_jSW9SM6rtkOvC1vY_LQ_KA_4_2"/>
      <w:bookmarkStart w:id="650" w:name="Tc_Ff1Zek-A2EyT2wxrWcjWfQ_4_0"/>
      <w:bookmarkStart w:id="651" w:name="Tc_CNRyr_DPbku4VJ4WJtNkdg_3_7"/>
      <w:bookmarkStart w:id="652" w:name="Tc_ZkWQbv6NMUG4aMtHU9l0SA_3_4"/>
      <w:bookmarkStart w:id="653" w:name="Tc_BOYuwUVH0E6Bu7dzkkNaMA_3_2"/>
      <w:bookmarkStart w:id="654" w:name="Tc_u9_E2ixTpUm9pWaTFow2Mg_3_0"/>
      <w:bookmarkStart w:id="655" w:name="Tc_tlfTUZukjkWdGSmaA1zTlw_2_7"/>
      <w:bookmarkStart w:id="656" w:name="Tc_nfNqPb1ySEu5BGApTsj7MA_2_4"/>
      <w:bookmarkStart w:id="657" w:name="Tc_08-hr5zpME6WOHPLpRU4Jg_2_2"/>
      <w:bookmarkStart w:id="658" w:name="Tc_6yy2qIcxJEuiMkghbB9ofA_1_7"/>
      <w:bookmarkStart w:id="659" w:name="Tc_T4w9scGO3kKqyU_AGo_TeA_1_4"/>
      <w:bookmarkStart w:id="660" w:name="Tc_JxGN0yrpikOlIQCU_gpghg_1_2"/>
      <w:bookmarkStart w:id="661" w:name="_4783ab0d_9cbd_42c1_a325_d295bf15ac19"/>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r>
        <w:rPr>
          <w:rFonts w:ascii="Times New Roman;Times;serif" w:hAnsi="Times New Roman;Times;serif"/>
          <w:b/>
          <w:i w:val="false"/>
          <w:caps w:val="false"/>
          <w:smallCaps w:val="false"/>
          <w:sz w:val="20"/>
        </w:rPr>
        <w:t>4.</w:t>
      </w:r>
      <w:r>
        <w:rPr>
          <w:rFonts w:ascii="Times New Roman;Times;serif" w:hAnsi="Times New Roman;Times;serif"/>
          <w:b/>
          <w:sz w:val="20"/>
        </w:rPr>
        <w:t>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 (in thousands):</w:t>
      </w:r>
    </w:p>
    <w:p>
      <w:pPr>
        <w:pStyle w:val="TextBody"/>
        <w:bidi w:val="0"/>
        <w:spacing w:before="0" w:after="240"/>
        <w:ind w:left="0" w:right="0" w:firstLine="360"/>
        <w:jc w:val="both"/>
        <w:rPr/>
      </w:pPr>
      <w:r>
        <w:rPr/>
        <w:t>​</w:t>
      </w:r>
    </w:p>
    <w:tbl>
      <w:tblPr>
        <w:tblW w:w="8872" w:type="dxa"/>
        <w:jc w:val="left"/>
        <w:tblInd w:w="0" w:type="dxa"/>
        <w:tblLayout w:type="fixed"/>
        <w:tblCellMar>
          <w:top w:w="0" w:type="dxa"/>
          <w:left w:w="0" w:type="dxa"/>
          <w:bottom w:w="0" w:type="dxa"/>
          <w:right w:w="0" w:type="dxa"/>
        </w:tblCellMar>
      </w:tblPr>
      <w:tblGrid>
        <w:gridCol w:w="4111"/>
        <w:gridCol w:w="326"/>
        <w:gridCol w:w="1741"/>
        <w:gridCol w:w="326"/>
        <w:gridCol w:w="211"/>
        <w:gridCol w:w="691"/>
        <w:gridCol w:w="326"/>
        <w:gridCol w:w="254"/>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610485" cy="175260"/>
                      <wp:effectExtent l="0" t="0" r="0" b="0"/>
                      <wp:wrapNone/>
                      <wp:docPr id="90" name="Frame89"/>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105535" cy="175260"/>
                      <wp:effectExtent l="0" t="0" r="0" b="0"/>
                      <wp:wrapNone/>
                      <wp:docPr id="92" name="Frame9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8785" cy="175260"/>
                      <wp:effectExtent l="0" t="0" r="0" b="0"/>
                      <wp:wrapNone/>
                      <wp:docPr id="95" name="Frame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61290" cy="175260"/>
                      <wp:effectExtent l="0" t="0" r="0" b="0"/>
                      <wp:wrapNone/>
                      <wp:docPr id="97" name="Frame96"/>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2610" cy="175260"/>
                      <wp:effectExtent l="0" t="0" r="0" b="0"/>
                      <wp:wrapNone/>
                      <wp:docPr id="98" name="Frame9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3,053</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10,206</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(5,556)</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(5,494)</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4,694</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4,712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of property and equipment for the thirteen weeks ended March 31, 2024 and April 2, 2023 was $0.8 million and $0.7 million, </w:t>
      </w:r>
      <w:r>
        <w:rPr>
          <w:rFonts w:ascii="Times New Roman;Times;serif" w:hAnsi="Times New Roman;Times;serif"/>
          <w:sz w:val="20"/>
          <w:shd w:fill="FFFFFF" w:val="clear"/>
        </w:rPr>
        <w:t>respectively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Expenses and Other Current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firstLine="360"/>
        <w:jc w:val="both"/>
        <w:rPr/>
      </w:pPr>
      <w:r>
        <w:rPr/>
        <w:t>​</w:t>
      </w:r>
    </w:p>
    <w:tbl>
      <w:tblPr>
        <w:tblW w:w="6288" w:type="dxa"/>
        <w:jc w:val="left"/>
        <w:tblInd w:w="0" w:type="dxa"/>
        <w:tblLayout w:type="fixed"/>
        <w:tblCellMar>
          <w:top w:w="0" w:type="dxa"/>
          <w:left w:w="0" w:type="dxa"/>
          <w:bottom w:w="0" w:type="dxa"/>
          <w:right w:w="0" w:type="dxa"/>
        </w:tblCellMar>
      </w:tblPr>
      <w:tblGrid>
        <w:gridCol w:w="3826"/>
        <w:gridCol w:w="326"/>
        <w:gridCol w:w="211"/>
        <w:gridCol w:w="676"/>
        <w:gridCol w:w="109"/>
        <w:gridCol w:w="242"/>
        <w:gridCol w:w="898"/>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429510" cy="175260"/>
                      <wp:effectExtent l="0" t="0" r="0" b="0"/>
                      <wp:wrapNone/>
                      <wp:docPr id="99" name="Frame98"/>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29260" cy="175260"/>
                      <wp:effectExtent l="0" t="0" r="0" b="0"/>
                      <wp:wrapNone/>
                      <wp:docPr id="102" name="Frame1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3670" cy="175260"/>
                      <wp:effectExtent l="0" t="0" r="0" b="0"/>
                      <wp:wrapNone/>
                      <wp:docPr id="104" name="Frame10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70230" cy="175260"/>
                      <wp:effectExtent l="0" t="0" r="0" b="0"/>
                      <wp:wrapNone/>
                      <wp:docPr id="105" name="Frame10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3,633</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5,057</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7,241</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12,815</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4,151</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freight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3,637</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2,193</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30,077</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18,343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Debt</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2021 Credit Agreement and Revolving Facility</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November 2021, the Company entered into the 2021 Credit Agreement with Bank of America to provide the 2021 Revolving Facility that provides for borrowings up to $50.0 million. During the term of the 2021 Credit Agreement, the Company can increase the aggregate amount of the 2021 Revolving Facility up to an additional $25.0 million (for maximum aggregate lender commitments of up to $75.0 million), subject to the satisfaction of certain conditions under the 2021 Credit Agreement, including obtaining the consent of the administrative agent and an increased commitment from existing or new lenders. In addition, the 2021 Credit Agreement may be used to issue letters of credit up to $7.5 million (the “Letter of Credit”). During the thirteen weeks ended March 31, 2024, the Company borrowed $10.0 million under the 2021 Revolving Facility and repaid $12.0 million of the outstanding balance. The 2021 Revolving Facility matures on November 15, 2024, while the Letter of Credit matures on November 8, 2024. As of March 31, 2024, the Company had $0.3 million outstanding under the Letter of Credit. Subject to the satisfaction of certain conditions under the 2021 Credit Agreement, as of March 31, 2024, the Company had $43.7 million available for borrowing under the 2021 Revolving Facility and $7.2 million available to issue letters of credit.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All borrowings under the 2021 Credit Agreement accrue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 The 2021 Revolving Facility contains a financial maintenance covenant requiring a maximum total leverage ratio of no more than 2.50:1.00, stepping down to 2.00:1.00 after 18 months. Additionally, a commitment fee of 37.5 basis points will be assessed on unused commitments under the 2021 Revolving Facility, taking into account the sum of outstanding borrowings and letter of credit obligations. As of March 31, 2024, the interest rate for the 2021 Revolving Facility was 7.2%, and during thirteen weeks ended March 31, 2024, the weighted average interest rate for the 2021 Revolving Facility was 8.3%. </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Amounts borrowed under the 2021 Credit Agreement are collateralized by all assets of the Company and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 Immediately upon the occurrence and during the continuance of an event of default, including the noncompliance with the above covenants, the lender may increase the interest rate per annum by 2.0% above the rate that would be otherwise applicable. As of March 31, 2024, management has determined that the Company was in compliance with all financial covenants.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Debt Discounts and Issuance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Debt discounts and issuance costs are deferred and amortized over the life of the related loan using the effective interest method. The associated expense is included in interest expense in the consolidated statements of operations and comprehensive loss. Debt issuance costs related to the 2021 Revolving Facility, are included in other non-current assets in the consolidated balance sheets. As of March 31, 2024 and December 31, 2023, unamortized debt issuance costs recorded within other non-current assets were $0.1 million and $0.1 million,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January 3, 2022, the Company adopted ASC 842 using the alternative transition method and applied the standard only to leases that existed at that date. Under the alternative transition method, the Company did need to restate the comparative periods in transition and will continue to present financial information and disclosures for periods before January 3, 2022, in accordance with FASB ASC 840, </w:t>
      </w:r>
      <w:r>
        <w:rPr>
          <w:rFonts w:ascii="Times New Roman;Times;serif" w:hAnsi="Times New Roman;Times;serif"/>
          <w:i/>
          <w:sz w:val="20"/>
        </w:rPr>
        <w:t>Leases</w:t>
      </w:r>
      <w:r>
        <w:rPr>
          <w:rFonts w:ascii="Times New Roman;Times;serif" w:hAnsi="Times New Roman;Times;serif"/>
          <w:sz w:val="20"/>
        </w:rPr>
        <w:t>. The Company elected the practical expedient package, which among other practical expedients, includes the option to retain the historical classification of leases entered into prior to January 3, 2022,</w:t>
      </w:r>
      <w:r>
        <w:rPr>
          <w:rFonts w:ascii="Times New Roman;Times;serif" w:hAnsi="Times New Roman;Times;serif"/>
          <w:sz w:val="20"/>
          <w:shd w:fill="FFFFFF" w:val="clear"/>
        </w:rPr>
        <w:t> </w:t>
      </w:r>
      <w:r>
        <w:rPr>
          <w:rFonts w:ascii="Times New Roman;Times;serif" w:hAnsi="Times New Roman;Times;serif"/>
          <w:sz w:val="20"/>
        </w:rPr>
        <w:t>and allows entities to recognize lease payments on a straight-line basis over the lease term for leases with a term of 12 months or less. The Company also elected the practical expedient to combine lease and non-lease components.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is a lessee under various lease agreements. The determination of whether an arrangement contains a lease and the lease classification is made at lease commencement (date on which a lessor makes an underlying asset available for use by the lessee). At lease commencement, the Company also measures and recognizes a right-of-use asset, representing the Company’s right to use the underlying asset, and a lease liability, representing the Company’s obligation to make lease payments under the terms of the arrangement. The lease term is defined as the noncancelable portion of the lease term plus any periods covered by an option to extend the lease if it is reasonably certain that the option will be exercised. For the purposes of recognizing right-of-use assets and lease liabilities associated with the Company’s leases, the Company has elected the practical expedient of not recognizing a right-of-use asset or lease liability for short-term leases, which are leases with a term of 12 months or less. The Company has multiple finance leases and operating leases that are combined and included in the lease right-of-use assets, lease liabilities, current, and lease liabilities, noncurrent on the Company’s condensed consolidated balance sheets.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bookmarkStart w:id="662" w:name="Tc_dNEacNoYfU6_V6pkDYZexw_12_8"/>
      <w:bookmarkStart w:id="663" w:name="Tc_RBD_S1YKi06jw6-iVpzVxQ_12_2"/>
      <w:bookmarkStart w:id="664" w:name="Tc_IqBgcqO7Y0SQfpX_-VUUmQ_10_0"/>
      <w:bookmarkStart w:id="665" w:name="Tc_VXEq10kRfU2RbBzWX7pqhg_9_0"/>
      <w:bookmarkStart w:id="666" w:name="Tc_sra_GL_M8UuOCWc2D2TOJw_8_0"/>
      <w:bookmarkStart w:id="667" w:name="Tc_xeYmkUtiI0Kl1R6wisF-pg_7_6"/>
      <w:bookmarkStart w:id="668" w:name="Tc_I8tOfB8grU6Cg0E-n0UzLg_7_0"/>
      <w:bookmarkStart w:id="669" w:name="Tc_yJaCYD61e0i45ziisl46Rw_6_0"/>
      <w:bookmarkStart w:id="670" w:name="Tc_ZkcQl5nJqk6iB1v4UB6rYg_5_0"/>
      <w:bookmarkStart w:id="671" w:name="Tc_bAue6Yqy6kKnsvGw0O2pBg_4_0"/>
      <w:bookmarkStart w:id="672" w:name="Tc_6kG-9jm7a0SoY6CkqwC37w_3_0"/>
      <w:bookmarkStart w:id="673" w:name="Tc_Ck05JUMHs0ecXiQuc1W-bA_2_8"/>
      <w:bookmarkStart w:id="674" w:name="Tc_YEjD8AFOHES8TD3oiZeBcA_2_5"/>
      <w:bookmarkStart w:id="675" w:name="Tc_VTWItzEC5ESyDjUWTN3pOA_2_2"/>
      <w:bookmarkStart w:id="676" w:name="Tc_IKK_DqUSn0aeYDDNfivRHQ_2_0"/>
      <w:bookmarkStart w:id="677" w:name="Tc_BgUCfdenqkag76WIqN_Xnw_1_8"/>
      <w:bookmarkStart w:id="678" w:name="Tc_jihRPvHngUSEUKjqQl-dkA_1_5"/>
      <w:bookmarkStart w:id="679" w:name="Tc_HfZZtQvBxEm0z7QeIh8isQ_1_3"/>
      <w:bookmarkStart w:id="680" w:name="Tc_w4CNrorlP028Ka61sycNQw_1_0"/>
      <w:bookmarkStart w:id="681" w:name="_748cb571_f8bc_4f39_b7a3_beaebdfb2a8e"/>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Pr>
          <w:rFonts w:ascii="Times New Roman;Times;serif" w:hAnsi="Times New Roman;Times;serif"/>
          <w:sz w:val="20"/>
        </w:rPr>
        <w:t>The Company primarily leases its distribution facilities, corporate offices and retail stores under operating lease agreements expiring on various dates through December 2031, most of which contain options to extend. In addition to payment of base rent, the Company is also required to pay property taxes, insurance, and common area maintenance expenses. The Company records lease expense on a straight-line basis over the term of the lease. The Company had immaterial remaining obligations for the base rent related to the short-term leases as of March 31, 2024 and April 2, 2023.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also leases equipment under finance lease agreements expiring on various dates through May 2028.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2024, the future minimum lease payments for the Company’s operating and finance leases for each of the fiscal years were as follows (in thousands):</w:t>
      </w:r>
    </w:p>
    <w:p>
      <w:pPr>
        <w:pStyle w:val="TextBody"/>
        <w:bidi w:val="0"/>
        <w:spacing w:before="0" w:after="0"/>
        <w:ind w:left="0" w:right="0" w:firstLine="360"/>
        <w:jc w:val="both"/>
        <w:rPr/>
      </w:pPr>
      <w:r>
        <w:rPr/>
        <w:t>​</w:t>
      </w:r>
    </w:p>
    <w:tbl>
      <w:tblPr>
        <w:tblW w:w="7644" w:type="dxa"/>
        <w:jc w:val="left"/>
        <w:tblInd w:w="0" w:type="dxa"/>
        <w:tblLayout w:type="fixed"/>
        <w:tblCellMar>
          <w:top w:w="0" w:type="dxa"/>
          <w:left w:w="0" w:type="dxa"/>
          <w:bottom w:w="0" w:type="dxa"/>
          <w:right w:w="0" w:type="dxa"/>
        </w:tblCellMar>
      </w:tblPr>
      <w:tblGrid>
        <w:gridCol w:w="2911"/>
        <w:gridCol w:w="326"/>
        <w:gridCol w:w="211"/>
        <w:gridCol w:w="1591"/>
        <w:gridCol w:w="109"/>
        <w:gridCol w:w="326"/>
        <w:gridCol w:w="1069"/>
        <w:gridCol w:w="109"/>
        <w:gridCol w:w="211"/>
        <w:gridCol w:w="781"/>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848485" cy="175260"/>
                      <wp:effectExtent l="0" t="0" r="0" b="0"/>
                      <wp:wrapNone/>
                      <wp:docPr id="106" name="Frame105"/>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010285" cy="175260"/>
                      <wp:effectExtent l="0" t="0" r="0" b="0"/>
                      <wp:wrapNone/>
                      <wp:docPr id="109" name="Frame10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78815" cy="175260"/>
                      <wp:effectExtent l="0" t="0" r="0" b="0"/>
                      <wp:wrapNone/>
                      <wp:docPr id="112" name="Frame111"/>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95935" cy="175260"/>
                      <wp:effectExtent l="0" t="0" r="0" b="0"/>
                      <wp:wrapNone/>
                      <wp:docPr id="115" name="Frame1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Finance Leases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2024 (remaining nine months)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6,263</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5,138</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5,252</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w:t>
            </w:r>
          </w:p>
        </w:tc>
      </w:tr>
      <w:tr>
        <w:trPr/>
        <w:tc>
          <w:tcPr>
            <w:tcW w:w="2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lease payment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32,255</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35,097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(5,582)</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26,673</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29,393</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lease liabilities, current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(4,106)</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(5,530)</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22,567</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23,863</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 and Other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litigation and subject to claims, including employment claims, wage and hour claims, intellectual property claims, privacy claims, contractual and commercial disputes and other matters that arise in the ordinary course of our business. The Company accrues a liability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Therefore, the Company has not recorded a reserve for any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normal course of business, the Company may be a party to claims that may not be covered wholly or partially by insurance. While the ultimate liability, if any, arising from these claims cannot be predicted with certainty, management does not believe that the resolution of any such claims would have a material adverse effect on the Company’s condensed consolidated financial statements. As of March 31, 2024, the Company was not aware of any currently pending legal matters or claims, individually or in the aggregate, that are expected to have a material adverse impact on its condensed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also maintains director and officer insurance, which may cover certain liabilities arising from its obligation to indemnify the Company’s directors and officers. To date, the Company has not incurred any material costs and has not accrued any liabilities in the condensed consolidated financial statements as a result of these provisions.</w:t>
      </w:r>
    </w:p>
    <w:p>
      <w:pPr>
        <w:pStyle w:val="TextBody"/>
        <w:bidi w:val="0"/>
        <w:spacing w:before="0" w:after="240"/>
        <w:ind w:left="0" w:right="0" w:hanging="0"/>
        <w:jc w:val="left"/>
        <w:rPr>
          <w:rFonts w:ascii="Times New Roman;Times;serif" w:hAnsi="Times New Roman;Times;serif"/>
          <w:b/>
          <w:sz w:val="20"/>
        </w:rPr>
      </w:pPr>
      <w:bookmarkStart w:id="682" w:name="_d6a797db_1331_4c43_9654_c2a5770d6fda_3"/>
      <w:bookmarkStart w:id="683" w:name="_d6a797db_1331_4c43_9654_c2a5770d6fda_2"/>
      <w:bookmarkStart w:id="684" w:name="_d6a797db_1331_4c43_9654_c2a5770d6fda"/>
      <w:bookmarkEnd w:id="682"/>
      <w:bookmarkEnd w:id="683"/>
      <w:bookmarkEnd w:id="684"/>
      <w:r>
        <w:rPr>
          <w:rFonts w:ascii="Times New Roman;Times;serif" w:hAnsi="Times New Roman;Times;serif"/>
          <w:b/>
          <w:i w:val="false"/>
          <w:caps w:val="false"/>
          <w:smallCaps w:val="false"/>
          <w:sz w:val="20"/>
        </w:rPr>
        <w:t>8.</w:t>
      </w:r>
      <w:r>
        <w:rPr>
          <w:rFonts w:ascii="Times New Roman;Times;serif" w:hAnsi="Times New Roman;Times;serif"/>
          <w:b/>
          <w:sz w:val="20"/>
        </w:rPr>
        <w:t>Preferred Stock</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March 31, 2024 and December 31, 2023, no shares of preferred stock were issued and outstanding.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Common Stock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authorized the issuance of 250,000,000 shares of common stock, $0.001 par value ("common stock") as of March 31, 2024 and December 31, 2023. Holders of common stock are entitled to one vote per share on all matters to be voted upon by the stockholders of the Company. Subject to the preferences that may be applicable to any outstanding share of preferred stock, the holders of common stock are entitled to receive dividends, if any, as may be declared by the Board of Directors. No dividends have been declared to date. As of March 31, 2024, the Company has reserved 161,397 shares of common stock for issuance upon the exercise of stock options, and 1,704,230 shares of common stock available for future issuance under the Lulu's Fashion Lounge Holdings, Inc. Omnibus Equity Plan (the “Omnibus Equity Plan”) and 1,368,288 shares of common stock available for future issuance under the 2021 Employee Stock Purchase Plan (the “ESPP”), respectively. Both equity plans are further described in Note 10, Equity-Based Compensation.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Equity-Based Compensation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Omnibus Equity Plan and Employee Stock Purchase Plan</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closing of the IPO, the Company adopted the Omnibus Equity Plan and ESPP.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the Omnibus Equity Plan, incentive awards may be granted to employees, directors, and consultants of the Company. The Company initially reserved 3,719,000 shares of common stock for future issuance under the Omnibus Equity Plan, including any shares subject to awards under the 2021 Equity Incentive Plan (the “2021 Equity Plan”) that are forfeited or lapse unexercised. The number of shares reserved for issuance under the Omnibus Equity Plan will automatically increase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ESPP, the Company initially reserved 743,803 shares of common stock for future issuance.  The number of shares of common stock reserved for issuance will automatically increase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240"/>
        <w:ind w:left="0" w:right="0" w:firstLine="360"/>
        <w:jc w:val="both"/>
        <w:rPr>
          <w:rFonts w:ascii="Times New Roman;Times;serif" w:hAnsi="Times New Roman;Times;serif"/>
          <w:sz w:val="20"/>
        </w:rPr>
      </w:pPr>
      <w:bookmarkStart w:id="685" w:name="Tc_XBb4G9U9ik-E8PNo7NhNkA_5_3"/>
      <w:bookmarkStart w:id="686" w:name="Tc_V_at89U3CEeESurnXroeSg_5_2"/>
      <w:bookmarkStart w:id="687" w:name="Tc_1rYC6pLvRESVtBT9R8Ab6w_5_0"/>
      <w:bookmarkStart w:id="688" w:name="Tc_Ln36brRRy0WBSTCIMg-a6w_4_3"/>
      <w:bookmarkStart w:id="689" w:name="Tc_iH3Ewf5F7kqHPPlGiFF3GA_4_0"/>
      <w:bookmarkStart w:id="690" w:name="Tc__39CThMckkq80V9M9HkrtQ_3_4"/>
      <w:bookmarkStart w:id="691" w:name="Tc_Qx2crUmLf0eJ4PYgaHCR-A_3_3"/>
      <w:bookmarkStart w:id="692" w:name="Tc_gDy29LqvyUm31gtWQz4N5g_3_0"/>
      <w:bookmarkStart w:id="693" w:name="Tc_dhSnNELcPEGZXf8Rm1DTJg_2_4"/>
      <w:bookmarkStart w:id="694" w:name="Tc_GGzrywUcdU6iNL8fiV3TrA_2_3"/>
      <w:bookmarkStart w:id="695" w:name="Tc_GRgD1BCsmEuJzq4HoNVZRQ_2_0"/>
      <w:bookmarkStart w:id="696" w:name="Tc_fUlyWjIZ7UWk_lBovdw8Pg_1_3"/>
      <w:bookmarkStart w:id="697" w:name="Tc_3H-gnqWP10eQeTLQ7iO73Q_1_0"/>
      <w:bookmarkStart w:id="698" w:name="_Hlk164617475"/>
      <w:bookmarkStart w:id="699" w:name="_Hlk141961007"/>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Pr>
          <w:rFonts w:ascii="Times New Roman;Times;serif" w:hAnsi="Times New Roman;Times;serif"/>
          <w:sz w:val="20"/>
        </w:rPr>
        <w:t>On April 1, 2022, the Company filed a Registration Statement on Form S-8 with the SEC for the purpose of registering an additional 5,921,056 shares of the Company’s common stock, inclusive of 1,536,845 and 384,211 shares associated with automatic increases that occurred on January 3, 2022 under the Omnibus Equity Plan and ESPP, respectively.  This registration also included 3,200,000 and 800,000 shares for the Omnibus Equity Plan and the ESPP, respectively, representing two years’ worth of estimated future automatic increases in availability for these plans.  </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March 8, 2023, the Company’s Board of Directors approved the Fiscal 2023 Bonus Plan (“2023 Bonus Plan”) that granted RSUs to eligible employees on April 1, 2024, instead of the typical cash bonus. For the thirteen weeks ended March 31, 2024, equity-based compensation expense for the 2023 Bonus Plan was reversed by $0.1 million to reflect the actual bonus distribution. A</w:t>
      </w:r>
      <w:r>
        <w:rPr>
          <w:rFonts w:ascii="Times New Roman;Times;serif" w:hAnsi="Times New Roman;Times;serif"/>
          <w:sz w:val="20"/>
          <w:shd w:fill="FFFFFF" w:val="clear"/>
        </w:rPr>
        <w:t>s of March 31, 2024, the unrecognized equity-based compensation expense for 2023 Bonus Plan was immaterial. On April 1, 2024, 95,912 fully vested RSUs were awarded to eligible employees under the 2023 Bonus Plan.</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29, 2023, the Company filed a Registration Statement on Form S-8 with the SEC for the purpose of registering an additional 2,000,000 shares of the Company's common stock under the Omnibus Equity Plan corresponding to the increase in shares approved by stockholders at the 2023 annual meeting of stockholders.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2024, the Company had 1,704,230 and 1,368,288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vesting schedule and the other terms and conditions of the awards granted under the Omnibus Equity Plan. The Compensation Committee may or may not issue the full number of shares that are reserved for issuance.  </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0"/>
        </w:rPr>
        <w:t>The Company’s initial ESPP offering period commenced on August 26, 2022. The ESPP consists of consecutive, overlapping 12-month</w:t>
      </w:r>
      <w:r>
        <w:rPr>
          <w:rFonts w:ascii="Times New Roman;Times;serif" w:hAnsi="Times New Roman;Times;serif"/>
          <w:sz w:val="24"/>
        </w:rPr>
        <w:t xml:space="preserve"> </w:t>
      </w:r>
      <w:r>
        <w:rPr>
          <w:rFonts w:ascii="Times New Roman;Times;serif" w:hAnsi="Times New Roman;Times;serif"/>
          <w:sz w:val="20"/>
        </w:rPr>
        <w:t>offering periods that begin on each August 26 and February 26 during the term of the ESPP, and end on each August 25 and February 25 occurring 12 months</w:t>
      </w:r>
      <w:r>
        <w:rPr>
          <w:rFonts w:ascii="Times New Roman;Times;serif" w:hAnsi="Times New Roman;Times;serif"/>
          <w:sz w:val="24"/>
        </w:rPr>
        <w:t xml:space="preserve"> </w:t>
      </w:r>
      <w:r>
        <w:rPr>
          <w:rFonts w:ascii="Times New Roman;Times;serif" w:hAnsi="Times New Roman;Times;serif"/>
          <w:sz w:val="20"/>
        </w:rPr>
        <w:t>later, as applicable. Each offering period is comprised of two</w:t>
      </w:r>
      <w:r>
        <w:rPr>
          <w:rFonts w:ascii="Times New Roman;Times;serif" w:hAnsi="Times New Roman;Times;serif"/>
          <w:sz w:val="24"/>
        </w:rPr>
        <w:t xml:space="preserve"> </w:t>
      </w:r>
      <w:r>
        <w:rPr>
          <w:rFonts w:ascii="Times New Roman;Times;serif" w:hAnsi="Times New Roman;Times;serif"/>
          <w:sz w:val="20"/>
        </w:rPr>
        <w:t>consecutive six-month</w:t>
      </w:r>
      <w:r>
        <w:rPr>
          <w:rFonts w:ascii="Times New Roman;Times;serif" w:hAnsi="Times New Roman;Times;serif"/>
          <w:sz w:val="24"/>
        </w:rPr>
        <w:t xml:space="preserve"> </w:t>
      </w:r>
      <w:r>
        <w:rPr>
          <w:rFonts w:ascii="Times New Roman;Times;serif" w:hAnsi="Times New Roman;Times;serif"/>
          <w:sz w:val="20"/>
        </w:rPr>
        <w:t>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w:t>
      </w:r>
      <w:r>
        <w:rPr>
          <w:rFonts w:ascii="Times New Roman;Times;serif" w:hAnsi="Times New Roman;Times;serif"/>
          <w:sz w:val="24"/>
        </w:rPr>
        <w:t xml:space="preserve"> </w:t>
      </w:r>
      <w:r>
        <w:rPr>
          <w:rFonts w:ascii="Times New Roman;Times;serif" w:hAnsi="Times New Roman;Times;serif"/>
          <w:sz w:val="20"/>
        </w:rPr>
        <w:t xml:space="preserve">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0"/>
        </w:rPr>
        <w:t>The Company recognizes equity-based compensation expense related to shares issued pursuant to the ESPP on a graded vesting approach over each offering period. For the thirteen weeks ended March 31, 2024 and April 2, 2023, equity-based compensation expense related to our ESPP was immaterial and $0.1</w:t>
      </w:r>
      <w:r>
        <w:rPr>
          <w:rFonts w:ascii="Times New Roman;Times;serif" w:hAnsi="Times New Roman;Times;serif"/>
          <w:sz w:val="24"/>
        </w:rPr>
        <w:t xml:space="preserve"> </w:t>
      </w:r>
      <w:r>
        <w:rPr>
          <w:rFonts w:ascii="Times New Roman;Times;serif" w:hAnsi="Times New Roman;Times;serif"/>
          <w:sz w:val="20"/>
        </w:rPr>
        <w:t>million, respectively. During the thirteen weeks ended March 31, 2024 and April 2, 2023, the Company issued 52,043</w:t>
      </w:r>
      <w:r>
        <w:rPr>
          <w:rFonts w:ascii="Times New Roman;Times;serif" w:hAnsi="Times New Roman;Times;serif"/>
          <w:sz w:val="24"/>
        </w:rPr>
        <w:t xml:space="preserve"> </w:t>
      </w:r>
      <w:r>
        <w:rPr>
          <w:rFonts w:ascii="Times New Roman;Times;serif" w:hAnsi="Times New Roman;Times;serif"/>
          <w:sz w:val="20"/>
        </w:rPr>
        <w:t>shares and 47,502</w:t>
      </w:r>
      <w:r>
        <w:rPr>
          <w:rFonts w:ascii="Times New Roman;Times;serif" w:hAnsi="Times New Roman;Times;serif"/>
          <w:sz w:val="24"/>
        </w:rPr>
        <w:t xml:space="preserve"> </w:t>
      </w:r>
      <w:r>
        <w:rPr>
          <w:rFonts w:ascii="Times New Roman;Times;serif" w:hAnsi="Times New Roman;Times;serif"/>
          <w:sz w:val="20"/>
        </w:rPr>
        <w:t>shares, respectively, pursuant to the ESPP six-month</w:t>
      </w:r>
      <w:r>
        <w:rPr>
          <w:rFonts w:ascii="Times New Roman;Times;serif" w:hAnsi="Times New Roman;Times;serif"/>
          <w:sz w:val="24"/>
        </w:rPr>
        <w:t xml:space="preserve"> </w:t>
      </w:r>
      <w:r>
        <w:rPr>
          <w:rFonts w:ascii="Times New Roman;Times;serif" w:hAnsi="Times New Roman;Times;serif"/>
          <w:sz w:val="20"/>
        </w:rPr>
        <w:t>purchase period ended February 26, 2024 and February 25, 2023,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used the Black-Scholes model to estimate the fair value of the purchase rights under the ESPP. For the thirteen weeks ended March 31, 2024, the Company utilized the following assumptions:</w:t>
      </w:r>
    </w:p>
    <w:p>
      <w:pPr>
        <w:pStyle w:val="TextBody"/>
        <w:bidi w:val="0"/>
        <w:spacing w:before="0" w:after="0"/>
        <w:ind w:left="0" w:right="0" w:hanging="0"/>
        <w:jc w:val="left"/>
        <w:rPr/>
      </w:pPr>
      <w:r>
        <w:rPr/>
        <w:t>​</w:t>
      </w:r>
    </w:p>
    <w:tbl>
      <w:tblPr>
        <w:tblW w:w="7043" w:type="dxa"/>
        <w:jc w:val="left"/>
        <w:tblInd w:w="0" w:type="dxa"/>
        <w:tblLayout w:type="fixed"/>
        <w:tblCellMar>
          <w:top w:w="0" w:type="dxa"/>
          <w:left w:w="0" w:type="dxa"/>
          <w:bottom w:w="0" w:type="dxa"/>
          <w:right w:w="0" w:type="dxa"/>
        </w:tblCellMar>
      </w:tblPr>
      <w:tblGrid>
        <w:gridCol w:w="5116"/>
        <w:gridCol w:w="109"/>
        <w:gridCol w:w="211"/>
        <w:gridCol w:w="1291"/>
        <w:gridCol w:w="316"/>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248660" cy="175260"/>
                      <wp:effectExtent l="0" t="0" r="0" b="0"/>
                      <wp:wrapNone/>
                      <wp:docPr id="116" name="Frame115"/>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215" cy="175260"/>
                      <wp:effectExtent l="0" t="0" r="0" b="0"/>
                      <wp:wrapNone/>
                      <wp:docPr id="117"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819785" cy="175260"/>
                      <wp:effectExtent l="0" t="0" r="0" b="0"/>
                      <wp:wrapNone/>
                      <wp:docPr id="119" name="Frame118"/>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0660" cy="175260"/>
                      <wp:effectExtent l="0" t="0" r="0" b="0"/>
                      <wp:wrapNone/>
                      <wp:docPr id="120" name="Frame1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0.50 to 1.00</w:t>
            </w:r>
          </w:p>
        </w:tc>
        <w:tc>
          <w:tcPr>
            <w:tcW w:w="316" w:type="dxa"/>
            <w:tcBorders/>
            <w:shd w:fill="CCEEFF" w:val="clear"/>
            <w:vAlign w:val="center"/>
          </w:tcPr>
          <w:p>
            <w:pPr>
              <w:pStyle w:val="TableContents"/>
              <w:bidi w:val="0"/>
              <w:spacing w:before="0" w:after="1"/>
              <w:ind w:left="0" w:right="0" w:hanging="0"/>
              <w:jc w:val="right"/>
              <w:rPr/>
            </w:pPr>
            <w:r>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81.95 to 91.30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 to 5.34</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5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fair value per share of ESPP awards granted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 to 0.90</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700" w:name="Tc_66_gQ3G0jEiOGlUtTzDHMw_11_10"/>
      <w:bookmarkStart w:id="701" w:name="Tc_Hfszx-i_KEmfHBAbif4v6g_11_9"/>
      <w:bookmarkStart w:id="702" w:name="Tc_soENbL7ZzEuxFr70OSijDw_11_4"/>
      <w:bookmarkStart w:id="703" w:name="Tc_6vq6YXQnmk2HC_h1i6XaeA_11_0"/>
      <w:bookmarkStart w:id="704" w:name="Tc_ZKKWnY99FEmXFcGZ1R9DHA_10_10"/>
      <w:bookmarkStart w:id="705" w:name="Tc_BNDpfHyac0KMBVDCAjK6YA_10_9"/>
      <w:bookmarkStart w:id="706" w:name="Tc_uh0ZNq9rKkqYLI4ztskZBQ_10_4"/>
      <w:bookmarkStart w:id="707" w:name="Tc_LIEdqiN9oE2TovrYfms5MQ_10_0"/>
      <w:bookmarkStart w:id="708" w:name="Tc_yrhutoLi4kK9p4Mb9LkS7w_9_4"/>
      <w:bookmarkStart w:id="709" w:name="Tc_dNNK4B9TX0WHLfY9BMtPxA_9_0"/>
      <w:bookmarkStart w:id="710" w:name="Tc_7r9sJs4XK0-F0jvKIGHH7Q_8_7"/>
      <w:bookmarkStart w:id="711" w:name="Tc_KCX1spynmE6VZAe7uVl3eA_8_5"/>
      <w:bookmarkStart w:id="712" w:name="Tc_VC2ZI8nYpU6xqQU8UAVyUg_8_2"/>
      <w:bookmarkStart w:id="713" w:name="Tc_Z_P8nPrnck6hzJu1SVdBMA_8_0"/>
      <w:bookmarkStart w:id="714" w:name="Tc_mQ3zv8YrzkeZssHM6nEHrA_7_7"/>
      <w:bookmarkStart w:id="715" w:name="Tc_N05KclY2VUedHOt_wQQzQw_7_5"/>
      <w:bookmarkStart w:id="716" w:name="Tc_1b7odk_2Aky1vNIv1NVqRg_7_2"/>
      <w:bookmarkStart w:id="717" w:name="Tc_J9z0VY2C6EqP-s3KiQmA5g_7_0"/>
      <w:bookmarkStart w:id="718" w:name="Tc_A62YiZTpJkC5R3Q_hcN5CQ_6_4"/>
      <w:bookmarkStart w:id="719" w:name="Tc_nKgb4BGf1UOejCmvP9Csmw_6_0"/>
      <w:bookmarkStart w:id="720" w:name="Tc_6e-1xqzJ40e_rK862eqXkA_5_9"/>
      <w:bookmarkStart w:id="721" w:name="Tc_RW0HAvH39Uemxkg1RtQpTw_5_7"/>
      <w:bookmarkStart w:id="722" w:name="Tc_7USAZRGIMUWHIafgM2YWVg_5_4"/>
      <w:bookmarkStart w:id="723" w:name="Tc_5O0-8-Axqkeeo7VwEfUvlw_5_2"/>
      <w:bookmarkStart w:id="724" w:name="Tc_im6Lg-mtR0-Hcz_6FZwHnw_4_9"/>
      <w:bookmarkStart w:id="725" w:name="Tc_Muy7BIojEUiT-ogHdAjBHw_4_7"/>
      <w:bookmarkStart w:id="726" w:name="Tc_-xkoTA-K4U-HxH-mlkfxDA_4_4"/>
      <w:bookmarkStart w:id="727" w:name="Tc_yRcIdkxJXka7cn9-qP21Lw_4_2"/>
      <w:bookmarkStart w:id="728" w:name="Tc_Du12IN3r20maFjXXTk5jDA_3_9"/>
      <w:bookmarkStart w:id="729" w:name="Tc_95DeE08G0kGlrfOdeXwAQA_3_7"/>
      <w:bookmarkStart w:id="730" w:name="Tc_zbO0wsD8JkCSScDWb4QA_g_3_4"/>
      <w:bookmarkStart w:id="731" w:name="Tc_0O90eVoOwUKK4-QB5famow_2_7"/>
      <w:bookmarkStart w:id="732" w:name="Tc_4oXWqyux2U21mHhtWZ58pg_2_4"/>
      <w:bookmarkStart w:id="733" w:name="Tc_i040ht08z0eNOGYGzdGzkA_1_7"/>
      <w:bookmarkStart w:id="734" w:name="Tc_dRbdLZexbESqeG1Z_t8MZA_1_4"/>
      <w:bookmarkStart w:id="735" w:name="_d87b9053_b183_4a57_8e12_061bafe0b814"/>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r>
        <w:rPr>
          <w:rFonts w:ascii="Times New Roman;Times;serif" w:hAnsi="Times New Roman;Times;serif"/>
          <w:b/>
          <w:i/>
          <w:sz w:val="20"/>
        </w:rPr>
        <w:t xml:space="preserve">2021 Equity Plan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April 2021, the Company’s Board of Directors adopted the 2021 Equity Plan. The 2021 Equity Plan provided for the issuance of incentive stock options, restricted stock, restricted stock units and other stock-based and cash-based awards to the Company’s employees, directors, and consultants. The maximum aggregate number of shares reserved for issuance under the 2021 Equity Plan was 925,000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 </w:t>
      </w:r>
    </w:p>
    <w:p>
      <w:pPr>
        <w:pStyle w:val="TextBody"/>
        <w:bidi w:val="0"/>
        <w:spacing w:before="0" w:after="16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CEO Stock Options and Special Compensation Awards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April 2021, the Company entered into an Employment Agreement (the “McCreight IPO Employment Agreement”) with the former CEO, David McCreight, and granted stock options under the 2021 Equity Plan to purchase 322,793 shares of common stock with an exercise price of $11.35 per share, which vest based on service and performance conditions. 275,133 of these stock options have only service vesting conditions, and 47,660 of these stock options have both service and performance vesting conditions. In addition, a portion of these stock options were subject to accelerated vesting conditions upon the occurrence of certain future events, which were satisfied upon the closing of the IPO. As previously disclosed on a Form 8-K filed on February 13, 2023 (the “February 13 8-K”), Mr. McCreight voluntarily forfeited 161,396 unvested stock options of the Company. During the thirteen weeks ended April 2, 2023, the forfeiture of 161,396 unvested stock resulted in immediate acceleration of the remaining $1.2 million of compensation expense which was recorded to general and administrative expense. As previously disclosed in the February 13 8-K, the Company and David McCreight also entered into the First Amendment to Lulu’s Fashion Lounge Holdings, Inc. 2021 Equity Incentive Plan Stock Option Agreement that extends the post-termination exercise period of 161,397 vested stock options from 90 days to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(3) years from a termination of service other than for cause, death or disability.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the McCreight IPO Employment Agreement and subject to ongoing employment, and in light of the closing of the IPO, the former CEO received two bonuses, each of which were settled in 208,914 fully-vested shares of the Company’s common stock. The Company recognized the final </w:t>
      </w:r>
      <w:r>
        <w:rPr>
          <w:rFonts w:ascii="Times New Roman;Times;serif" w:hAnsi="Times New Roman;Times;serif"/>
          <w:sz w:val="20"/>
          <w:shd w:fill="FFFFFF" w:val="clear"/>
        </w:rPr>
        <w:t>$0.4 million of equity-based compensation expense related to this award in the thirteen weeks ended April 2, 2023</w:t>
      </w:r>
      <w:r>
        <w:rPr>
          <w:rFonts w:ascii="Times New Roman;Times;serif" w:hAnsi="Times New Roman;Times;serif"/>
          <w:sz w:val="20"/>
        </w:rPr>
        <w: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A summary of stock option activity is as follows (in thousands, except per share amounts and years):</w:t>
      </w:r>
    </w:p>
    <w:tbl>
      <w:tblPr>
        <w:tblW w:w="9213" w:type="dxa"/>
        <w:jc w:val="left"/>
        <w:tblInd w:w="0" w:type="dxa"/>
        <w:tblLayout w:type="fixed"/>
        <w:tblCellMar>
          <w:top w:w="0" w:type="dxa"/>
          <w:left w:w="0" w:type="dxa"/>
          <w:bottom w:w="0" w:type="dxa"/>
          <w:right w:w="0" w:type="dxa"/>
        </w:tblCellMar>
      </w:tblPr>
      <w:tblGrid>
        <w:gridCol w:w="4141"/>
        <w:gridCol w:w="326"/>
        <w:gridCol w:w="1006"/>
        <w:gridCol w:w="326"/>
        <w:gridCol w:w="230"/>
        <w:gridCol w:w="625"/>
        <w:gridCol w:w="326"/>
        <w:gridCol w:w="991"/>
        <w:gridCol w:w="326"/>
        <w:gridCol w:w="291"/>
        <w:gridCol w:w="625"/>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629535" cy="175260"/>
                      <wp:effectExtent l="0" t="0" r="0" b="0"/>
                      <wp:wrapNone/>
                      <wp:docPr id="121" name="Frame120"/>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38810" cy="175260"/>
                      <wp:effectExtent l="0" t="0" r="0" b="0"/>
                      <wp:wrapNone/>
                      <wp:docPr id="123" name="Frame12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6050" cy="175260"/>
                      <wp:effectExtent l="0" t="0" r="0" b="0"/>
                      <wp:wrapNone/>
                      <wp:docPr id="125" name="Frame12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96875" cy="175260"/>
                      <wp:effectExtent l="0" t="0" r="0" b="0"/>
                      <wp:wrapNone/>
                      <wp:docPr id="126" name="Frame125"/>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29285" cy="175260"/>
                      <wp:effectExtent l="0" t="0" r="0" b="0"/>
                      <wp:wrapNone/>
                      <wp:docPr id="128" name="Frame12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84785" cy="175260"/>
                      <wp:effectExtent l="0" t="0" r="0" b="0"/>
                      <wp:wrapNone/>
                      <wp:docPr id="130" name="Frame129"/>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96875" cy="175260"/>
                      <wp:effectExtent l="0" t="0" r="0" b="0"/>
                      <wp:wrapNone/>
                      <wp:docPr id="131" name="Frame130"/>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291"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291"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1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Outstanding as of March 31, 2024</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Exercisable as of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Vested and expected to vest as of March 31, 2024</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161,397</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736" w:name="_Hlk133903693"/>
      <w:bookmarkStart w:id="737" w:name="Tc_HM3N1IqxRk6MBwNA3edD_g_8_4"/>
      <w:bookmarkStart w:id="738" w:name="Tc_hQXjAkju3kGLcD38hONCzQ_8_0"/>
      <w:bookmarkStart w:id="739" w:name="Tc_nxA717SDoUe952kqWe52bw_7_0"/>
      <w:bookmarkStart w:id="740" w:name="Tc_jiTP7OhBIEylhgUoOgKfZg_6_0"/>
      <w:bookmarkStart w:id="741" w:name="Tc_xhqC72Sgh0mTf-4JhsbxQw_5_5"/>
      <w:bookmarkStart w:id="742" w:name="Tc_c5rBp90N-ES1PYT2Srh6LA_5_2"/>
      <w:bookmarkStart w:id="743" w:name="Tc_VjlJH6HnlUWuIQFXTYQOPQ_5_0"/>
      <w:bookmarkStart w:id="744" w:name="Tc_Co0KW2R160GmM6O0rti3UQ_4_4"/>
      <w:bookmarkStart w:id="745" w:name="Tc_t_lnGDQgWUCKfmOz5w0Q_w_4_0"/>
      <w:bookmarkStart w:id="746" w:name="Tc_zy4w8Q_S2Uiwv1njJx_KwQ_3_4"/>
      <w:bookmarkStart w:id="747" w:name="Tc_NwlH2VRLGU-K8RsRNuio-A_3_2"/>
      <w:bookmarkStart w:id="748" w:name="Tc_g1udbakVsEmwzyP9yvhfyw_2_4"/>
      <w:bookmarkStart w:id="749" w:name="Tc_jF-eHxKpDEqpYnAL8rQ9HA_2_2"/>
      <w:bookmarkStart w:id="750" w:name="Tc_FNUEI1495UiMpng7QK3Edw_1_4"/>
      <w:bookmarkStart w:id="751" w:name="Tc_HjruhQw3BUW-jukj2lCtkA_1_2"/>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ascii="Times New Roman;Times;serif" w:hAnsi="Times New Roman;Times;serif"/>
          <w:b/>
          <w:i/>
          <w:sz w:val="20"/>
        </w:rPr>
        <w:t>Restricted Stock and Restricted Stock Units (“RSUs”)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Immediately before the completion of the IPO, the LP was liquidated and the unit holders of the LP received shares of the Company’s common stock in exchange for their units of the LP. The Class P unit holders received 1,964,103 shares of common stock, comprised of 1,536,304 shares of vested common stock and 427,799 shares of unvested restricted stock. Any such shares of restricted stock received in respect of unvested Class P units of the LP are subject to vesting and a risk of forfeiture to the same extent as the corresponding Class P units. </w:t>
      </w:r>
      <w:r>
        <w:rPr>
          <w:rFonts w:ascii="Times New Roman;Times;serif" w:hAnsi="Times New Roman;Times;serif"/>
          <w:sz w:val="20"/>
        </w:rPr>
        <w:t>The Company recorded equity-based compensation expense of $0.1 million and $0.2 million during the thirteen weeks ended March 31, 2024, and April 2, 2023, respectively, related to the exchanged restricted stock. A</w:t>
      </w:r>
      <w:r>
        <w:rPr>
          <w:rFonts w:ascii="Times New Roman;Times;serif" w:hAnsi="Times New Roman;Times;serif"/>
          <w:sz w:val="20"/>
          <w:shd w:fill="FFFFFF" w:val="clear"/>
        </w:rPr>
        <w:t>s of March 31, 2024, the unrecognized equity-based compensation expense for all restricted stock is $0.3 million and will be recognized over a weighted-average period of 0.58 years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rollforward of unvested restricted stock during the thirteen weeks ended March 31, 2024:</w:t>
      </w:r>
    </w:p>
    <w:p>
      <w:pPr>
        <w:pStyle w:val="TextBody"/>
        <w:bidi w:val="0"/>
        <w:spacing w:before="0" w:after="0"/>
        <w:ind w:left="0" w:right="0" w:hanging="0"/>
        <w:jc w:val="left"/>
        <w:rPr/>
      </w:pPr>
      <w:r>
        <w:rPr/>
        <w:t>​</w:t>
      </w:r>
    </w:p>
    <w:tbl>
      <w:tblPr>
        <w:tblW w:w="5454" w:type="dxa"/>
        <w:jc w:val="left"/>
        <w:tblInd w:w="0" w:type="dxa"/>
        <w:tblLayout w:type="fixed"/>
        <w:tblCellMar>
          <w:top w:w="0" w:type="dxa"/>
          <w:left w:w="0" w:type="dxa"/>
          <w:bottom w:w="0" w:type="dxa"/>
          <w:right w:w="0" w:type="dxa"/>
        </w:tblCellMar>
      </w:tblPr>
      <w:tblGrid>
        <w:gridCol w:w="2596"/>
        <w:gridCol w:w="326"/>
        <w:gridCol w:w="886"/>
        <w:gridCol w:w="326"/>
        <w:gridCol w:w="354"/>
        <w:gridCol w:w="96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48460" cy="175260"/>
                      <wp:effectExtent l="0" t="0" r="0" b="0"/>
                      <wp:wrapNone/>
                      <wp:docPr id="132" name="Frame13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62610" cy="175260"/>
                      <wp:effectExtent l="0" t="0" r="0" b="0"/>
                      <wp:wrapNone/>
                      <wp:docPr id="134" name="Frame13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24790" cy="175260"/>
                      <wp:effectExtent l="0" t="0" r="0" b="0"/>
                      <wp:wrapNone/>
                      <wp:docPr id="136" name="Frame135"/>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13410" cy="175260"/>
                      <wp:effectExtent l="0" t="0" r="0" b="0"/>
                      <wp:wrapNone/>
                      <wp:docPr id="137" name="Frame136"/>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32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Restricted </w:t>
            </w:r>
          </w:p>
        </w:tc>
        <w:tc>
          <w:tcPr>
            <w:tcW w:w="32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1"/>
              <w:ind w:left="0" w:right="0" w:hanging="0"/>
              <w:jc w:val="left"/>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23,379</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granted</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966"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vested</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(6,727)</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 </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forfeited</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326"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 </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15,617</w:t>
            </w:r>
          </w:p>
        </w:tc>
        <w:tc>
          <w:tcPr>
            <w:tcW w:w="326"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4.17</w:t>
            </w:r>
          </w:p>
        </w:tc>
      </w:tr>
    </w:tbl>
    <w:p>
      <w:pPr>
        <w:pStyle w:val="TextBody"/>
        <w:bidi w:val="0"/>
        <w:spacing w:before="0" w:after="240"/>
        <w:ind w:left="0" w:right="0" w:firstLine="360"/>
        <w:jc w:val="both"/>
        <w:rPr>
          <w:shd w:fill="FFFFFF" w:val="clear"/>
        </w:rPr>
      </w:pPr>
      <w:r>
        <w:rPr>
          <w:shd w:fill="FFFFFF" w:val="clea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During the thirteen weeks ended March 31, 2024, the Company entered into a second amendment to the employment agreement with Mark Vos, the </w:t>
      </w:r>
      <w:r>
        <w:rPr>
          <w:rFonts w:ascii="Times New Roman;Times;serif" w:hAnsi="Times New Roman;Times;serif"/>
          <w:sz w:val="20"/>
        </w:rPr>
        <w:t>President and Chief Information Officer</w:t>
      </w:r>
      <w:r>
        <w:rPr>
          <w:rFonts w:ascii="Times New Roman;Times;serif" w:hAnsi="Times New Roman;Times;serif"/>
          <w:sz w:val="20"/>
          <w:shd w:fill="FFFFFF" w:val="clear"/>
        </w:rPr>
        <w:t xml:space="preserve"> (the “</w:t>
      </w:r>
      <w:r>
        <w:rPr>
          <w:rFonts w:ascii="Times New Roman;Times;serif" w:hAnsi="Times New Roman;Times;serif"/>
          <w:sz w:val="20"/>
        </w:rPr>
        <w:t>2024 President &amp; CIO Employment Agreement</w:t>
      </w:r>
      <w:r>
        <w:rPr>
          <w:rFonts w:ascii="Times New Roman;Times;serif" w:hAnsi="Times New Roman;Times;serif"/>
          <w:sz w:val="20"/>
          <w:shd w:fill="FFFFFF" w:val="clear"/>
        </w:rPr>
        <w:t xml:space="preserve">”), under </w:t>
      </w:r>
      <w:r>
        <w:rPr>
          <w:rFonts w:ascii="Times New Roman;Times;serif" w:hAnsi="Times New Roman;Times;serif"/>
          <w:sz w:val="20"/>
        </w:rPr>
        <w:t>which</w:t>
      </w:r>
      <w:r>
        <w:rPr>
          <w:rFonts w:ascii="Times New Roman;Times;serif" w:hAnsi="Times New Roman;Times;serif"/>
          <w:sz w:val="20"/>
          <w:shd w:fill="FFFFFF" w:val="clear"/>
        </w:rPr>
        <w:t xml:space="preserve"> 660,000 RSUs were initially granted, </w:t>
      </w:r>
      <w:r>
        <w:rPr>
          <w:rFonts w:ascii="Times New Roman;Times;serif" w:hAnsi="Times New Roman;Times;serif"/>
          <w:sz w:val="20"/>
        </w:rPr>
        <w:t>subject to various vesting schedules as set forth in the 2024 President &amp; CIO Employment Agreement. On February 16, 2024, Tiffany Smith, the Chief Financial Officer received 175,000 RSUs pursuant to the applicable RSU Award Agreement, which vest over a three-year service period.</w:t>
      </w:r>
      <w:r>
        <w:rPr>
          <w:rFonts w:ascii="Times New Roman;Times;serif" w:hAnsi="Times New Roman;Times;serif"/>
          <w:sz w:val="20"/>
          <w:shd w:fill="FFFFFF" w:val="clear"/>
        </w:rPr>
        <w:t> </w:t>
      </w:r>
      <w:r>
        <w:rPr>
          <w:rFonts w:ascii="Times New Roman;Times;serif" w:hAnsi="Times New Roman;Times;serif"/>
          <w:sz w:val="20"/>
        </w:rPr>
        <w:t>On February 16, 2024, Laura Deady, the Chief Merchandising Officer, received 152,273 RSUs pursuant to her employment agreement entered into in December 2023 (“2024 CMO Employment Agreement”) and the applicable RSU Award Agreement, which vest over a three-year service period.</w:t>
      </w:r>
      <w:r>
        <w:rPr>
          <w:rFonts w:ascii="Times New Roman;Times;serif" w:hAnsi="Times New Roman;Times;serif"/>
          <w:sz w:val="20"/>
          <w:shd w:fill="FFFFFF" w:val="clear"/>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thirteen weeks ended March 31, 2024, the Company granted 1,914,071 RSUs to certain executives (inclusive of the aforementioned RSU grants to Mr. Vos, Ms. Deady and Ms. Smith), and employees which are subject to various vesting schedules as set forth in the applicable employment agreement or RSU Award Agreements. During the thirteen weeks ended March 31, 2024, the Company granted 26,616 RSUs to certain directors which vested immediately or pursuant to the Company’s Non-Employee Director Compensation Program. The Company recognized equity-based compensation expense of $1.6 million and $2.8 million during the thirteen weeks ended March 31, 2024, and April 2, 2023, respectively, related to the RSUs. As of March 31, 2024, the unrecognized equity-based compensation expense is $11.3 million and will be recognized over a weighted-average period of 2.30 years</w:t>
      </w:r>
      <w:r>
        <w:rPr>
          <w:rFonts w:ascii="Times New Roman;Times;serif" w:hAnsi="Times New Roman;Times;serif"/>
          <w:sz w:val="20"/>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shd w:fill="FFFFFF" w:val="clear"/>
        </w:rPr>
      </w:pPr>
      <w:bookmarkStart w:id="752" w:name="Tc_17sAGV8gzkq0c2XYAQDzjQ_8_4"/>
      <w:bookmarkStart w:id="753" w:name="Tc_8k68d0WFmUeUMOlQE0EbPw_8_0"/>
      <w:bookmarkStart w:id="754" w:name="Tc_iTVeSclKSEOAzdppIo4rRg_7_5"/>
      <w:bookmarkStart w:id="755" w:name="Tc_naoXdrsE-UKkG52Ssiw6bw_7_2"/>
      <w:bookmarkStart w:id="756" w:name="Tc_T7GE3n0m8kS5lwx3BceR2g_7_0"/>
      <w:bookmarkStart w:id="757" w:name="Tc_teDawkF6LUKaLw45LlODoA_6_5"/>
      <w:bookmarkStart w:id="758" w:name="Tc_gvisguMXCUisfoZK3I74bQ_6_2"/>
      <w:bookmarkStart w:id="759" w:name="Tc_QMXElXDf6EqepUhVQwVHtw_6_0"/>
      <w:bookmarkStart w:id="760" w:name="Tc_tmiMmupf-Uu1Vtw1Z1uSIw_5_0"/>
      <w:bookmarkStart w:id="761" w:name="Tc_3Zd3zl1IsEibHWwIVC3b0Q_4_4"/>
      <w:bookmarkStart w:id="762" w:name="Tc_pHBfODLzi0yY6JuOh4SSRA_4_0"/>
      <w:bookmarkStart w:id="763" w:name="Tc_0ijvo6RoI0K659VgCmUmqg_3_4"/>
      <w:bookmarkStart w:id="764" w:name="Tc_WMwTWhW1Sk6YLxYNGmYMWw_3_2"/>
      <w:bookmarkStart w:id="765" w:name="Tc_Vj16RWNUyEe9nL4rNmCyeA_2_4"/>
      <w:bookmarkStart w:id="766" w:name="Tc_XupcvRR9wkqT3cisbrBsOg_2_2"/>
      <w:bookmarkStart w:id="767" w:name="Tc_2XdbXyMSBE-11Rl7Ld4MZg_1_4"/>
      <w:bookmarkStart w:id="768" w:name="Tc_ISNbzjT1_k2i9vljo_iKiQ_8_4"/>
      <w:bookmarkStart w:id="769" w:name="Tc_c3KjbFFpH0ugpy0SO7ZFmg_8_0"/>
      <w:bookmarkStart w:id="770" w:name="Tc_kVXlft63Ckm0TYwFNNpWNA_7_0"/>
      <w:bookmarkStart w:id="771" w:name="Tc_UBdcyIyt8U6FvxHrCSG0Bg_6_0"/>
      <w:bookmarkStart w:id="772" w:name="Tc_GG7k47Grj0CNSPG2XXyZxg_5_0"/>
      <w:bookmarkStart w:id="773" w:name="Tc_SSl3WdCpX0SZ_QEzlTRpQw_4_4"/>
      <w:bookmarkStart w:id="774" w:name="Tc_mzGuHOnOF0eg4guj3b4rSQ_4_0"/>
      <w:bookmarkStart w:id="775" w:name="Tc_sN0h0yWz4EST8_bNq8Y8hA_3_4"/>
      <w:bookmarkStart w:id="776" w:name="Tc_B0Cb00ovG0W8LO0_sLQFPg_3_2"/>
      <w:bookmarkStart w:id="777" w:name="Tc_KqIghcrGckWHNz-xJx7ajg_2_4"/>
      <w:bookmarkStart w:id="778" w:name="Tc_kBIlH6qO_0GR8lm1yLSkmw_2_2"/>
      <w:bookmarkStart w:id="779" w:name="Tc_peMOzO1MRUyk0nCFYXLDQw_1_4"/>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r>
        <w:rPr>
          <w:rFonts w:ascii="Times New Roman;Times;serif" w:hAnsi="Times New Roman;Times;serif"/>
          <w:sz w:val="20"/>
          <w:shd w:fill="FFFFFF" w:val="clear"/>
        </w:rPr>
        <w:t>The following table summarizes the roll forward of unvested RSUs during the thirteen weeks ended March 31, 2024:</w:t>
      </w:r>
    </w:p>
    <w:p>
      <w:pPr>
        <w:pStyle w:val="TextBody"/>
        <w:bidi w:val="0"/>
        <w:spacing w:before="0" w:after="240"/>
        <w:ind w:left="0" w:right="0" w:firstLine="360"/>
        <w:jc w:val="both"/>
        <w:rPr>
          <w:shd w:fill="FFFFFF" w:val="clear"/>
        </w:rPr>
      </w:pPr>
      <w:r>
        <w:rPr>
          <w:shd w:fill="FFFFFF" w:val="clear"/>
        </w:rPr>
        <w:t>​</w:t>
      </w:r>
    </w:p>
    <w:tbl>
      <w:tblPr>
        <w:tblW w:w="5065" w:type="dxa"/>
        <w:jc w:val="left"/>
        <w:tblInd w:w="0" w:type="dxa"/>
        <w:tblLayout w:type="fixed"/>
        <w:tblCellMar>
          <w:top w:w="0" w:type="dxa"/>
          <w:left w:w="0" w:type="dxa"/>
          <w:bottom w:w="0" w:type="dxa"/>
          <w:right w:w="0" w:type="dxa"/>
        </w:tblCellMar>
      </w:tblPr>
      <w:tblGrid>
        <w:gridCol w:w="2596"/>
        <w:gridCol w:w="109"/>
        <w:gridCol w:w="931"/>
        <w:gridCol w:w="109"/>
        <w:gridCol w:w="354"/>
        <w:gridCol w:w="96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648460" cy="175260"/>
                      <wp:effectExtent l="0" t="0" r="0" b="0"/>
                      <wp:wrapNone/>
                      <wp:docPr id="138" name="Frame13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91185" cy="175260"/>
                      <wp:effectExtent l="0" t="0" r="0" b="0"/>
                      <wp:wrapNone/>
                      <wp:docPr id="140" name="Frame1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4790" cy="175260"/>
                      <wp:effectExtent l="0" t="0" r="0" b="0"/>
                      <wp:wrapNone/>
                      <wp:docPr id="142" name="Frame141"/>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13410" cy="175260"/>
                      <wp:effectExtent l="0" t="0" r="0" b="0"/>
                      <wp:wrapNone/>
                      <wp:docPr id="143" name="Frame142"/>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3,568,406</w:t>
            </w:r>
          </w:p>
        </w:tc>
        <w:tc>
          <w:tcPr>
            <w:tcW w:w="109"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1,940,687</w:t>
            </w:r>
          </w:p>
        </w:tc>
        <w:tc>
          <w:tcPr>
            <w:tcW w:w="109"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(983,460)</w:t>
            </w:r>
          </w:p>
        </w:tc>
        <w:tc>
          <w:tcPr>
            <w:tcW w:w="109"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(72,153)</w:t>
            </w:r>
          </w:p>
        </w:tc>
        <w:tc>
          <w:tcPr>
            <w:tcW w:w="109"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pPr>
            <w:r>
              <w:rPr/>
              <w:t> </w:t>
            </w:r>
          </w:p>
        </w:tc>
        <w:tc>
          <w:tcPr>
            <w:tcW w:w="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4,453,480</w:t>
            </w:r>
          </w:p>
        </w:tc>
        <w:tc>
          <w:tcPr>
            <w:tcW w:w="109"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2.76</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Stock Units (“PSUs”)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Crystal Landsem’s 2023 employment agreement (“the CEO Employment Agreement”), Ms. Landsem received a grant of 1,811,571 PSUs on March 5, 2023 which vest in three equal annual installments of 603,857 PSUs subject to the achievement of trailing ten day volume-weighted average price targets of the Company’s common stock and her continued employment on the vesting dates. Under the 2024 President &amp; CIO Employment Agreement, Mr. Vos received a grant of 300,000 PSUs on January 9, 2024 which vest subject to the achievement of trailing ten day volume-weighted average price targets of the Company’s common stock and his continued employment on the vesting dates. Under the 2024 CMO Employment Agreement, Ms. Deady received a grant of 50,000 PSUs on February 16, 2024, which vest subject to the achievement of specified Company trailing twelve month net revenue growth targets and her continued employment on the vesting dates.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recognized equity-based compensation expense of $0.6 million and $0.2 million during the thirteen weeks ended March 31, 2024, and April 2, 2023, respectively, related to the PSUs. As of March 31, 2024, the unrecognized equity-based compensation expense is $2.1 million for the financial milestones that were considered probable of  achievement, which will be recognized over a weighted-average period of 1.71 years. </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rollforward of unvested PSUs during the thirteen weeks ended March 31, 2024:</w:t>
      </w:r>
    </w:p>
    <w:p>
      <w:pPr>
        <w:pStyle w:val="TextBody"/>
        <w:bidi w:val="0"/>
        <w:spacing w:before="0" w:after="240"/>
        <w:ind w:left="0" w:right="0" w:firstLine="360"/>
        <w:jc w:val="both"/>
        <w:rPr>
          <w:shd w:fill="FFFFFF" w:val="clear"/>
        </w:rPr>
      </w:pPr>
      <w:r>
        <w:rPr>
          <w:shd w:fill="FFFFFF" w:val="clear"/>
        </w:rPr>
        <w:t>​</w:t>
      </w:r>
    </w:p>
    <w:tbl>
      <w:tblPr>
        <w:tblW w:w="5065" w:type="dxa"/>
        <w:jc w:val="left"/>
        <w:tblInd w:w="0" w:type="dxa"/>
        <w:tblLayout w:type="fixed"/>
        <w:tblCellMar>
          <w:top w:w="0" w:type="dxa"/>
          <w:left w:w="0" w:type="dxa"/>
          <w:bottom w:w="0" w:type="dxa"/>
          <w:right w:w="0" w:type="dxa"/>
        </w:tblCellMar>
      </w:tblPr>
      <w:tblGrid>
        <w:gridCol w:w="2596"/>
        <w:gridCol w:w="109"/>
        <w:gridCol w:w="931"/>
        <w:gridCol w:w="109"/>
        <w:gridCol w:w="354"/>
        <w:gridCol w:w="96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648460" cy="175260"/>
                      <wp:effectExtent l="0" t="0" r="0" b="0"/>
                      <wp:wrapNone/>
                      <wp:docPr id="144" name="Frame14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91185" cy="175260"/>
                      <wp:effectExtent l="0" t="0" r="0" b="0"/>
                      <wp:wrapNone/>
                      <wp:docPr id="146" name="Frame1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24790" cy="175260"/>
                      <wp:effectExtent l="0" t="0" r="0" b="0"/>
                      <wp:wrapNone/>
                      <wp:docPr id="148" name="Frame147"/>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13410" cy="175260"/>
                      <wp:effectExtent l="0" t="0" r="0" b="0"/>
                      <wp:wrapNone/>
                      <wp:docPr id="149" name="Frame148"/>
                      <a:graphic xmlns:a="http://schemas.openxmlformats.org/drawingml/2006/main">
                        <a:graphicData uri="http://schemas.microsoft.com/office/word/2010/wordprocessingShape">
                          <wps:wsp>
                            <wps:cNvSpPr txBox="1"/>
                            <wps:spPr>
                              <a:xfrm>
                                <a:off x="0" y="0"/>
                                <a:ext cx="613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PSUs</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1,811,571</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9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vested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966"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forfeited</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 </w:t>
            </w:r>
          </w:p>
        </w:tc>
        <w:tc>
          <w:tcPr>
            <w:tcW w:w="966"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2,161,571</w:t>
            </w:r>
          </w:p>
        </w:tc>
        <w:tc>
          <w:tcPr>
            <w:tcW w:w="109"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2.51</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80" w:name="Tc_EB2IrF9lJkGwoNv7IzKetQ_6_7"/>
      <w:bookmarkStart w:id="781" w:name="Tc_S80Cb15nSESd7Pw9kVDnLA_6_4"/>
      <w:bookmarkStart w:id="782" w:name="Tc_T8HtPLCJq06EyX49LDfZJQ_6_0"/>
      <w:bookmarkStart w:id="783" w:name="Tc_5dzTBsY3X0iw3SqVmsRV1A_5_0"/>
      <w:bookmarkStart w:id="784" w:name="Tc_myOWb6Toykiao5x-02UG2Q_4_5"/>
      <w:bookmarkStart w:id="785" w:name="Tc_ZdazIcpu1EydQ9wwJddonw_4_2"/>
      <w:bookmarkStart w:id="786" w:name="Tc_U1T-JNSfoEeCTATX5hmrFQ_4_0"/>
      <w:bookmarkStart w:id="787" w:name="Tc_n6KIUc3YOkqA7GPSdQjLig_3_5"/>
      <w:bookmarkStart w:id="788" w:name="Tc_KKAIH2kCKkSuHeNpCGzLjg_3_2"/>
      <w:bookmarkStart w:id="789" w:name="Tc_gO1-xqA-f0aL89bM4M7Xzg_2_5"/>
      <w:bookmarkStart w:id="790" w:name="Tc_NxeG18l85kK_MWZ-Wd7_ow_2_2"/>
      <w:bookmarkStart w:id="791" w:name="Tc_qxrsLmRUpUm0F4WUCzq3pQ_1_2"/>
      <w:bookmarkStart w:id="792" w:name="_3d95aeb4_8976_44c5_9501_78b82425d041"/>
      <w:bookmarkEnd w:id="780"/>
      <w:bookmarkEnd w:id="781"/>
      <w:bookmarkEnd w:id="782"/>
      <w:bookmarkEnd w:id="783"/>
      <w:bookmarkEnd w:id="784"/>
      <w:bookmarkEnd w:id="785"/>
      <w:bookmarkEnd w:id="786"/>
      <w:bookmarkEnd w:id="787"/>
      <w:bookmarkEnd w:id="788"/>
      <w:bookmarkEnd w:id="789"/>
      <w:bookmarkEnd w:id="790"/>
      <w:bookmarkEnd w:id="791"/>
      <w:bookmarkEnd w:id="792"/>
      <w:r>
        <w:rPr>
          <w:rFonts w:ascii="Times New Roman;Times;serif" w:hAnsi="Times New Roman;Times;serif"/>
          <w:b/>
          <w:i w:val="false"/>
          <w:caps w:val="false"/>
          <w:smallCaps w:val="false"/>
          <w:sz w:val="20"/>
        </w:rPr>
        <w:t>11.</w:t>
      </w:r>
      <w:r>
        <w:rPr>
          <w:rFonts w:ascii="Times New Roman;Times;serif" w:hAnsi="Times New Roman;Times;serif"/>
          <w:b/>
          <w:sz w:val="20"/>
        </w:rPr>
        <w:t>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Company’s loss before income taxes is from the United States. The following table presents the components of the benefit for income taxes (in thousands):</w:t>
      </w:r>
    </w:p>
    <w:p>
      <w:pPr>
        <w:pStyle w:val="TextBody"/>
        <w:bidi w:val="0"/>
        <w:spacing w:before="0" w:after="0"/>
        <w:ind w:left="0" w:right="0" w:hanging="0"/>
        <w:jc w:val="left"/>
        <w:rPr/>
      </w:pPr>
      <w:r>
        <w:rPr/>
        <w:t>​</w:t>
      </w:r>
    </w:p>
    <w:tbl>
      <w:tblPr>
        <w:tblW w:w="5818" w:type="dxa"/>
        <w:jc w:val="left"/>
        <w:tblInd w:w="0" w:type="dxa"/>
        <w:tblLayout w:type="fixed"/>
        <w:tblCellMar>
          <w:top w:w="0" w:type="dxa"/>
          <w:left w:w="0" w:type="dxa"/>
          <w:bottom w:w="0" w:type="dxa"/>
          <w:right w:w="0" w:type="dxa"/>
        </w:tblCellMar>
      </w:tblPr>
      <w:tblGrid>
        <w:gridCol w:w="3046"/>
        <w:gridCol w:w="326"/>
        <w:gridCol w:w="211"/>
        <w:gridCol w:w="691"/>
        <w:gridCol w:w="326"/>
        <w:gridCol w:w="211"/>
        <w:gridCol w:w="691"/>
        <w:gridCol w:w="316"/>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934210" cy="175260"/>
                      <wp:effectExtent l="0" t="0" r="0" b="0"/>
                      <wp:wrapNone/>
                      <wp:docPr id="150" name="Frame149"/>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38785" cy="175260"/>
                      <wp:effectExtent l="0" t="0" r="0" b="0"/>
                      <wp:wrapNone/>
                      <wp:docPr id="153" name="Frame1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38785" cy="175260"/>
                      <wp:effectExtent l="0" t="0" r="0" b="0"/>
                      <wp:wrapNone/>
                      <wp:docPr id="156" name="Frame1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0660" cy="175260"/>
                      <wp:effectExtent l="0" t="0" r="0" b="0"/>
                      <wp:wrapNone/>
                      <wp:docPr id="157" name="Frame15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vAlign w:val="center"/>
          </w:tcPr>
          <w:p>
            <w:pPr>
              <w:pStyle w:val="TableContents"/>
              <w:bidi w:val="0"/>
              <w:spacing w:before="0" w:after="0"/>
              <w:ind w:left="0" w:right="0" w:hanging="0"/>
              <w:jc w:val="center"/>
              <w:rPr/>
            </w:pPr>
            <w:r>
              <w:rPr/>
              <w:t>​</w:t>
            </w:r>
          </w:p>
        </w:tc>
      </w:tr>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16" w:type="dxa"/>
            <w:tcBorders/>
            <w:vAlign w:val="center"/>
          </w:tcPr>
          <w:p>
            <w:pPr>
              <w:pStyle w:val="TableContents"/>
              <w:bidi w:val="0"/>
              <w:spacing w:before="0" w:after="0"/>
              <w:ind w:left="0" w:right="0" w:hanging="0"/>
              <w:jc w:val="left"/>
              <w:rPr/>
            </w:pPr>
            <w:r>
              <w:rPr/>
              <w:t> </w:t>
            </w:r>
          </w:p>
        </w:tc>
      </w:tr>
      <w:tr>
        <w:trPr/>
        <w:tc>
          <w:tcPr>
            <w:tcW w:w="30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 </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benefit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16" w:type="dxa"/>
            <w:tcBorders/>
            <w:vAlign w:val="center"/>
          </w:tcPr>
          <w:p>
            <w:pPr>
              <w:pStyle w:val="TableContents"/>
              <w:bidi w:val="0"/>
              <w:spacing w:before="0" w:after="0"/>
              <w:ind w:left="0" w:right="0" w:hanging="0"/>
              <w:jc w:val="left"/>
              <w:rPr/>
            </w:pPr>
            <w:r>
              <w:rPr/>
              <w:t>​</w:t>
            </w:r>
          </w:p>
        </w:tc>
      </w:tr>
      <w:tr>
        <w:trPr/>
        <w:tc>
          <w:tcPr>
            <w:tcW w:w="30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benefit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The Company utilized a discrete effective tax rate method, as allowed by ASC 740-270 “Income Taxes, Interim Reporting,” to calculate taxes for the period ended April 2, 2023. The Company’s pre-tax loss for the period ended April 2, 2023 relative to the Company’s projected pre-tax income for fiscal 2023 yielded an annual effective tax rate, which was not deemed to be appropriate or meaningful. The Company determined that small changes in estimated “ordinary” income would result in significant changes in the estimated annual effective tax rate, and therefore, the historical method would not provide a reliable estimate for the period ended April 2, 2023. At this time, based on evidence currently available, we consider it more likely than not that we will have sufficient taxable income in the future that will allow us to realize the DTAs; however, failure to generate sufficient taxable income could result in some or all DTAs not being utilized in the future. If we are unable to generate sufficient future taxable income, a valuation allowance to reduce our DTAs may be required which would materially increase our expenses in the period the allowance is recognized and materially adversely affect our results of operations and statement of financial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pre-tax loss for the period ended March 31, 2024 relative to the Company’s projected pre-tax income for fiscal 2024 yielded an annual effective tax rate, which was deemed to be appropriate and meaningful.  Based on this fact, the Company determined that the historical estimated annual effective tax rate method would provide a reliable estimate and was used for calculating the interim provision for the period ended March 31,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the thirteen weeks ended March 31, 2024, the Company's effective tax rate differs from the federal income tax rate of 21% primarily due to non-deductible executive compensation and non-deductible equity-based compensation expenses.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thirteen weeks ended April 2, 2023, the Company's effective tax rate differs from the federal income tax rate of 21% primarily due to the increase in the amount of non-deductible executive compensation, relative to the increase in loss before provision for income taxes.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Related Party Transactions</w:t>
      </w:r>
    </w:p>
    <w:p>
      <w:pPr>
        <w:pStyle w:val="TextBody"/>
        <w:bidi w:val="0"/>
        <w:spacing w:lineRule="auto" w:line="328" w:before="0" w:after="200"/>
        <w:ind w:left="0" w:right="0" w:hanging="0"/>
        <w:jc w:val="left"/>
        <w:rPr>
          <w:rFonts w:ascii="Times New Roman;Times;serif" w:hAnsi="Times New Roman;Times;serif"/>
          <w:b/>
          <w:i/>
          <w:sz w:val="20"/>
        </w:rPr>
      </w:pPr>
      <w:r>
        <w:rPr>
          <w:rFonts w:ascii="Times New Roman;Times;serif" w:hAnsi="Times New Roman;Times;serif"/>
          <w:b/>
          <w:i/>
          <w:sz w:val="20"/>
        </w:rPr>
        <w:t>Significant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shd w:fill="FFFFFF" w:val="clear"/>
        </w:rPr>
        <w:t>13.</w:t>
      </w:r>
      <w:r>
        <w:rPr>
          <w:rFonts w:ascii="Times New Roman;Times;serif" w:hAnsi="Times New Roman;Times;serif"/>
          <w:b/>
          <w:sz w:val="20"/>
        </w:rPr>
        <w:t>Subsequent Events</w:t>
      </w:r>
    </w:p>
    <w:p>
      <w:pPr>
        <w:pStyle w:val="TextBody"/>
        <w:bidi w:val="0"/>
        <w:spacing w:lineRule="auto" w:line="328" w:before="0" w:after="200"/>
        <w:ind w:left="0" w:right="0" w:hanging="0"/>
        <w:jc w:val="left"/>
        <w:rPr>
          <w:rFonts w:ascii="Times New Roman;Times;serif" w:hAnsi="Times New Roman;Times;serif"/>
          <w:b/>
          <w:i/>
          <w:sz w:val="20"/>
        </w:rPr>
      </w:pPr>
      <w:r>
        <w:rPr>
          <w:rFonts w:ascii="Times New Roman;Times;serif" w:hAnsi="Times New Roman;Times;serif"/>
          <w:b/>
          <w:i/>
          <w:sz w:val="20"/>
        </w:rPr>
        <w:t>Stock Repurchase Program</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3, 2024, the Company's Board of Directors authorized a stock repurchase program that will allow the Company to repurchase up to an aggregate amount of $2.5 million of its shares of common stock (the "Repurchase Program").  Under the Repurchase Program, the Company may repurchase shares of common stock from time to time in open market transactions or in privately negotiated transactions as permitted under applicable rules and regulations. The timing, volume and nature of such purchases will be determined at the sole discretion of the Company's management at prices the Company considers attractive and in the best interests of the Company, subject to the availability of stock, general market conditions, trading price, alternate uses for capital, the Company's financial performance, and applicable securities laws.  The Repurchase Program may be modified, extended or terminated by the Company’s Board of Directors at any time.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93" w:name="Item2ManagementsDiscussionandAnalysisofF"/>
      <w:bookmarkStart w:id="794" w:name="_d31270b7_3f3c_4502_b74a_3ecc8798f501"/>
      <w:bookmarkEnd w:id="793"/>
      <w:bookmarkEnd w:id="79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December 31, 2023, filed with the Securities and Exchange Commission (“SEC”) on March 6, 2024 (the “2023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of the 2023 10-K and other factors set forth in other parts of this Quarterly Report on Form 10-Q.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pBdr/>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Lulus is a customer-driven, primarily online, digitally-native, attainable luxury fashion brand for women, offering modern, unapologetically feminine designs at attainable prices for all of life’s fashionable moments. Our aim is to make every woman feel beautiful, celebrated and as if she’s the most special version of herself for every occasion – from work desk to dream date or cozied up on the couch to the spotlight of her wedding day. Lulus primarily serves a large, diverse community of Millennial and Gen Z women, who typically meet us in their 20s and stay with us through their 30s and beyond. We focus relentlessly on giving our customers what they want by using direct consumer feedback and insights to refine product offerings and elevate the customer experience. Lulus’ world class personal stylists, bridal concierge, and customer care team share an unwavering commitment to elevating style and quality and bring exceptional customer service and personalized shopping to customers around the world.</w:t>
      </w:r>
    </w:p>
    <w:p>
      <w:pPr>
        <w:pStyle w:val="TextBody"/>
        <w:shd w:fill="FFFFFF" w:val="clea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Impact of the COVID-19 Pandemic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has largely recovered from the significant impacts stemming from the COVID-19 pandemic that reduced demand for our product and disrupted the supply chain during 2020 and 2021.  For additional discussion of risks related to the COVID-19 pandemic see </w:t>
      </w:r>
      <w:r>
        <w:rPr>
          <w:rFonts w:ascii="Times New Roman;Times;serif" w:hAnsi="Times New Roman;Times;serif"/>
          <w:sz w:val="20"/>
          <w:shd w:fill="FFFFFF" w:val="clear"/>
        </w:rPr>
        <w:t>“Risk Factors—Risks Related to our Business— A global health emergency or epidemics or pandemics like resurgence of COVID-19 and post COVID-19 pandemic environment could have a material adverse effect on our business, and it remains uncertain how they will impact our supply chain and consumer demand for our products” in Item 1, Part 1A of the 2023 10-K.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Impact of Macroeconomic Trends on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Changing macroeconomic factors, including inflation, interest rates, and overall consumer confidence with respect to current and future economic conditions, have directly impacted our sales in the first three months of 2024 as discretionary consumer spending levels and shopping behavior fluctuate with these factors. During the first three months of 2024, we have responded to these factors by taking appropriate pricing, promotional and other actions to stimulate customer demand. These factors are expected to continue to have an impact on our business, results of operations, our growth and financial condition.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on a going concern basis, which contemplates the realization of assets and the satisfaction of liabilities in the normal course of business. As of March 31, 2024, we had total cash and cash equivalents of $5.5 million and amounts due under the revolving line of credit of $6.0 million.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November 2021, we entered into a Credit Agreement to provide the Revolving Facility that provides for borrowings up to $50.0 million. The credit agreement contains various financial covenants and matures on November 15, 2024 as described in Note 5, </w:t>
      </w:r>
      <w:r>
        <w:rPr>
          <w:rFonts w:ascii="Times New Roman;Times;serif" w:hAnsi="Times New Roman;Times;serif"/>
          <w:i/>
          <w:sz w:val="20"/>
        </w:rPr>
        <w:t>Debt</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evaluating sources of debt financing. However, we believe the cash on hand and cash provided by operations in conjunction with certain cash conservation measures to be taken as necessary, including adjustments to marketing and other variable and capital spend, will enable us to meet our obligations as they become due within one year. The condensed consolidated financial statements do not reflect any adjustments relating to the outcome of this uncertainty.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and Financial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and analyze operating and financial data to assess the performance of our business and optimize resource allocation. The following table sets forth our key performance indicators for the periods presented.</w:t>
      </w:r>
    </w:p>
    <w:tbl>
      <w:tblPr>
        <w:tblW w:w="7568" w:type="dxa"/>
        <w:jc w:val="left"/>
        <w:tblInd w:w="0" w:type="dxa"/>
        <w:tblLayout w:type="fixed"/>
        <w:tblCellMar>
          <w:top w:w="0" w:type="dxa"/>
          <w:left w:w="0" w:type="dxa"/>
          <w:bottom w:w="0" w:type="dxa"/>
          <w:right w:w="0" w:type="dxa"/>
        </w:tblCellMar>
      </w:tblPr>
      <w:tblGrid>
        <w:gridCol w:w="2491"/>
        <w:gridCol w:w="326"/>
        <w:gridCol w:w="376"/>
        <w:gridCol w:w="1127"/>
        <w:gridCol w:w="644"/>
        <w:gridCol w:w="260"/>
        <w:gridCol w:w="376"/>
        <w:gridCol w:w="1127"/>
        <w:gridCol w:w="650"/>
        <w:gridCol w:w="19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581785" cy="175260"/>
                      <wp:effectExtent l="0" t="0" r="0" b="0"/>
                      <wp:wrapNone/>
                      <wp:docPr id="158" name="Frame157"/>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38760" cy="175260"/>
                      <wp:effectExtent l="0" t="0" r="0" b="0"/>
                      <wp:wrapNone/>
                      <wp:docPr id="160" name="Frame159"/>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15645" cy="175260"/>
                      <wp:effectExtent l="0" t="0" r="0" b="0"/>
                      <wp:wrapNone/>
                      <wp:docPr id="161" name="Frame160"/>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08940" cy="175260"/>
                      <wp:effectExtent l="0" t="0" r="0" b="0"/>
                      <wp:wrapNone/>
                      <wp:docPr id="162" name="Frame161"/>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65100" cy="175260"/>
                      <wp:effectExtent l="0" t="0" r="0" b="0"/>
                      <wp:wrapNone/>
                      <wp:docPr id="163" name="Frame16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38760" cy="175260"/>
                      <wp:effectExtent l="0" t="0" r="0" b="0"/>
                      <wp:wrapNone/>
                      <wp:docPr id="164" name="Frame16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15645" cy="175260"/>
                      <wp:effectExtent l="0" t="0" r="0" b="0"/>
                      <wp:wrapNone/>
                      <wp:docPr id="165" name="Frame164"/>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12750" cy="175260"/>
                      <wp:effectExtent l="0" t="0" r="0" b="0"/>
                      <wp:wrapNone/>
                      <wp:docPr id="166" name="Frame165"/>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1285" cy="175260"/>
                      <wp:effectExtent l="0" t="0" r="0" b="0"/>
                      <wp:wrapNone/>
                      <wp:docPr id="167" name="Frame16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6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91"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7"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260" w:type="dxa"/>
            <w:tcBorders/>
            <w:vAlign w:val="center"/>
          </w:tcPr>
          <w:p>
            <w:pPr>
              <w:pStyle w:val="TableContents"/>
              <w:bidi w:val="0"/>
              <w:spacing w:before="0" w:after="0"/>
              <w:ind w:left="0" w:right="0" w:hanging="0"/>
              <w:jc w:val="left"/>
              <w:rPr/>
            </w:pPr>
            <w:r>
              <w:rPr/>
              <w:t>​</w:t>
            </w:r>
          </w:p>
        </w:tc>
        <w:tc>
          <w:tcPr>
            <w:tcW w:w="215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7"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0" w:type="dxa"/>
            <w:tcBorders/>
            <w:vAlign w:val="center"/>
          </w:tcPr>
          <w:p>
            <w:pPr>
              <w:pStyle w:val="TableContents"/>
              <w:bidi w:val="0"/>
              <w:spacing w:before="0" w:after="0"/>
              <w:ind w:left="0" w:right="0" w:hanging="0"/>
              <w:jc w:val="left"/>
              <w:rPr/>
            </w:pPr>
            <w:r>
              <w:rPr/>
              <w:t>​</w:t>
            </w:r>
          </w:p>
        </w:tc>
        <w:tc>
          <w:tcPr>
            <w:tcW w:w="21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w:t>
            </w:r>
          </w:p>
        </w:tc>
      </w:tr>
      <w:tr>
        <w:trPr/>
        <w:tc>
          <w:tcPr>
            <w:tcW w:w="756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6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 except percentages and Average Order Value)</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 </w:t>
            </w:r>
          </w:p>
        </w:tc>
        <w:tc>
          <w:tcPr>
            <w:tcW w:w="11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6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0"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6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c>
          <w:tcPr>
            <w:tcW w:w="644"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650"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(1)</w:t>
            </w:r>
          </w:p>
        </w:tc>
        <w:tc>
          <w:tcPr>
            <w:tcW w:w="32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c>
          <w:tcPr>
            <w:tcW w:w="644"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650"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 (1)</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c>
          <w:tcPr>
            <w:tcW w:w="11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6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0"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 </w:t>
            </w:r>
          </w:p>
        </w:tc>
        <w:tc>
          <w:tcPr>
            <w:tcW w:w="1127" w:type="dxa"/>
            <w:tcBorders/>
            <w:vAlign w:val="center"/>
          </w:tcPr>
          <w:p>
            <w:pPr>
              <w:pStyle w:val="TableContents"/>
              <w:bidi w:val="0"/>
              <w:spacing w:before="0" w:after="0"/>
              <w:ind w:left="0" w:right="0" w:hanging="0"/>
              <w:jc w:val="right"/>
              <w:rPr/>
            </w:pPr>
            <w:r>
              <w:rPr/>
              <w:t>—</w:t>
            </w:r>
          </w:p>
        </w:tc>
        <w:tc>
          <w:tcPr>
            <w:tcW w:w="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Active Customers </w:t>
            </w:r>
          </w:p>
        </w:tc>
        <w:tc>
          <w:tcPr>
            <w:tcW w:w="326"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2,770</w:t>
            </w:r>
          </w:p>
        </w:tc>
        <w:tc>
          <w:tcPr>
            <w:tcW w:w="644"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w:t>
            </w:r>
          </w:p>
        </w:tc>
        <w:tc>
          <w:tcPr>
            <w:tcW w:w="65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Order Value</w:t>
            </w:r>
          </w:p>
        </w:tc>
        <w:tc>
          <w:tcPr>
            <w:tcW w:w="32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644"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650"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8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For a reconciliation of non-GAAP financial measures to the most directly comparable GAAP financial measure and why we consider them useful, see “Management’s Discussion and Analysis of Financial Condition and Results of Operations-Non-GAAP Financial Measures.”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Active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Active Customers as the number of customers who have made at least one purchase across our platform in the prior 12-month period. Active Customer count is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Average Order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Average Order Value (“AOV”) as the sum of the total gross sales before returns across our platform in a given period, plus shipping revenue, less discounts and markdowns, divided by the Total Orders Placed (as defined below) in that period. AOV reflects average basket size of our customers. AOV may fluctuate as we continue investing in the development and introduction of new Lulus merchandise and as a result of our promotional discount activity.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Orders Placed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 Adjusted EBITDA Margin and Free Cash Flow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Adjusted EBITDA is a non-GAAP financial measure that we calculate as loss before interest expense, income taxes, depreciation and amortization and adjusted to exclude the effects of equity-based compensation expense. Adjusted EBITDA is a key measure used by management to evaluate our operating performance, generate future operating plans and make strategic decisions regarding the allocation of capital.</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 xml:space="preserve">To supplement our condensed consolidated financial statements which are prepared in accordance with GAAP, we use “Adjusted EBITDA”, “Adjusted EBITDA Margin” </w:t>
      </w:r>
      <w:r>
        <w:rPr>
          <w:rFonts w:ascii="Times New Roman;Times;serif" w:hAnsi="Times New Roman;Times;serif"/>
          <w:sz w:val="20"/>
          <w:shd w:fill="FFFFFF" w:val="clear"/>
        </w:rPr>
        <w:t xml:space="preserve">(collectively referred to as “Adjusted EBITDA”) and “Free Cash Flow” </w:t>
      </w:r>
      <w:r>
        <w:rPr>
          <w:rFonts w:ascii="Times New Roman;Times;serif" w:hAnsi="Times New Roman;Times;serif"/>
          <w:sz w:val="20"/>
        </w:rPr>
        <w:t>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interest expense, or the cash requirements necessary to service interest or principal payments on our debt;</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tax expense or the cash requirements to pay our taxes;</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certain non-routine items that may represent a reduction in cash available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depreciation and amortization are non-cash charges, the assets being depreciated and amortized will often have to be replaced in the future and such measures do not reflect any cash requirements for such replacements; </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Free Cash Flow does not represent the total residual cash flow available for discretionary purposes; </w:t>
            </w:r>
            <w:r>
              <w:rPr>
                <w:rFonts w:ascii="Times New Roman;Times;serif" w:hAnsi="Times New Roman;Times;serif"/>
                <w:b w:val="false"/>
                <w:i w:val="false"/>
                <w:caps w:val="false"/>
                <w:smallCaps w:val="false"/>
                <w:sz w:val="20"/>
              </w:rPr>
              <w:t>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such measures differently than we do, limiting their usefulness as comparative measures.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32"/>
        <w:jc w:val="both"/>
        <w:rPr>
          <w:rFonts w:ascii="Times New Roman;Times;serif" w:hAnsi="Times New Roman;Times;serif"/>
          <w:sz w:val="20"/>
          <w:shd w:fill="FFFFFF" w:val="clear"/>
        </w:rPr>
      </w:pPr>
      <w:r>
        <w:rPr>
          <w:rFonts w:ascii="Times New Roman;Times;serif" w:hAnsi="Times New Roman;Times;serif"/>
          <w:sz w:val="20"/>
          <w:shd w:fill="FFFFFF" w:val="clear"/>
        </w:rPr>
        <w:t>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and equity-based compensation expense.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reconciliation for Adjusted EBITDA and Adjusted EBITDA Margin:</w:t>
      </w:r>
    </w:p>
    <w:tbl>
      <w:tblPr>
        <w:tblW w:w="6386" w:type="dxa"/>
        <w:jc w:val="left"/>
        <w:tblInd w:w="0" w:type="dxa"/>
        <w:tblLayout w:type="fixed"/>
        <w:tblCellMar>
          <w:top w:w="0" w:type="dxa"/>
          <w:left w:w="0" w:type="dxa"/>
          <w:bottom w:w="0" w:type="dxa"/>
          <w:right w:w="0" w:type="dxa"/>
        </w:tblCellMar>
      </w:tblPr>
      <w:tblGrid>
        <w:gridCol w:w="3361"/>
        <w:gridCol w:w="326"/>
        <w:gridCol w:w="211"/>
        <w:gridCol w:w="691"/>
        <w:gridCol w:w="271"/>
        <w:gridCol w:w="109"/>
        <w:gridCol w:w="211"/>
        <w:gridCol w:w="691"/>
        <w:gridCol w:w="361"/>
        <w:gridCol w:w="154"/>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34235" cy="175260"/>
                      <wp:effectExtent l="0" t="0" r="0" b="0"/>
                      <wp:wrapNone/>
                      <wp:docPr id="168" name="Frame167"/>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38785" cy="175260"/>
                      <wp:effectExtent l="0" t="0" r="0" b="0"/>
                      <wp:wrapNone/>
                      <wp:docPr id="171" name="Frame1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72085" cy="175260"/>
                      <wp:effectExtent l="0" t="0" r="0" b="0"/>
                      <wp:wrapNone/>
                      <wp:docPr id="172" name="Frame17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38785" cy="175260"/>
                      <wp:effectExtent l="0" t="0" r="0" b="0"/>
                      <wp:wrapNone/>
                      <wp:docPr id="175" name="Frame1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29235" cy="175260"/>
                      <wp:effectExtent l="0" t="0" r="0" b="0"/>
                      <wp:wrapNone/>
                      <wp:docPr id="176" name="Frame1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7790" cy="175260"/>
                      <wp:effectExtent l="0" t="0" r="0" b="0"/>
                      <wp:wrapNone/>
                      <wp:docPr id="177" name="Frame17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6386"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361"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 expense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(1) </w:t>
            </w:r>
          </w:p>
        </w:tc>
        <w:tc>
          <w:tcPr>
            <w:tcW w:w="9893" w:type="dxa"/>
            <w:tcBorders/>
            <w:vAlign w:val="center"/>
          </w:tcPr>
          <w:p>
            <w:pPr>
              <w:pStyle w:val="TableContents"/>
              <w:bidi w:val="0"/>
              <w:spacing w:before="0" w:after="240"/>
              <w:jc w:val="both"/>
              <w:rPr>
                <w:rFonts w:ascii="Times New Roman;Times;serif" w:hAnsi="Times New Roman;Times;serif"/>
                <w:sz w:val="20"/>
                <w:shd w:fill="FFFFFF" w:val="clear"/>
              </w:rPr>
            </w:pPr>
            <w:r>
              <w:rPr>
                <w:rFonts w:ascii="Times New Roman;Times;serif" w:hAnsi="Times New Roman;Times;serif"/>
                <w:sz w:val="20"/>
                <w:shd w:fill="FFFFFF" w:val="clear"/>
              </w:rPr>
              <w:t>The thirteen weeks ended March 31, 2024 includes equity-based compensation expense for performance stock units (“PSUs”) and restricted stock units (“RSUs”) granted during the period, as well as equity-based awards granted in prior periods. The thirteen weeks ended April 2, 2023 include equity-based compensation expense for RSU and PSU awards granted during the period, as well as equity-based awards granted in prior periods.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Free Cash Flow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is a non-GAAP financial measure that we calculate as net cash provided by operating activities less cash used for capitalized software development costs and purchases of property and equipment.  We view Free Cash Flow as an important indicator of our liquidity because it measures the amount of cash we generate.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reconciliation to non-GAAP Free Cash Flow from net cash provided by operating activities for the thirteen weeks ended March 31, 2024 and April 2, 2023 is as follows:</w:t>
      </w:r>
    </w:p>
    <w:tbl>
      <w:tblPr>
        <w:tblW w:w="6167" w:type="dxa"/>
        <w:jc w:val="left"/>
        <w:tblInd w:w="0" w:type="dxa"/>
        <w:tblLayout w:type="fixed"/>
        <w:tblCellMar>
          <w:top w:w="0" w:type="dxa"/>
          <w:left w:w="0" w:type="dxa"/>
          <w:bottom w:w="0" w:type="dxa"/>
          <w:right w:w="0" w:type="dxa"/>
        </w:tblCellMar>
      </w:tblPr>
      <w:tblGrid>
        <w:gridCol w:w="3466"/>
        <w:gridCol w:w="109"/>
        <w:gridCol w:w="339"/>
        <w:gridCol w:w="921"/>
        <w:gridCol w:w="112"/>
        <w:gridCol w:w="287"/>
        <w:gridCol w:w="779"/>
        <w:gridCol w:w="154"/>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00910" cy="175260"/>
                      <wp:effectExtent l="0" t="0" r="0" b="0"/>
                      <wp:wrapNone/>
                      <wp:docPr id="178" name="Frame177"/>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5265" cy="175260"/>
                      <wp:effectExtent l="0" t="0" r="0" b="0"/>
                      <wp:wrapNone/>
                      <wp:docPr id="180" name="Frame179"/>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84835" cy="175260"/>
                      <wp:effectExtent l="0" t="0" r="0" b="0"/>
                      <wp:wrapNone/>
                      <wp:docPr id="181" name="Frame180"/>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1120" cy="175260"/>
                      <wp:effectExtent l="0" t="0" r="0" b="0"/>
                      <wp:wrapNone/>
                      <wp:docPr id="182" name="Frame181"/>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82245" cy="175260"/>
                      <wp:effectExtent l="0" t="0" r="0" b="0"/>
                      <wp:wrapNone/>
                      <wp:docPr id="183" name="Frame182"/>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4665" cy="175260"/>
                      <wp:effectExtent l="0" t="0" r="0" b="0"/>
                      <wp:wrapNone/>
                      <wp:docPr id="184" name="Frame183"/>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7790" cy="175260"/>
                      <wp:effectExtent l="0" t="0" r="0" b="0"/>
                      <wp:wrapNone/>
                      <wp:docPr id="185" name="Frame18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12"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 2023</w:t>
            </w:r>
          </w:p>
        </w:tc>
        <w:tc>
          <w:tcPr>
            <w:tcW w:w="154"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w:t>
            </w:r>
          </w:p>
        </w:tc>
        <w:tc>
          <w:tcPr>
            <w:tcW w:w="112"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development costs</w:t>
            </w:r>
          </w:p>
        </w:tc>
        <w:tc>
          <w:tcPr>
            <w:tcW w:w="109"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112"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154"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c>
          <w:tcPr>
            <w:tcW w:w="112" w:type="dxa"/>
            <w:tcBorders/>
            <w:shd w:fill="CCEEFF" w:val="clear"/>
            <w:vAlign w:val="center"/>
          </w:tcPr>
          <w:p>
            <w:pPr>
              <w:pStyle w:val="TableContents"/>
              <w:bidi w:val="0"/>
              <w:spacing w:before="0" w:after="0"/>
              <w:ind w:left="0" w:right="0" w:hanging="0"/>
              <w:jc w:val="righ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109" w:type="dxa"/>
            <w:tcBorders/>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5,988</w:t>
            </w:r>
          </w:p>
        </w:tc>
        <w:tc>
          <w:tcPr>
            <w:tcW w:w="112" w:type="dxa"/>
            <w:tcBorders/>
            <w:vAlign w:val="center"/>
          </w:tcPr>
          <w:p>
            <w:pPr>
              <w:pStyle w:val="TableContents"/>
              <w:bidi w:val="0"/>
              <w:spacing w:before="0" w:after="0"/>
              <w:ind w:left="0" w:right="0" w:hanging="0"/>
              <w:jc w:val="righ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financial condition and results of operations have been, and will continue to be, affected by a number of factors that present significant opportunities for us but also pose risks and challenges, including what is discussed below. See Part I, “Item 1A. Risk Factors” in our 2023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Acquisition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Retention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 During the trailing 12 months ended March 31, 2024, we served 2.8 million Active Customers compared to 3.2 million for the trailing 12 months ended April 2,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Our Operations and Infrastructure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will continue to invest in our operations and infrastructure to facilitate further growth of our business. While we expect our expenses to increase accordingly, we will harness the strength of our existing platform and our on-trend fashion expertise to make informed investment decisions. We intend to invest in headcount, inventory, fulfillment, logistics, and our software and data capabilities in order to improve our platform, expand into international markets, and drive operational efficiencies. We cannot guarantee that increased spending on these investments will be cost effective or result in future growth in our customer base. However, we set a high bar for approval of any capital spending initiative. We believe that our disciplined approach to capital spending will enable us to generate positive returns on our investments over the long term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 and Gross Margin</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as we scale, our Gross Margin may fluctuate from period to period depending on the interplay of these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 our obligations as a public company.</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Since our IPO, we have incurred significant legal, accounting, and other expenses that we did not incur as a private company. We expect that compliance with the Sarbanes-Oxley Act and the Dodd-Frank Wall Street Reform and Consumer Protection Act, as well as rules and regulations subsequently implemented by the SEC, will continue to increase our legal and financial compliance costs and will make some activities more time consuming and costly. </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consists of interest expense related to the 2021 Revolving Facility.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 Benefit</w:t>
      </w:r>
    </w:p>
    <w:p>
      <w:pPr>
        <w:pStyle w:val="TextBody"/>
        <w:bidi w:val="0"/>
        <w:spacing w:before="28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benefit for income taxes represents federal, state, and local income taxes. The effective rate differs from the statutory rate primarily due to non-deductible equity-based compensation expenses, non-deductible officer compensation, and state taxes. Our effective tax rate will change from quarter to quarter based on recurring and nonrecurring factors including, but not limited to, the geographical mix of earnings, enacted tax legislation, state and local income taxes, the impact of permanent tax adjustments, and the interaction of various tax strategies.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tables set forth our consolidated results of operations for the periods presented and as a percentage of net revenue and net loss:</w:t>
      </w:r>
    </w:p>
    <w:tbl>
      <w:tblPr>
        <w:tblW w:w="5881" w:type="dxa"/>
        <w:jc w:val="left"/>
        <w:tblInd w:w="0" w:type="dxa"/>
        <w:tblLayout w:type="fixed"/>
        <w:tblCellMar>
          <w:top w:w="0" w:type="dxa"/>
          <w:left w:w="0" w:type="dxa"/>
          <w:bottom w:w="0" w:type="dxa"/>
          <w:right w:w="0" w:type="dxa"/>
        </w:tblCellMar>
      </w:tblPr>
      <w:tblGrid>
        <w:gridCol w:w="3091"/>
        <w:gridCol w:w="326"/>
        <w:gridCol w:w="301"/>
        <w:gridCol w:w="691"/>
        <w:gridCol w:w="109"/>
        <w:gridCol w:w="301"/>
        <w:gridCol w:w="691"/>
        <w:gridCol w:w="3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962785" cy="175260"/>
                      <wp:effectExtent l="0" t="0" r="0" b="0"/>
                      <wp:wrapNone/>
                      <wp:docPr id="186" name="Frame18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91135" cy="175260"/>
                      <wp:effectExtent l="0" t="0" r="0" b="0"/>
                      <wp:wrapNone/>
                      <wp:docPr id="188" name="Frame18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38785" cy="175260"/>
                      <wp:effectExtent l="0" t="0" r="0" b="0"/>
                      <wp:wrapNone/>
                      <wp:docPr id="189" name="Frame1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91135" cy="175260"/>
                      <wp:effectExtent l="0" t="0" r="0" b="0"/>
                      <wp:wrapNone/>
                      <wp:docPr id="191" name="Frame19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8785" cy="175260"/>
                      <wp:effectExtent l="0" t="0" r="0" b="0"/>
                      <wp:wrapNone/>
                      <wp:docPr id="192" name="Frame1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35585" cy="175260"/>
                      <wp:effectExtent l="0" t="0" r="0" b="0"/>
                      <wp:wrapNone/>
                      <wp:docPr id="193" name="Frame19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77,259</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90,976</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44,613</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53,015</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37,961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17,693</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19,489</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21,111</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(6,158)</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(5,876)</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(5,618)</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5716" w:type="dxa"/>
        <w:jc w:val="left"/>
        <w:tblInd w:w="0" w:type="dxa"/>
        <w:tblLayout w:type="fixed"/>
        <w:tblCellMar>
          <w:top w:w="0" w:type="dxa"/>
          <w:left w:w="0" w:type="dxa"/>
          <w:bottom w:w="0" w:type="dxa"/>
          <w:right w:w="0" w:type="dxa"/>
        </w:tblCellMar>
      </w:tblPr>
      <w:tblGrid>
        <w:gridCol w:w="3091"/>
        <w:gridCol w:w="326"/>
        <w:gridCol w:w="482"/>
        <w:gridCol w:w="373"/>
        <w:gridCol w:w="326"/>
        <w:gridCol w:w="421"/>
        <w:gridCol w:w="326"/>
        <w:gridCol w:w="3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962785" cy="175260"/>
                      <wp:effectExtent l="0" t="0" r="0" b="0"/>
                      <wp:wrapNone/>
                      <wp:docPr id="194" name="Frame19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06070" cy="175260"/>
                      <wp:effectExtent l="0" t="0" r="0" b="0"/>
                      <wp:wrapNone/>
                      <wp:docPr id="196" name="Frame195"/>
                      <a:graphic xmlns:a="http://schemas.openxmlformats.org/drawingml/2006/main">
                        <a:graphicData uri="http://schemas.microsoft.com/office/word/2010/wordprocessingShape">
                          <wps:wsp>
                            <wps:cNvSpPr txBox="1"/>
                            <wps:spPr>
                              <a:xfrm>
                                <a:off x="0" y="0"/>
                                <a:ext cx="30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36855" cy="175260"/>
                      <wp:effectExtent l="0" t="0" r="0" b="0"/>
                      <wp:wrapNone/>
                      <wp:docPr id="197" name="Frame196"/>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67335" cy="175260"/>
                      <wp:effectExtent l="0" t="0" r="0" b="0"/>
                      <wp:wrapNone/>
                      <wp:docPr id="199" name="Frame19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35585" cy="175260"/>
                      <wp:effectExtent l="0" t="0" r="0" b="0"/>
                      <wp:wrapNone/>
                      <wp:docPr id="201" name="Frame20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left"/>
              <w:rPr/>
            </w:pPr>
            <w:r>
              <w:rPr/>
              <w:t>​</w:t>
            </w:r>
          </w:p>
        </w:tc>
        <w:tc>
          <w:tcPr>
            <w:tcW w:w="7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73"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w:t>
            </w:r>
          </w:p>
        </w:tc>
        <w:tc>
          <w:tcPr>
            <w:tcW w:w="4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pPr>
            <w:r>
              <w:rPr/>
              <w:t>—</w:t>
            </w:r>
          </w:p>
        </w:tc>
        <w:tc>
          <w:tcPr>
            <w:tcW w:w="3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7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0"/>
              <w:ind w:left="0" w:right="0" w:hanging="0"/>
              <w:jc w:val="left"/>
              <w:rPr/>
            </w:pPr>
            <w:r>
              <w:rPr/>
              <w:t>​</w:t>
            </w:r>
          </w:p>
        </w:tc>
        <w:tc>
          <w:tcPr>
            <w:tcW w:w="4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4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Thirteen Weeks Ended March 31, 2024 and April 2, 2023</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Net revenue decreased in the thirteen weeks ended March 31, 2024 by $13.7 million, or 15%, compared to the thirteen weeks ended April 2, 2023. The decrease is primarily the result of a 17% decrease in Total Orders Placed, as well as higher return rates, partially offset by higher AOV compared to the thirteen weeks ended April 2, 2023. </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decreased in the thirteen weeks ended March 31, 2024 compared to the same period of the prior year by $8.4 million, or 16%, compared to the same period last year, which was primarily driven by the impact of lower net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i/>
          <w:sz w:val="20"/>
        </w:rPr>
      </w:pPr>
      <w:bookmarkStart w:id="795" w:name="_Hlk140732571"/>
      <w:bookmarkEnd w:id="795"/>
      <w:r>
        <w:rPr>
          <w:rFonts w:ascii="Times New Roman;Times;serif" w:hAnsi="Times New Roman;Times;serif"/>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decreased in the thirteen weeks ended March 31, 2024 by $1.8 million, or 9%, compared to the thirteen weeks ended April 2, 2023 due to lower  marketing spend and favorability in merchant processing fees due to the lower sales volume.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decreased by $3.2 million in the thirteen weeks ended March 31, 2024, or 13%, compared to the thirteen weeks ended April 2, 2023. The decrease was primarily due to $2.8 million decrease in stock based compensation expense and a decrease of $0.8 million in variable labor and benefits associated with lower sales volume and operational efficiencies.  This was partially offset by an increase in fixed labor and benefits.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Interest expense decreased in the thirteen weeks ended March 31, 2024 by $0.1 million, or 27%, compared to the thirteen weeks ended April 2, 2023. The decrease is attributable to lower average borrowings related to the Revolving Facility.</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Income Tax Benefit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Income tax benefit in the thirteen weeks ended March 31, 2024 decreased by $0.1 million to a benefit of $0.6 million, compared to a benefit of $0.7 million in the thirteen weeks ended April 2, 2023.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Quarterly Trends and Seasonality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experience moderate seasonal fluctuations in aggregate sales volume during the year. Seasonality in our business does not follow that of traditional retailers, such as a typical concentration of revenue in the holiday quarter. In 2023, consistent with most years, our net revenue was the highest during the second quarter due to the typically higher demand for event dresses in the spring and summer.  Net revenue was the lowest during the fourth quarter given we are not a holiday gifting destination and event dress demand is typically lower during that time of year.   </w:t>
      </w:r>
      <w:r>
        <w:rPr>
          <w:rFonts w:ascii="Times New Roman;Times;serif" w:hAnsi="Times New Roman;Times;serif"/>
          <w:sz w:val="20"/>
          <w:shd w:fill="FFFFFF" w:val="clear"/>
        </w:rPr>
        <w:t>The seasonality of our business has resulted in variability in our total net revenue quarter-to-quarter.  We believe that this seasonality has affected and will continue to affect our results of operations.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quarterly gross profit fluctuates primarily based on how we manage our inventory and merchandise mix and has typically been in line with fluctuations in net revenue. When quarterly gross profit fluctuations have deviated relative to the fluctuations in sales, these situations have been driven by non-recurring, external factors, such as the COVID-19 pandemic.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 costs and vary quarter to quarter due to changes in the number of seasonal workers to meet demand based on our seasonality.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sources of liquidity and capital resources are cash generated from operating activities and borrowings under our Revolving Facility. Our primary requirements for liquidity and capital are inventory purchases, payroll and general operating expenses, capital expenditures associated with distribution, network expansion and capitalized software and debt service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Credit Facilities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November 2021, we entered into the 2021 Credit Agreement with Bank of America to provide a revolving facility that provides for borrowings up to $50.0 million. During the term of the 2021 Credit Agreement, we may increase the aggregate amount of the 2021 Revolving Facility up to an additional $25.0 million (for maximum aggregate lender commitments of up to $75.0 million), subject to the satisfaction of certain conditions under the 2021 Credit Agreement, including obtaining the consent of the administrative agent and an increased commitment from existing or new lenders. In addition, the 2021 Credit Agreement may be used to issue letters of credit up to $7.5 million. During the thirteen weeks ended March 31, 2024, the Company borrowed $10.0 million under the 2021 Revolving Facility and repaid $12.0 million of the outstanding balance. The 2021 Revolving Facility matures on November 15, 2024, while the Letter of Credit matures on November 8, 2024. As of March 31, 2024, we had $6.0 million outstanding under the 2021 Revolving Facility and had utilized $0.3 million under the Letter of Credit. Subject to the satisfaction of certain conditions under the 2021 Credit Agreement, as of March 31, 2024, the Company had $43.7 million available for borrowing under the 2021 Revolving Facility and $7.2 million available to issue letters of credit. For further information on the 2021 Credit Agreement and Revolving Facility, see Note 5, </w:t>
      </w:r>
      <w:r>
        <w:rPr>
          <w:rFonts w:ascii="Times New Roman;Times;serif" w:hAnsi="Times New Roman;Times;serif"/>
          <w:i/>
          <w:sz w:val="20"/>
        </w:rPr>
        <w:t>Debt</w:t>
      </w:r>
      <w:r>
        <w:rPr>
          <w:rFonts w:ascii="Times New Roman;Times;serif" w:hAnsi="Times New Roman;Times;serif"/>
          <w:sz w:val="20"/>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2021 Revolving Facility matures on November 15, 2024</w:t>
      </w:r>
      <w:r>
        <w:rPr>
          <w:rFonts w:ascii="Times New Roman;Times;serif" w:hAnsi="Times New Roman;Times;serif"/>
          <w:sz w:val="20"/>
        </w:rPr>
        <w:t>, and borrowings thereunder will accrue interest at a rate equal to, at our option, either (x) the term SOFR rate, plus the applicable SOFR adjustment plus a margin of 1.75% per annum or (y) the base rate plus a margin of 0.75% (with the base rate being the highest of the federal funds rate plus 0.50%, the prime rate and term SOFR for a period of one month plus 1.00%). The 2021 Revolving Facility contains a financial maintenance covenant requiring a maximum total leverage ratio of no more than 2.50:1.00, stepping down to 2.00:1.00 after 18 months. A commitment fee of 37.5 basis points will be assessed on unused commitments under the 2021 Revolving Facility.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Availability and Use of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March 31, 2024, we had cash and cash equivalents of $5.4 million. We believe that our cash and cash equivalents, cash flows from operations and the available borrowings under our Revolving Facility, will be sufficient to meet our capital expenditures, working capital needs and debt repayments for at least the next 12 months from the date of this Quarterly Report on Form 10-Q. However, we cannot ensure that our business will generate sufficient cash flow from operating activities or that future borrowings will be available under our borrowing agreements in amounts sufficient to pay indebtedness or fund other working capital needs. Actual results of operations will depend on numerous factors, many of which are beyond our control, as further discussed in Part I, Item 1A, “Risk Factors” included in our 2023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Analysis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8176" w:type="dxa"/>
        <w:jc w:val="left"/>
        <w:tblInd w:w="0" w:type="dxa"/>
        <w:tblLayout w:type="fixed"/>
        <w:tblCellMar>
          <w:top w:w="0" w:type="dxa"/>
          <w:left w:w="0" w:type="dxa"/>
          <w:bottom w:w="0" w:type="dxa"/>
          <w:right w:w="0" w:type="dxa"/>
        </w:tblCellMar>
      </w:tblPr>
      <w:tblGrid>
        <w:gridCol w:w="5566"/>
        <w:gridCol w:w="326"/>
        <w:gridCol w:w="211"/>
        <w:gridCol w:w="691"/>
        <w:gridCol w:w="326"/>
        <w:gridCol w:w="211"/>
        <w:gridCol w:w="691"/>
        <w:gridCol w:w="154"/>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534410" cy="175260"/>
                      <wp:effectExtent l="0" t="0" r="0" b="0"/>
                      <wp:wrapNone/>
                      <wp:docPr id="202" name="Frame201"/>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38785" cy="175260"/>
                      <wp:effectExtent l="0" t="0" r="0" b="0"/>
                      <wp:wrapNone/>
                      <wp:docPr id="205" name="Frame2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38785" cy="175260"/>
                      <wp:effectExtent l="0" t="0" r="0" b="0"/>
                      <wp:wrapNone/>
                      <wp:docPr id="208" name="Frame2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7790" cy="175260"/>
                      <wp:effectExtent l="0" t="0" r="0" b="0"/>
                      <wp:wrapNone/>
                      <wp:docPr id="209" name="Frame20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54" w:type="dxa"/>
            <w:tcBorders/>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2,</w:t>
            </w:r>
          </w:p>
        </w:tc>
        <w:tc>
          <w:tcPr>
            <w:tcW w:w="154" w:type="dxa"/>
            <w:tcBorders/>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817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c>
          <w:tcPr>
            <w:tcW w:w="154" w:type="dxa"/>
            <w:tcBorders/>
            <w:vAlign w:val="center"/>
          </w:tcPr>
          <w:p>
            <w:pPr>
              <w:pStyle w:val="TableContents"/>
              <w:bidi w:val="0"/>
              <w:spacing w:before="0" w:after="0"/>
              <w:ind w:left="0" w:right="0" w:hanging="0"/>
              <w:jc w:val="left"/>
              <w:rPr/>
            </w:pPr>
            <w:r>
              <w:rPr/>
              <w:t>​</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(5,026)</w:t>
            </w:r>
          </w:p>
        </w:tc>
        <w:tc>
          <w:tcPr>
            <w:tcW w:w="154" w:type="dxa"/>
            <w:tcBorders/>
            <w:vAlign w:val="center"/>
          </w:tcPr>
          <w:p>
            <w:pPr>
              <w:pStyle w:val="TableContents"/>
              <w:bidi w:val="0"/>
              <w:spacing w:before="0" w:after="0"/>
              <w:ind w:left="0" w:right="0" w:hanging="0"/>
              <w:jc w:val="left"/>
              <w:rPr/>
            </w:pPr>
            <w:r>
              <w:rPr/>
              <w:t>​</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360" w:right="0" w:hanging="0"/>
        <w:jc w:val="left"/>
        <w:rPr>
          <w:rFonts w:ascii="Times New Roman;Times;serif" w:hAnsi="Times New Roman;Times;serif"/>
          <w:i/>
          <w:sz w:val="20"/>
        </w:rPr>
      </w:pPr>
      <w:bookmarkStart w:id="796" w:name="_Hlk133044864"/>
      <w:bookmarkEnd w:id="796"/>
      <w:r>
        <w:rPr>
          <w:rFonts w:ascii="Times New Roman;Times;serif" w:hAnsi="Times New Roman;Times;serif"/>
          <w:i/>
          <w:sz w:val="20"/>
        </w:rPr>
        <w:t>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consists primarily of net loss adjusted for certain non-cash items, including depreciation, amortization, equity-based compensation, the effect of changes in working capital and other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thirteen weeks ended March 31, 2024, net cash provided by operating activities increased by $3.2 million, as compared to the same period in 2023. The increase was largely due to a $2.8 million reduction in inventory purchases due to lower sales and efficient inventory management, $2.5 million increase related to accrued expenses and other current </w:t>
      </w:r>
      <w:r>
        <w:rPr>
          <w:rFonts w:ascii="Times New Roman;Times;serif" w:hAnsi="Times New Roman;Times;serif"/>
          <w:sz w:val="20"/>
          <w:shd w:fill="FFFFFF" w:val="clear"/>
        </w:rPr>
        <w:t xml:space="preserve">liabilities mainly due to an increase in accrued inventory due to normal inventory builds ahead of our peak sales season, increase in return reserve due to a higher mix of product categories with higher return rates, and a timing related increase in accrued marketing. </w:t>
      </w:r>
      <w:r>
        <w:rPr>
          <w:rFonts w:ascii="Times New Roman;Times;serif" w:hAnsi="Times New Roman;Times;serif"/>
          <w:sz w:val="20"/>
        </w:rPr>
        <w:t xml:space="preserve">There was also a $1.6 million reduction in accounts receivable and a $0.9 million decrease related to assets for recovery, both attributed to lower sales, and $0.4 million timing-related decrease in prepaids and other current assets. This was partially offset by an increase of $0.5 million in net loss after adjusting for non-cash items, a decrease of $2.2 million in accounts payable primarily related to the timing of payments related to our credit card payables, an increase of $1.8 million in income taxes refund receivable, $0.4 million decrease related to other current </w:t>
      </w:r>
      <w:r>
        <w:rPr>
          <w:rFonts w:ascii="Times New Roman;Times;serif" w:hAnsi="Times New Roman;Times;serif"/>
          <w:sz w:val="20"/>
          <w:shd w:fill="FFFFFF" w:val="clear"/>
        </w:rPr>
        <w:t>liabilities and a $0.1 million decrease related to operating lease liabilities</w:t>
      </w:r>
      <w:r>
        <w:rPr>
          <w:rFonts w:ascii="Times New Roman;Times;serif" w:hAnsi="Times New Roman;Times;serif"/>
          <w:sz w:val="20"/>
        </w:rPr>
        <w:t xml:space="preserve">.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period-to-period due to timing of the expansion of our operations. We have no material commitments for capital expenditures.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thirteen weeks ended March 31, 2024</w:t>
      </w:r>
      <w:r>
        <w:rPr>
          <w:rFonts w:ascii="Times New Roman;Times;serif" w:hAnsi="Times New Roman;Times;serif"/>
          <w:sz w:val="20"/>
          <w:shd w:fill="FFFFFF" w:val="clear"/>
        </w:rPr>
        <w:t>, as compared to the same period in 2023</w:t>
      </w:r>
      <w:r>
        <w:rPr>
          <w:rFonts w:ascii="Times New Roman;Times;serif" w:hAnsi="Times New Roman;Times;serif"/>
          <w:sz w:val="20"/>
        </w:rPr>
        <w:t>, net cash used in investing activities decreased by $0.1 million. This was attributable to $0.2 million less invested in capitalized software development costs and $0.1 million higher capital expenditures for furniture, leasehold improvements, equipment, and construction in progress for our general operations.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Financing activities consist primarily of borrowings and repayments related to our 2021 Revolving Facility.</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thirteen weeks ended March 31, 2024, net cash used in financing activities decreased by $2.0 million compared to the same period in 2023. The decrease was primarily due to $8.0 million higher borrowings on our 2021 Revolving Facility which was offset by $5.0 million higher repayment on our 2021 Revolving Facility, $0.5 million increase of finance lease payments primarily attributed to new finance leases for distribution center equipment, $0.4 million increase in withholding tax payments related to vesting of RSUs and $0.1 million decrease in proceeds received from issuance of common stock under our ESPP.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other material changes to our contractual obligations and commitments as disclosed in our 2023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critical accounting policies are described under the heading “Management’s Discussion and Analysis of Financial Condition and Results of Operations-Critical Accounting Policies and Estimates” in our 2023 10-K and the notes to the audited consolidated financial statements appearing elsewhere in our 2023 10-K. There have been no significant changes to our critical accounting policies and estimates as disclosed in our 2023 10-K.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2, “</w:t>
      </w:r>
      <w:r>
        <w:rPr>
          <w:rFonts w:ascii="Times New Roman;Times;serif" w:hAnsi="Times New Roman;Times;serif"/>
          <w:i/>
          <w:sz w:val="20"/>
        </w:rPr>
        <w:t>Significant Accounting Policies-Recently Issued Accounting Pronouncements</w:t>
      </w:r>
      <w:r>
        <w:rPr>
          <w:rFonts w:ascii="Times New Roman;Times;serif" w:hAnsi="Times New Roman;Times;serif"/>
          <w:sz w:val="20"/>
        </w:rPr>
        <w:t>,”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Accounting Election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97" w:name="Item3QuantitativeandQualitativeDisclosur"/>
      <w:bookmarkStart w:id="798" w:name="_544a3404_2bb5_45d9_ae57_c6be16f210c6"/>
      <w:bookmarkEnd w:id="797"/>
      <w:bookmarkEnd w:id="798"/>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has been no material change in our exposure to market risk from that discussed in our 2023 10-K.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99" w:name="Item4ControlsandProcedures_489265"/>
      <w:bookmarkStart w:id="800" w:name="_2348f25b_ad3b_48ae_801c_1bdb1f918ded"/>
      <w:bookmarkEnd w:id="799"/>
      <w:bookmarkEnd w:id="800"/>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March 31, 2024, our disclosure controls and procedures were effective.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01" w:name="PARTIIOTHERINFORMATION_807620"/>
      <w:bookmarkStart w:id="802" w:name="_1448171e_3019_42ee_957c_94ec2a9e697e"/>
      <w:bookmarkEnd w:id="801"/>
      <w:bookmarkEnd w:id="802"/>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803" w:name="Item1LegalProceedings_569580"/>
      <w:bookmarkEnd w:id="803"/>
      <w:r>
        <w:rPr>
          <w:rFonts w:ascii="Times New Roman;Times;serif" w:hAnsi="Times New Roman;Times;serif"/>
          <w:b/>
          <w:sz w:val="20"/>
        </w:rPr>
        <w:t>Item 1. Legal Proceedings.</w:t>
      </w:r>
    </w:p>
    <w:p>
      <w:pPr>
        <w:pStyle w:val="TextBody"/>
        <w:bidi w:val="0"/>
        <w:spacing w:before="0" w:after="0"/>
        <w:ind w:left="0" w:right="0" w:firstLine="360"/>
        <w:jc w:val="both"/>
        <w:rPr>
          <w:rFonts w:ascii="Times New Roman;Times;serif" w:hAnsi="Times New Roman;Times;serif"/>
          <w:sz w:val="20"/>
        </w:rPr>
      </w:pPr>
      <w:bookmarkStart w:id="804" w:name="_Hlk141941223"/>
      <w:bookmarkEnd w:id="804"/>
      <w:r>
        <w:rPr>
          <w:rFonts w:ascii="Times New Roman;Times;serif" w:hAnsi="Times New Roman;Times;serif"/>
          <w:sz w:val="20"/>
          <w:shd w:fill="FFFFFF" w:val="clear"/>
        </w:rPr>
        <w:t>We are from time to time subject to various legal proceedings and claims, including employment claims, wage and hour claims, intellectual property claims, privacy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05" w:name="Item1ARiskFactors_224374"/>
      <w:bookmarkStart w:id="806" w:name="_b61665d1_6286_4c9d_a9ab_82110e3e6ed2"/>
      <w:bookmarkEnd w:id="805"/>
      <w:bookmarkEnd w:id="806"/>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For detailed information about certain risk factors that could materially affect our business, financial condition or future results see “Risk Factors” in Part I, Item 1A of our 2023 10-K. There have been no material changes to the risk factors previously disclosed in our 2023 10-K. </w:t>
      </w:r>
    </w:p>
    <w:p>
      <w:pPr>
        <w:pStyle w:val="TextBody"/>
        <w:bidi w:val="0"/>
        <w:spacing w:before="0" w:after="240"/>
        <w:ind w:left="0" w:right="0" w:hanging="0"/>
        <w:jc w:val="left"/>
        <w:rPr>
          <w:rFonts w:ascii="Times New Roman;Times;serif" w:hAnsi="Times New Roman;Times;serif"/>
          <w:b/>
          <w:sz w:val="20"/>
        </w:rPr>
      </w:pPr>
      <w:bookmarkStart w:id="807" w:name="Item2UnregisteredSalesofEquitySecurities"/>
      <w:bookmarkStart w:id="808" w:name="_79961739_76e7_446a_94b8_d1be35db39e5"/>
      <w:bookmarkEnd w:id="807"/>
      <w:bookmarkEnd w:id="808"/>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809" w:name="Item3DefaultsUponSeniorSecurities_546631"/>
      <w:bookmarkStart w:id="810" w:name="_3c1ca190_64a0_4173_923b_0f96bc6b9906"/>
      <w:bookmarkEnd w:id="809"/>
      <w:bookmarkEnd w:id="810"/>
      <w:r>
        <w:rPr>
          <w:rFonts w:ascii="Times New Roman;Times;serif" w:hAnsi="Times New Roman;Times;serif"/>
          <w:b/>
          <w:sz w:val="20"/>
        </w:rPr>
        <w:t>Item 3. Defaults Upon Senior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811" w:name="Item4MineSafetyDisclosures_84191"/>
      <w:bookmarkStart w:id="812" w:name="_397e829c_87ea_4ceb_b268_5131cfb4833e"/>
      <w:bookmarkEnd w:id="811"/>
      <w:bookmarkEnd w:id="812"/>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813" w:name="Item5OtherInformation_793305"/>
      <w:bookmarkStart w:id="814" w:name="_2dc78e43_ba6a_4be4_b3fd_e3983837fb53"/>
      <w:bookmarkEnd w:id="813"/>
      <w:bookmarkEnd w:id="814"/>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Repurchase Program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3, 2024, the Company's Board of Directors authorized a stock repurchase program that will allow the Company to repurchase up to an aggregate amount of $2.5 million of its shares of common stock (the "Repurchase Program").  Under the Repurchase Program, the Company may repurchase shares of common stock from time to time in open market transactions or in privately negotiated transactions as permitted under applicable rules and regulations. The timing, volume and nature of such purchases will be determined at the sole discretion of the Company's management at prices the Company considers attractive and in the best interests of the Company, subject to the availability of stock, general market conditions, trading price, alternate uses for capital, the Company's financial performance, and applicable securities laws.  The Repurchase Program may be modified, extended or terminated by the Company’s Board of Directors at any time</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Securities Trading Plans of Directors and Executive Officers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During the thirteen weeks ended March 31, 2024, none of the Company’s directors or officers adopted, modified, or terminated a “Rule 10b5-1 trading arrangement” or a “non-Rule 10b5-1 trading arrangement”, as such terms are defined under Item 408 of Regulation S-K.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15" w:name="Item6Exhibits_785378"/>
      <w:bookmarkStart w:id="816" w:name="_42a0bc45_1e0a_4ce4_a514_2a9fafb3eadb"/>
      <w:bookmarkEnd w:id="815"/>
      <w:bookmarkEnd w:id="816"/>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826"/>
        <w:gridCol w:w="109"/>
        <w:gridCol w:w="4842"/>
        <w:gridCol w:w="109"/>
        <w:gridCol w:w="586"/>
        <w:gridCol w:w="109"/>
        <w:gridCol w:w="826"/>
        <w:gridCol w:w="109"/>
        <w:gridCol w:w="736"/>
        <w:gridCol w:w="109"/>
        <w:gridCol w:w="728"/>
        <w:gridCol w:w="109"/>
        <w:gridCol w:w="1007"/>
      </w:tblGrid>
      <w:tr>
        <w:trPr/>
        <w:tc>
          <w:tcPr>
            <w:tcW w:w="826" w:type="dxa"/>
            <w:tcBorders>
              <w:bottom w:val="single" w:sz="2" w:space="0" w:color="000000"/>
            </w:tcBorders>
            <w:vAlign w:val="center"/>
          </w:tcPr>
          <w:p>
            <w:pPr>
              <w:pStyle w:val="TableHeading"/>
              <w:bidi w:val="0"/>
              <w:spacing w:before="0" w:after="0"/>
              <w:ind w:left="0" w:right="0" w:hanging="0"/>
              <w:jc w:val="left"/>
              <w:rPr/>
            </w:pPr>
            <w:r>
              <w:rPr/>
              <w:t>​</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4842" w:type="dxa"/>
            <w:tcBorders>
              <w:bottom w:val="single" w:sz="2" w:space="0" w:color="000000"/>
            </w:tcBorders>
            <w:vAlign w:val="center"/>
          </w:tcPr>
          <w:p>
            <w:pPr>
              <w:pStyle w:val="TableHeading"/>
              <w:bidi w:val="0"/>
              <w:spacing w:before="0" w:after="0"/>
              <w:ind w:left="0" w:right="0" w:hanging="0"/>
              <w:jc w:val="center"/>
              <w:rPr/>
            </w:pPr>
            <w:r>
              <w:rPr/>
              <w:t>​</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3203" w:type="dxa"/>
            <w:gridSpan w:val="7"/>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1007"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82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4842"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5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82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73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109"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w:t>
            </w:r>
          </w:p>
        </w:tc>
        <w:tc>
          <w:tcPr>
            <w:tcW w:w="728"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bottom w:val="single" w:sz="2" w:space="0" w:color="000000"/>
            </w:tcBorders>
            <w:vAlign w:val="center"/>
          </w:tcPr>
          <w:p>
            <w:pPr>
              <w:pStyle w:val="TableHeading"/>
              <w:bidi w:val="0"/>
              <w:spacing w:before="0" w:after="0"/>
              <w:ind w:left="0" w:right="0" w:hanging="0"/>
              <w:jc w:val="center"/>
              <w:rPr/>
            </w:pPr>
            <w:r>
              <w:rPr/>
              <w:t>​</w:t>
            </w:r>
          </w:p>
        </w:tc>
        <w:tc>
          <w:tcPr>
            <w:tcW w:w="1007"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Furnished</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Amendment to Employment Agreement, dated as of January 9, 2024, among Lulu's Fashion Lounge Holdings, Inc., Lulu's Fashion Lounge, LLC and Mark Vos.</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01/10/2024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pPr>
            <w:r>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Form of Performance Stock Unit Award Grant Notice and Performance Stock Unit Award Agreement.</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01/10/2024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pPr>
            <w:r>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Second Amendment to Lulu's Fashion Lounge Holdings, Inc. Non-Employee Director Compensation Program.</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10-K</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10.38</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03/06/2024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pPr>
            <w:r>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pPr>
            <w:hyperlink w:anchor="tmb-20240331xex31d1.htm">
              <w:r>
                <w:rPr>
                  <w:rStyle w:val="InternetLink"/>
                  <w:rFonts w:ascii="Times New Roman;Times;serif" w:hAnsi="Times New Roman;Times;serif"/>
                  <w:b w:val="false"/>
                  <w:i w:val="false"/>
                  <w:caps w:val="false"/>
                  <w:smallCaps w:val="false"/>
                  <w:sz w:val="20"/>
                </w:rPr>
                <w:t>Certification of Chief Executive Officer pursuant to Rule 13a-14(a)/15d-14(a).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pPr>
            <w:hyperlink w:anchor="tmb-20240331xex31d2.htm">
              <w:r>
                <w:rPr>
                  <w:rStyle w:val="InternetLink"/>
                  <w:rFonts w:ascii="Times New Roman;Times;serif" w:hAnsi="Times New Roman;Times;serif"/>
                  <w:b w:val="false"/>
                  <w:i w:val="false"/>
                  <w:caps w:val="false"/>
                  <w:smallCaps w:val="false"/>
                  <w:sz w:val="20"/>
                </w:rPr>
                <w:t>Certification of Chief Financial Officer pursuant to Rule 13a-14(a)/15d-14(a).</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pPr>
            <w:hyperlink w:anchor="tmb-20240331xex32d1.htm">
              <w:r>
                <w:rPr>
                  <w:rStyle w:val="InternetLink"/>
                  <w:rFonts w:ascii="Times New Roman;Times;serif" w:hAnsi="Times New Roman;Times;serif"/>
                  <w:b w:val="false"/>
                  <w:i w:val="false"/>
                  <w:caps w:val="false"/>
                  <w:smallCaps w:val="false"/>
                  <w:sz w:val="20"/>
                </w:rPr>
                <w:t>Certification of Chief Executive Officer pursuant to 18 U.S.C. Section 1350.</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pPr>
            <w:hyperlink w:anchor="tmb-20240331xex32d2.htm">
              <w:r>
                <w:rPr>
                  <w:rStyle w:val="InternetLink"/>
                  <w:rFonts w:ascii="Times New Roman;Times;serif" w:hAnsi="Times New Roman;Times;serif"/>
                  <w:b w:val="false"/>
                  <w:i w:val="false"/>
                  <w:caps w:val="false"/>
                  <w:smallCaps w:val="false"/>
                  <w:sz w:val="20"/>
                </w:rPr>
                <w:t>Certification of Chief Financial Officer pursuant to 18 U.S.C. Section 1350.</w:t>
              </w:r>
            </w:hyperlink>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tcMar>
              <w:bottom w:w="0" w:type="dxa"/>
            </w:tcMar>
            <w:vAlign w:val="center"/>
          </w:tcPr>
          <w:p>
            <w:pPr>
              <w:pStyle w:val="TableContents"/>
              <w:bidi w:val="0"/>
              <w:spacing w:before="0" w:after="0"/>
              <w:ind w:left="0" w:right="0" w:hanging="0"/>
              <w:jc w:val="left"/>
              <w:rPr/>
            </w:pPr>
            <w:r>
              <w:rPr/>
              <w:t>​</w:t>
            </w:r>
          </w:p>
        </w:tc>
        <w:tc>
          <w:tcPr>
            <w:tcW w:w="484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(as formatted as Inline XBRL and contained in Exhibit 101)</w:t>
            </w:r>
          </w:p>
        </w:tc>
        <w:tc>
          <w:tcPr>
            <w:tcW w:w="109"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82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109" w:type="dxa"/>
            <w:tcBorders/>
            <w:tcMar>
              <w:bottom w:w="0" w:type="dxa"/>
            </w:tcMar>
            <w:vAlign w:val="center"/>
          </w:tcPr>
          <w:p>
            <w:pPr>
              <w:pStyle w:val="TableContents"/>
              <w:bidi w:val="0"/>
              <w:spacing w:before="0" w:after="0"/>
              <w:ind w:left="0" w:right="0" w:hanging="0"/>
              <w:jc w:val="left"/>
              <w:rPr/>
            </w:pPr>
            <w:r>
              <w:rPr/>
              <w:t>​</w:t>
            </w:r>
          </w:p>
        </w:tc>
        <w:tc>
          <w:tcPr>
            <w:tcW w:w="1007"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17" w:name="SIGNATURES_813814"/>
      <w:bookmarkStart w:id="818" w:name="_38346453_8b18_423f_a312_a5774aa2d89f"/>
      <w:bookmarkEnd w:id="817"/>
      <w:bookmarkEnd w:id="818"/>
      <w:r>
        <w:rPr>
          <w:rFonts w:ascii="Times New Roman;Times;serif" w:hAnsi="Times New Roman;Times;serif"/>
          <w:b/>
          <w:sz w:val="20"/>
        </w:rPr>
        <w:t>SIGNATURES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059" w:type="dxa"/>
        <w:jc w:val="left"/>
        <w:tblInd w:w="0" w:type="dxa"/>
        <w:tblLayout w:type="fixed"/>
        <w:tblCellMar>
          <w:top w:w="0" w:type="dxa"/>
          <w:left w:w="0" w:type="dxa"/>
          <w:bottom w:w="0" w:type="dxa"/>
          <w:right w:w="0" w:type="dxa"/>
        </w:tblCellMar>
      </w:tblPr>
      <w:tblGrid>
        <w:gridCol w:w="1636"/>
        <w:gridCol w:w="146"/>
        <w:gridCol w:w="406"/>
        <w:gridCol w:w="387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92710" cy="29210"/>
                      <wp:effectExtent l="0" t="0" r="0" b="0"/>
                      <wp:wrapNone/>
                      <wp:docPr id="210" name="Frame209"/>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57810" cy="29210"/>
                      <wp:effectExtent l="0" t="0" r="0" b="0"/>
                      <wp:wrapNone/>
                      <wp:docPr id="211" name="Frame210"/>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458085" cy="29210"/>
                      <wp:effectExtent l="0" t="0" r="0" b="0"/>
                      <wp:wrapNone/>
                      <wp:docPr id="212" name="Frame211"/>
                      <a:graphic xmlns:a="http://schemas.openxmlformats.org/drawingml/2006/main">
                        <a:graphicData uri="http://schemas.microsoft.com/office/word/2010/wordprocessingShape">
                          <wps:wsp>
                            <wps:cNvSpPr txBox="1"/>
                            <wps:spPr>
                              <a:xfrm>
                                <a:off x="0" y="0"/>
                                <a:ext cx="2458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(Principal Executive Officer)</w:t>
            </w:r>
            <w:r>
              <w:rPr>
                <w:rFonts w:ascii="Times New Roman;Times;serif" w:hAnsi="Times New Roman;Times;serif"/>
                <w:sz w:val="20"/>
              </w:rPr>
              <w:t> </w:t>
            </w:r>
          </w:p>
        </w:tc>
      </w:tr>
      <w:tr>
        <w:trPr/>
        <w:tc>
          <w:tcPr>
            <w:tcW w:w="16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pPr>
            <w:r>
              <w:rPr/>
              <w:t>​</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6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right"/>
        <w:rPr>
          <w:rFonts w:ascii="Times New Roman;Times;serif" w:hAnsi="Times New Roman;Times;serif"/>
          <w:b/>
          <w:sz w:val="20"/>
        </w:rPr>
      </w:pPr>
      <w:bookmarkStart w:id="819" w:name="tmb-20240331xex31d1.htm"/>
      <w:bookmarkStart w:id="820" w:name="kstmb20240331xex31d1"/>
      <w:bookmarkEnd w:id="819"/>
      <w:bookmarkEnd w:id="820"/>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Crystal Landsem,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657" w:type="dxa"/>
        <w:jc w:val="center"/>
        <w:tblInd w:w="0" w:type="dxa"/>
        <w:tblLayout w:type="fixed"/>
        <w:tblCellMar>
          <w:top w:w="0" w:type="dxa"/>
          <w:left w:w="0" w:type="dxa"/>
          <w:bottom w:w="0" w:type="dxa"/>
          <w:right w:w="0" w:type="dxa"/>
        </w:tblCellMar>
      </w:tblPr>
      <w:tblGrid>
        <w:gridCol w:w="1636"/>
        <w:gridCol w:w="109"/>
        <w:gridCol w:w="406"/>
        <w:gridCol w:w="250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038860" cy="175260"/>
                      <wp:effectExtent l="0" t="0" r="0" b="0"/>
                      <wp:wrapNone/>
                      <wp:docPr id="213" name="Frame212"/>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591310" cy="175260"/>
                      <wp:effectExtent l="0" t="0" r="0" b="0"/>
                      <wp:wrapNone/>
                      <wp:docPr id="215" name="Frame21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2024</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21" w:name="tmb-20240331xex31d2.htm"/>
      <w:bookmarkStart w:id="822" w:name="kstmb20240331xex31d2"/>
      <w:bookmarkEnd w:id="821"/>
      <w:bookmarkEnd w:id="822"/>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Tiffany R. Smith,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128" w:type="dxa"/>
        <w:jc w:val="left"/>
        <w:tblInd w:w="0" w:type="dxa"/>
        <w:tblLayout w:type="fixed"/>
        <w:tblCellMar>
          <w:top w:w="0" w:type="dxa"/>
          <w:left w:w="0" w:type="dxa"/>
          <w:bottom w:w="0" w:type="dxa"/>
          <w:right w:w="0" w:type="dxa"/>
        </w:tblCellMar>
      </w:tblPr>
      <w:tblGrid>
        <w:gridCol w:w="23"/>
        <w:gridCol w:w="245"/>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8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[Omitted];</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022" w:type="dxa"/>
        <w:jc w:val="left"/>
        <w:tblInd w:w="0" w:type="dxa"/>
        <w:tblLayout w:type="fixed"/>
        <w:tblCellMar>
          <w:top w:w="0" w:type="dxa"/>
          <w:left w:w="0" w:type="dxa"/>
          <w:bottom w:w="0" w:type="dxa"/>
          <w:right w:w="0" w:type="dxa"/>
        </w:tblCellMar>
      </w:tblPr>
      <w:tblGrid>
        <w:gridCol w:w="1636"/>
        <w:gridCol w:w="109"/>
        <w:gridCol w:w="406"/>
        <w:gridCol w:w="387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038860" cy="175260"/>
                      <wp:effectExtent l="0" t="0" r="0" b="0"/>
                      <wp:wrapNone/>
                      <wp:docPr id="216" name="Frame21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458085" cy="175260"/>
                      <wp:effectExtent l="0" t="0" r="0" b="0"/>
                      <wp:wrapNone/>
                      <wp:docPr id="218" name="Frame21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2024</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23" w:name="tmb-20240331xex32d1.htm"/>
      <w:bookmarkStart w:id="824" w:name="kstmb20240331xex32d1"/>
      <w:bookmarkEnd w:id="823"/>
      <w:bookmarkEnd w:id="824"/>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March 31, 2024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657" w:type="dxa"/>
        <w:jc w:val="center"/>
        <w:tblInd w:w="0" w:type="dxa"/>
        <w:tblLayout w:type="fixed"/>
        <w:tblCellMar>
          <w:top w:w="0" w:type="dxa"/>
          <w:left w:w="0" w:type="dxa"/>
          <w:bottom w:w="0" w:type="dxa"/>
          <w:right w:w="0" w:type="dxa"/>
        </w:tblCellMar>
      </w:tblPr>
      <w:tblGrid>
        <w:gridCol w:w="1636"/>
        <w:gridCol w:w="109"/>
        <w:gridCol w:w="406"/>
        <w:gridCol w:w="2506"/>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038860" cy="175260"/>
                      <wp:effectExtent l="0" t="0" r="0" b="0"/>
                      <wp:wrapNone/>
                      <wp:docPr id="219" name="Frame218"/>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91310" cy="175260"/>
                      <wp:effectExtent l="0" t="0" r="0" b="0"/>
                      <wp:wrapNone/>
                      <wp:docPr id="221" name="Frame22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2024</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825" w:name="tmb-20240331xex32d2.htm"/>
      <w:bookmarkStart w:id="826" w:name="kstmb20240331xex32d2"/>
      <w:bookmarkEnd w:id="825"/>
      <w:bookmarkEnd w:id="826"/>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March 31, 2024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022" w:type="dxa"/>
        <w:jc w:val="center"/>
        <w:tblInd w:w="0" w:type="dxa"/>
        <w:tblLayout w:type="fixed"/>
        <w:tblCellMar>
          <w:top w:w="0" w:type="dxa"/>
          <w:left w:w="0" w:type="dxa"/>
          <w:bottom w:w="0" w:type="dxa"/>
          <w:right w:w="0" w:type="dxa"/>
        </w:tblCellMar>
      </w:tblPr>
      <w:tblGrid>
        <w:gridCol w:w="1636"/>
        <w:gridCol w:w="109"/>
        <w:gridCol w:w="406"/>
        <w:gridCol w:w="387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038860" cy="175260"/>
                      <wp:effectExtent l="0" t="0" r="0" b="0"/>
                      <wp:wrapNone/>
                      <wp:docPr id="222" name="Frame221"/>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458720" cy="175260"/>
                      <wp:effectExtent l="0" t="0" r="0" b="0"/>
                      <wp:wrapNone/>
                      <wp:docPr id="224" name="Frame223"/>
                      <a:graphic xmlns:a="http://schemas.openxmlformats.org/drawingml/2006/main">
                        <a:graphicData uri="http://schemas.microsoft.com/office/word/2010/wordprocessingShape">
                          <wps:wsp>
                            <wps:cNvSpPr txBox="1"/>
                            <wps:spPr>
                              <a:xfrm>
                                <a:off x="0" y="0"/>
                                <a:ext cx="2458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2024</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Tiffany R. Smith</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Tiffany R. Smith</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0201/000110465924002761/tm242508d1_ex10-1.htm" TargetMode="External"/><Relationship Id="rId4" Type="http://schemas.openxmlformats.org/officeDocument/2006/relationships/hyperlink" Target="https://www.sec.gov/Archives/edgar/data/1780201/000110465924002761/tm242508d1_ex10-2.htm" TargetMode="External"/><Relationship Id="rId5" Type="http://schemas.openxmlformats.org/officeDocument/2006/relationships/hyperlink" Target="https://www.sec.gov/Archives/edgar/data/1780201/000155837024002599/tmb-20231231xex10d3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18509</Words>
  <Characters>103112</Characters>
  <CharactersWithSpaces>122316</CharactersWithSpaces>
  <Paragraphs>3708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