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4"/>
          <w:szCs w:val="24"/>
          <w:color w:val="auto"/>
        </w:rPr>
      </w:pPr>
    </w:p>
    <w:p>
      <w:pPr>
        <w:spacing w:after="0" w:line="32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2" w:lineRule="exact"/>
        <w:rPr>
          <w:sz w:val="24"/>
          <w:szCs w:val="24"/>
          <w:color w:val="auto"/>
        </w:rPr>
      </w:pPr>
    </w:p>
    <w:p>
      <w:pPr>
        <w:ind w:left="500" w:right="80" w:hanging="490"/>
        <w:spacing w:after="0" w:line="262" w:lineRule="auto"/>
        <w:tabs>
          <w:tab w:leader="none" w:pos="5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29, 2024</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71" w:lineRule="exact"/>
        <w:rPr>
          <w:sz w:val="24"/>
          <w:szCs w:val="24"/>
          <w:color w:val="auto"/>
        </w:rPr>
      </w:pPr>
    </w:p>
    <w:p>
      <w:pPr>
        <w:ind w:left="520" w:right="60" w:hanging="510"/>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___________________ to ___________________</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001-41059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6497955" cy="402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Lulu’s Fashion Lounge Holdings,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25"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jc w:val="center"/>
              <w:ind w:right="16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8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20-8442468</w:t>
            </w:r>
          </w:p>
        </w:tc>
        <w:tc>
          <w:tcPr>
            <w:tcW w:w="0" w:type="dxa"/>
            <w:vAlign w:val="bottom"/>
          </w:tcPr>
          <w:p>
            <w:pPr>
              <w:spacing w:after="0"/>
              <w:rPr>
                <w:sz w:val="1"/>
                <w:szCs w:val="1"/>
                <w:color w:val="auto"/>
              </w:rPr>
            </w:pPr>
          </w:p>
        </w:tc>
      </w:tr>
      <w:tr>
        <w:trPr>
          <w:trHeight w:val="148"/>
        </w:trPr>
        <w:tc>
          <w:tcPr>
            <w:tcW w:w="4060" w:type="dxa"/>
            <w:vAlign w:val="bottom"/>
          </w:tcPr>
          <w:p>
            <w:pPr>
              <w:jc w:val="center"/>
              <w:ind w:right="162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jc w:val="center"/>
              <w:ind w:left="160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49"/>
        </w:trPr>
        <w:tc>
          <w:tcPr>
            <w:tcW w:w="4060" w:type="dxa"/>
            <w:vAlign w:val="bottom"/>
          </w:tcPr>
          <w:p>
            <w:pPr>
              <w:jc w:val="center"/>
              <w:ind w:right="1628"/>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jc w:val="center"/>
              <w:ind w:left="1608"/>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48"/>
        </w:trPr>
        <w:tc>
          <w:tcPr>
            <w:tcW w:w="4060" w:type="dxa"/>
            <w:vAlign w:val="bottom"/>
          </w:tcPr>
          <w:p>
            <w:pPr>
              <w:jc w:val="center"/>
              <w:ind w:right="1608"/>
              <w:spacing w:after="0" w:line="149" w:lineRule="exact"/>
              <w:rPr>
                <w:sz w:val="20"/>
                <w:szCs w:val="20"/>
                <w:color w:val="auto"/>
              </w:rPr>
            </w:pPr>
            <w:r>
              <w:rPr>
                <w:rFonts w:ascii="Times New Roman" w:cs="Times New Roman" w:eastAsia="Times New Roman" w:hAnsi="Times New Roman"/>
                <w:sz w:val="14"/>
                <w:szCs w:val="14"/>
                <w:b w:val="1"/>
                <w:bCs w:val="1"/>
                <w:color w:val="auto"/>
              </w:rPr>
              <w:t>195 Humboldt Avenue</w:t>
            </w:r>
          </w:p>
        </w:tc>
        <w:tc>
          <w:tcPr>
            <w:tcW w:w="28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95928</w:t>
            </w:r>
          </w:p>
        </w:tc>
        <w:tc>
          <w:tcPr>
            <w:tcW w:w="0" w:type="dxa"/>
            <w:vAlign w:val="bottom"/>
          </w:tcPr>
          <w:p>
            <w:pPr>
              <w:spacing w:after="0"/>
              <w:rPr>
                <w:sz w:val="1"/>
                <w:szCs w:val="1"/>
                <w:color w:val="auto"/>
              </w:rPr>
            </w:pPr>
          </w:p>
        </w:tc>
      </w:tr>
      <w:tr>
        <w:trPr>
          <w:trHeight w:val="148"/>
        </w:trPr>
        <w:tc>
          <w:tcPr>
            <w:tcW w:w="4060" w:type="dxa"/>
            <w:vAlign w:val="bottom"/>
          </w:tcPr>
          <w:p>
            <w:pPr>
              <w:jc w:val="center"/>
              <w:ind w:right="1608"/>
              <w:spacing w:after="0" w:line="149" w:lineRule="exact"/>
              <w:rPr>
                <w:sz w:val="20"/>
                <w:szCs w:val="20"/>
                <w:color w:val="auto"/>
              </w:rPr>
            </w:pPr>
            <w:r>
              <w:rPr>
                <w:rFonts w:ascii="Times New Roman" w:cs="Times New Roman" w:eastAsia="Times New Roman" w:hAnsi="Times New Roman"/>
                <w:sz w:val="14"/>
                <w:szCs w:val="14"/>
                <w:b w:val="1"/>
                <w:bCs w:val="1"/>
                <w:color w:val="auto"/>
              </w:rPr>
              <w:t>Chico, California</w:t>
            </w:r>
          </w:p>
        </w:tc>
        <w:tc>
          <w:tcPr>
            <w:tcW w:w="2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060" w:type="dxa"/>
            <w:vAlign w:val="bottom"/>
          </w:tcPr>
          <w:p>
            <w:pPr>
              <w:jc w:val="center"/>
              <w:ind w:right="160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jc w:val="center"/>
              <w:ind w:left="160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(530) 343-3545</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16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0"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LVLU</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67" w:lineRule="exact"/>
        <w:rPr>
          <w:sz w:val="24"/>
          <w:szCs w:val="24"/>
          <w:color w:val="auto"/>
        </w:rPr>
      </w:pPr>
    </w:p>
    <w:p>
      <w:pPr>
        <w:ind w:left="20" w:right="36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left="20" w:right="4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left="20" w:right="3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7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47" w:lineRule="exact"/>
        <w:rPr>
          <w:sz w:val="24"/>
          <w:szCs w:val="24"/>
          <w:color w:val="auto"/>
        </w:rPr>
      </w:pPr>
    </w:p>
    <w:p>
      <w:pPr>
        <w:ind w:left="20" w:right="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20" w:right="1640"/>
        <w:spacing w:after="0" w:line="22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8, 2024, there were 42,030,938 shares of the registrant’s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466725</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46990</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89535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1" w:right="8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99"/>
        </w:trPr>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0000EE"/>
                <w:w w:val="94"/>
              </w:rPr>
              <w:t>PART I</w:t>
            </w:r>
          </w:p>
        </w:tc>
        <w:tc>
          <w:tcPr>
            <w:tcW w:w="320" w:type="dxa"/>
            <w:vAlign w:val="bottom"/>
            <w:gridSpan w:val="3"/>
            <w:vMerge w:val="restart"/>
          </w:tcPr>
          <w:p>
            <w:pPr>
              <w:spacing w:after="0"/>
              <w:rPr>
                <w:sz w:val="24"/>
                <w:szCs w:val="24"/>
                <w:color w:val="auto"/>
              </w:rPr>
            </w:pPr>
          </w:p>
        </w:tc>
        <w:tc>
          <w:tcPr>
            <w:tcW w:w="2880" w:type="dxa"/>
            <w:vAlign w:val="bottom"/>
            <w:gridSpan w:val="9"/>
            <w:vMerge w:val="restart"/>
          </w:tcPr>
          <w:p>
            <w:pPr>
              <w:spacing w:after="0"/>
              <w:rPr>
                <w:sz w:val="20"/>
                <w:szCs w:val="20"/>
                <w:color w:val="auto"/>
              </w:rPr>
            </w:pPr>
            <w:r>
              <w:rPr>
                <w:rFonts w:ascii="Times New Roman" w:cs="Times New Roman" w:eastAsia="Times New Roman" w:hAnsi="Times New Roman"/>
                <w:sz w:val="22"/>
                <w:szCs w:val="22"/>
                <w:b w:val="1"/>
                <w:bCs w:val="1"/>
                <w:color w:val="0000EE"/>
                <w:w w:val="97"/>
              </w:rPr>
              <w:t>FINANCIAL INFORMATION</w:t>
            </w:r>
          </w:p>
        </w:tc>
        <w:tc>
          <w:tcPr>
            <w:tcW w:w="5460" w:type="dxa"/>
            <w:vAlign w:val="bottom"/>
            <w:gridSpan w:val="10"/>
            <w:vMerge w:val="restart"/>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7"/>
              </w:rPr>
              <w:t>Page</w:t>
            </w:r>
          </w:p>
        </w:tc>
        <w:tc>
          <w:tcPr>
            <w:tcW w:w="0" w:type="dxa"/>
            <w:vAlign w:val="bottom"/>
          </w:tcPr>
          <w:p>
            <w:pPr>
              <w:spacing w:after="0"/>
              <w:rPr>
                <w:sz w:val="1"/>
                <w:szCs w:val="1"/>
                <w:color w:val="auto"/>
              </w:rPr>
            </w:pPr>
          </w:p>
        </w:tc>
      </w:tr>
      <w:tr>
        <w:trPr>
          <w:trHeight w:val="201"/>
        </w:trPr>
        <w:tc>
          <w:tcPr>
            <w:tcW w:w="740" w:type="dxa"/>
            <w:vAlign w:val="bottom"/>
            <w:tcBorders>
              <w:bottom w:val="single" w:sz="8" w:color="0000EE"/>
            </w:tcBorders>
            <w:gridSpan w:val="2"/>
            <w:vMerge w:val="continue"/>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2880" w:type="dxa"/>
            <w:vAlign w:val="bottom"/>
            <w:tcBorders>
              <w:bottom w:val="single" w:sz="8" w:color="0000EE"/>
            </w:tcBorders>
            <w:gridSpan w:val="9"/>
            <w:vMerge w:val="continue"/>
          </w:tcPr>
          <w:p>
            <w:pPr>
              <w:spacing w:after="0"/>
              <w:rPr>
                <w:sz w:val="17"/>
                <w:szCs w:val="17"/>
                <w:color w:val="auto"/>
              </w:rPr>
            </w:pPr>
          </w:p>
        </w:tc>
        <w:tc>
          <w:tcPr>
            <w:tcW w:w="5460" w:type="dxa"/>
            <w:vAlign w:val="bottom"/>
            <w:gridSpan w:val="10"/>
            <w:vMerge w:val="continue"/>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92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EE"/>
              </w:rPr>
              <w:t>Item 1.</w:t>
            </w:r>
          </w:p>
        </w:tc>
        <w:tc>
          <w:tcPr>
            <w:tcW w:w="8340" w:type="dxa"/>
            <w:vAlign w:val="bottom"/>
            <w:gridSpan w:val="19"/>
          </w:tcPr>
          <w:p>
            <w:pPr>
              <w:spacing w:after="0" w:line="237" w:lineRule="exact"/>
              <w:rPr>
                <w:sz w:val="20"/>
                <w:szCs w:val="20"/>
                <w:color w:val="auto"/>
              </w:rPr>
            </w:pPr>
            <w:r>
              <w:rPr>
                <w:rFonts w:ascii="Times New Roman" w:cs="Times New Roman" w:eastAsia="Times New Roman" w:hAnsi="Times New Roman"/>
                <w:sz w:val="22"/>
                <w:szCs w:val="22"/>
                <w:color w:val="0000EE"/>
              </w:rPr>
              <w:t>Financial Statements (unaudited)</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00" w:type="dxa"/>
            <w:vAlign w:val="bottom"/>
            <w:tcBorders>
              <w:bottom w:val="single" w:sz="8" w:color="0000EE"/>
            </w:tcBorders>
            <w:gridSpan w:val="15"/>
          </w:tcPr>
          <w:p>
            <w:pPr>
              <w:spacing w:after="0" w:line="237" w:lineRule="exact"/>
              <w:rPr>
                <w:sz w:val="20"/>
                <w:szCs w:val="20"/>
                <w:color w:val="auto"/>
              </w:rPr>
            </w:pPr>
            <w:r>
              <w:rPr>
                <w:rFonts w:ascii="Times New Roman" w:cs="Times New Roman" w:eastAsia="Times New Roman" w:hAnsi="Times New Roman"/>
                <w:sz w:val="22"/>
                <w:szCs w:val="22"/>
                <w:color w:val="0000EE"/>
                <w:w w:val="97"/>
              </w:rPr>
              <w:t>Condensed Consolidated Balance Sheets as of September 29, 2024 and December 31, 2023</w:t>
            </w:r>
          </w:p>
        </w:tc>
        <w:tc>
          <w:tcPr>
            <w:tcW w:w="440" w:type="dxa"/>
            <w:vAlign w:val="bottom"/>
            <w:gridSpan w:val="4"/>
          </w:tcPr>
          <w:p>
            <w:pPr>
              <w:spacing w:after="0"/>
              <w:rPr>
                <w:sz w:val="20"/>
                <w:szCs w:val="20"/>
                <w:color w:val="auto"/>
              </w:rPr>
            </w:pP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340" w:type="dxa"/>
            <w:vAlign w:val="bottom"/>
            <w:gridSpan w:val="19"/>
          </w:tcPr>
          <w:p>
            <w:pPr>
              <w:spacing w:after="0" w:line="237" w:lineRule="exact"/>
              <w:rPr>
                <w:sz w:val="20"/>
                <w:szCs w:val="20"/>
                <w:color w:val="auto"/>
              </w:rPr>
            </w:pPr>
            <w:r>
              <w:rPr>
                <w:rFonts w:ascii="Times New Roman" w:cs="Times New Roman" w:eastAsia="Times New Roman" w:hAnsi="Times New Roman"/>
                <w:sz w:val="22"/>
                <w:szCs w:val="22"/>
                <w:color w:val="0000EE"/>
              </w:rPr>
              <w:t>Condensed Consolidated Statements of Operations and Comprehensive Loss for the thirteen</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960" w:type="dxa"/>
            <w:vAlign w:val="bottom"/>
            <w:tcBorders>
              <w:top w:val="single" w:sz="8" w:color="0000EE"/>
            </w:tcBorders>
            <w:gridSpan w:val="16"/>
          </w:tcPr>
          <w:p>
            <w:pPr>
              <w:spacing w:after="0" w:line="223" w:lineRule="exact"/>
              <w:rPr>
                <w:sz w:val="20"/>
                <w:szCs w:val="20"/>
                <w:color w:val="auto"/>
              </w:rPr>
            </w:pPr>
            <w:r>
              <w:rPr>
                <w:rFonts w:ascii="Times New Roman" w:cs="Times New Roman" w:eastAsia="Times New Roman" w:hAnsi="Times New Roman"/>
                <w:sz w:val="22"/>
                <w:szCs w:val="22"/>
                <w:color w:val="0000EE"/>
              </w:rPr>
              <w:t>and thirty-nine weeks ended September 29, 2024 and October 1, 2023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340" w:type="dxa"/>
            <w:vAlign w:val="bottom"/>
            <w:gridSpan w:val="19"/>
          </w:tcPr>
          <w:p>
            <w:pPr>
              <w:spacing w:after="0" w:line="237" w:lineRule="exact"/>
              <w:rPr>
                <w:sz w:val="20"/>
                <w:szCs w:val="20"/>
                <w:color w:val="auto"/>
              </w:rPr>
            </w:pPr>
            <w:r>
              <w:rPr>
                <w:rFonts w:ascii="Times New Roman" w:cs="Times New Roman" w:eastAsia="Times New Roman" w:hAnsi="Times New Roman"/>
                <w:sz w:val="22"/>
                <w:szCs w:val="22"/>
                <w:color w:val="0000EE"/>
              </w:rPr>
              <w:t>Condensed Consolidated Statements of Stockholders’ Equity for the thirty-nine weeks ended</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60" w:type="dxa"/>
            <w:vAlign w:val="bottom"/>
            <w:tcBorders>
              <w:top w:val="single" w:sz="8" w:color="0000EE"/>
              <w:bottom w:val="single" w:sz="8" w:color="0000EE"/>
            </w:tcBorders>
            <w:gridSpan w:val="10"/>
          </w:tcPr>
          <w:p>
            <w:pPr>
              <w:spacing w:after="0" w:line="223" w:lineRule="exact"/>
              <w:rPr>
                <w:sz w:val="20"/>
                <w:szCs w:val="20"/>
                <w:color w:val="auto"/>
              </w:rPr>
            </w:pPr>
            <w:r>
              <w:rPr>
                <w:rFonts w:ascii="Times New Roman" w:cs="Times New Roman" w:eastAsia="Times New Roman" w:hAnsi="Times New Roman"/>
                <w:sz w:val="22"/>
                <w:szCs w:val="22"/>
                <w:color w:val="0000EE"/>
                <w:w w:val="97"/>
              </w:rPr>
              <w:t>September 29, 2024 and October 1, 2023</w:t>
            </w:r>
          </w:p>
        </w:tc>
        <w:tc>
          <w:tcPr>
            <w:tcW w:w="4460" w:type="dxa"/>
            <w:vAlign w:val="bottom"/>
            <w:tcBorders>
              <w:top w:val="single" w:sz="8" w:color="0000EE"/>
            </w:tcBorders>
            <w:gridSpan w:val="7"/>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340" w:type="dxa"/>
            <w:vAlign w:val="bottom"/>
            <w:gridSpan w:val="19"/>
          </w:tcPr>
          <w:p>
            <w:pPr>
              <w:spacing w:after="0" w:line="237" w:lineRule="exact"/>
              <w:rPr>
                <w:sz w:val="20"/>
                <w:szCs w:val="20"/>
                <w:color w:val="auto"/>
              </w:rPr>
            </w:pPr>
            <w:r>
              <w:rPr>
                <w:rFonts w:ascii="Times New Roman" w:cs="Times New Roman" w:eastAsia="Times New Roman" w:hAnsi="Times New Roman"/>
                <w:sz w:val="22"/>
                <w:szCs w:val="22"/>
                <w:color w:val="0000EE"/>
                <w:w w:val="99"/>
              </w:rPr>
              <w:t>Condensed Consolidated Statements of Cash Flows for the thirty-nine weeks ended September</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Borders>
              <w:top w:val="single" w:sz="8" w:color="0000EE"/>
              <w:bottom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color w:val="0000EE"/>
                <w:w w:val="97"/>
              </w:rPr>
              <w:t>29, 2024 and October 1, 2023</w:t>
            </w:r>
          </w:p>
        </w:tc>
        <w:tc>
          <w:tcPr>
            <w:tcW w:w="5600" w:type="dxa"/>
            <w:vAlign w:val="bottom"/>
            <w:tcBorders>
              <w:top w:val="single" w:sz="8" w:color="0000EE"/>
            </w:tcBorders>
            <w:gridSpan w:val="11"/>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0" w:type="dxa"/>
            <w:vAlign w:val="bottom"/>
            <w:tcBorders>
              <w:bottom w:val="single" w:sz="8" w:color="0000EE"/>
            </w:tcBorders>
            <w:gridSpan w:val="11"/>
          </w:tcPr>
          <w:p>
            <w:pPr>
              <w:spacing w:after="0" w:line="237" w:lineRule="exact"/>
              <w:rPr>
                <w:sz w:val="20"/>
                <w:szCs w:val="20"/>
                <w:color w:val="auto"/>
              </w:rPr>
            </w:pPr>
            <w:r>
              <w:rPr>
                <w:rFonts w:ascii="Times New Roman" w:cs="Times New Roman" w:eastAsia="Times New Roman" w:hAnsi="Times New Roman"/>
                <w:sz w:val="22"/>
                <w:szCs w:val="22"/>
                <w:color w:val="0000EE"/>
                <w:w w:val="97"/>
              </w:rPr>
              <w:t>Notes to Condensed Consolidated Financial Statements</w:t>
            </w:r>
          </w:p>
        </w:tc>
        <w:tc>
          <w:tcPr>
            <w:tcW w:w="3540" w:type="dxa"/>
            <w:vAlign w:val="bottom"/>
            <w:gridSpan w:val="8"/>
          </w:tcPr>
          <w:p>
            <w:pPr>
              <w:spacing w:after="0"/>
              <w:rPr>
                <w:sz w:val="20"/>
                <w:szCs w:val="20"/>
                <w:color w:val="auto"/>
              </w:rPr>
            </w:pP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92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EE"/>
              </w:rPr>
              <w:t>Item 2.</w:t>
            </w:r>
          </w:p>
        </w:tc>
        <w:tc>
          <w:tcPr>
            <w:tcW w:w="8340" w:type="dxa"/>
            <w:vAlign w:val="bottom"/>
            <w:gridSpan w:val="19"/>
          </w:tcPr>
          <w:p>
            <w:pPr>
              <w:spacing w:after="0" w:line="237" w:lineRule="exact"/>
              <w:rPr>
                <w:sz w:val="20"/>
                <w:szCs w:val="20"/>
                <w:color w:val="auto"/>
              </w:rPr>
            </w:pPr>
            <w:r>
              <w:rPr>
                <w:rFonts w:ascii="Times New Roman" w:cs="Times New Roman" w:eastAsia="Times New Roman" w:hAnsi="Times New Roman"/>
                <w:sz w:val="22"/>
                <w:szCs w:val="22"/>
                <w:color w:val="0000EE"/>
              </w:rPr>
              <w:t>Management’s Discussion and Analysis of Financial Condition and Results of Operations</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20" w:type="dxa"/>
            <w:vAlign w:val="bottom"/>
            <w:tcBorders>
              <w:left w:val="single" w:sz="8" w:color="0000EE"/>
            </w:tcBorders>
            <w:gridSpan w:val="4"/>
            <w:shd w:val="clear" w:color="auto" w:fill="0000EE"/>
          </w:tcPr>
          <w:p>
            <w:pPr>
              <w:spacing w:after="0" w:line="20" w:lineRule="exact"/>
              <w:rPr>
                <w:sz w:val="1"/>
                <w:szCs w:val="1"/>
                <w:color w:val="auto"/>
              </w:rPr>
            </w:pPr>
          </w:p>
        </w:tc>
        <w:tc>
          <w:tcPr>
            <w:tcW w:w="254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92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EE"/>
              </w:rPr>
              <w:t>Item 3.</w:t>
            </w:r>
          </w:p>
        </w:tc>
        <w:tc>
          <w:tcPr>
            <w:tcW w:w="8340" w:type="dxa"/>
            <w:vAlign w:val="bottom"/>
            <w:gridSpan w:val="19"/>
          </w:tcPr>
          <w:p>
            <w:pPr>
              <w:spacing w:after="0" w:line="237" w:lineRule="exact"/>
              <w:rPr>
                <w:sz w:val="20"/>
                <w:szCs w:val="20"/>
                <w:color w:val="auto"/>
              </w:rPr>
            </w:pPr>
            <w:r>
              <w:rPr>
                <w:rFonts w:ascii="Times New Roman" w:cs="Times New Roman" w:eastAsia="Times New Roman" w:hAnsi="Times New Roman"/>
                <w:sz w:val="22"/>
                <w:szCs w:val="22"/>
                <w:color w:val="0000EE"/>
              </w:rPr>
              <w:t>Quantitative and Qualitative Disclosures About Market Risk</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20" w:type="dxa"/>
            <w:vAlign w:val="bottom"/>
            <w:tcBorders>
              <w:left w:val="single" w:sz="8" w:color="0000EE"/>
            </w:tcBorders>
            <w:gridSpan w:val="4"/>
            <w:shd w:val="clear" w:color="auto" w:fill="0000EE"/>
          </w:tcPr>
          <w:p>
            <w:pPr>
              <w:spacing w:after="0" w:line="20" w:lineRule="exact"/>
              <w:rPr>
                <w:sz w:val="1"/>
                <w:szCs w:val="1"/>
                <w:color w:val="auto"/>
              </w:rPr>
            </w:pPr>
          </w:p>
        </w:tc>
        <w:tc>
          <w:tcPr>
            <w:tcW w:w="3120" w:type="dxa"/>
            <w:vAlign w:val="bottom"/>
            <w:tcBorders>
              <w:left w:val="single" w:sz="8" w:color="0000EE"/>
            </w:tcBorders>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92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EE"/>
              </w:rPr>
              <w:t>Item 4.</w:t>
            </w:r>
          </w:p>
        </w:tc>
        <w:tc>
          <w:tcPr>
            <w:tcW w:w="8340" w:type="dxa"/>
            <w:vAlign w:val="bottom"/>
            <w:gridSpan w:val="19"/>
          </w:tcPr>
          <w:p>
            <w:pPr>
              <w:spacing w:after="0" w:line="237" w:lineRule="exact"/>
              <w:rPr>
                <w:sz w:val="20"/>
                <w:szCs w:val="20"/>
                <w:color w:val="auto"/>
              </w:rPr>
            </w:pPr>
            <w:r>
              <w:rPr>
                <w:rFonts w:ascii="Times New Roman" w:cs="Times New Roman" w:eastAsia="Times New Roman" w:hAnsi="Times New Roman"/>
                <w:sz w:val="22"/>
                <w:szCs w:val="22"/>
                <w:color w:val="0000EE"/>
              </w:rPr>
              <w:t>Controls and Procedures</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8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0000EE"/>
                <w:w w:val="94"/>
              </w:rPr>
              <w:t>PART II</w:t>
            </w:r>
          </w:p>
        </w:tc>
        <w:tc>
          <w:tcPr>
            <w:tcW w:w="260" w:type="dxa"/>
            <w:vAlign w:val="bottom"/>
            <w:gridSpan w:val="2"/>
          </w:tcPr>
          <w:p>
            <w:pPr>
              <w:spacing w:after="0"/>
              <w:rPr>
                <w:sz w:val="24"/>
                <w:szCs w:val="24"/>
                <w:color w:val="auto"/>
              </w:rPr>
            </w:pPr>
          </w:p>
        </w:tc>
        <w:tc>
          <w:tcPr>
            <w:tcW w:w="8340" w:type="dxa"/>
            <w:vAlign w:val="bottom"/>
            <w:gridSpan w:val="19"/>
          </w:tcPr>
          <w:p>
            <w:pPr>
              <w:ind w:left="60"/>
              <w:spacing w:after="0"/>
              <w:rPr>
                <w:sz w:val="20"/>
                <w:szCs w:val="20"/>
                <w:color w:val="auto"/>
              </w:rPr>
            </w:pPr>
            <w:r>
              <w:rPr>
                <w:rFonts w:ascii="Times New Roman" w:cs="Times New Roman" w:eastAsia="Times New Roman" w:hAnsi="Times New Roman"/>
                <w:sz w:val="22"/>
                <w:szCs w:val="22"/>
                <w:b w:val="1"/>
                <w:bCs w:val="1"/>
                <w:color w:val="0000EE"/>
              </w:rPr>
              <w:t>OTHER INFORMATION</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gridSpan w:val="2"/>
          </w:tcPr>
          <w:p>
            <w:pPr>
              <w:spacing w:after="0" w:line="237" w:lineRule="exact"/>
              <w:rPr>
                <w:sz w:val="20"/>
                <w:szCs w:val="20"/>
                <w:color w:val="auto"/>
              </w:rPr>
            </w:pPr>
            <w:r>
              <w:rPr>
                <w:rFonts w:ascii="Times New Roman" w:cs="Times New Roman" w:eastAsia="Times New Roman" w:hAnsi="Times New Roman"/>
                <w:sz w:val="22"/>
                <w:szCs w:val="22"/>
                <w:color w:val="0000EE"/>
              </w:rPr>
              <w:t>Item 1.</w:t>
            </w:r>
          </w:p>
        </w:tc>
        <w:tc>
          <w:tcPr>
            <w:tcW w:w="260" w:type="dxa"/>
            <w:vAlign w:val="bottom"/>
            <w:gridSpan w:val="2"/>
          </w:tcPr>
          <w:p>
            <w:pPr>
              <w:spacing w:after="0"/>
              <w:rPr>
                <w:sz w:val="20"/>
                <w:szCs w:val="20"/>
                <w:color w:val="auto"/>
              </w:rPr>
            </w:pPr>
          </w:p>
        </w:tc>
        <w:tc>
          <w:tcPr>
            <w:tcW w:w="2480" w:type="dxa"/>
            <w:vAlign w:val="bottom"/>
            <w:tcBorders>
              <w:top w:val="single" w:sz="8" w:color="0000EE"/>
            </w:tcBorders>
            <w:gridSpan w:val="6"/>
          </w:tcPr>
          <w:p>
            <w:pPr>
              <w:spacing w:after="0" w:line="237" w:lineRule="exact"/>
              <w:rPr>
                <w:sz w:val="20"/>
                <w:szCs w:val="20"/>
                <w:color w:val="auto"/>
              </w:rPr>
            </w:pPr>
            <w:r>
              <w:rPr>
                <w:rFonts w:ascii="Times New Roman" w:cs="Times New Roman" w:eastAsia="Times New Roman" w:hAnsi="Times New Roman"/>
                <w:sz w:val="22"/>
                <w:szCs w:val="22"/>
                <w:color w:val="0000EE"/>
              </w:rPr>
              <w:t>Legal Proceedings</w:t>
            </w:r>
          </w:p>
        </w:tc>
        <w:tc>
          <w:tcPr>
            <w:tcW w:w="5860" w:type="dxa"/>
            <w:vAlign w:val="bottom"/>
            <w:gridSpan w:val="13"/>
          </w:tcPr>
          <w:p>
            <w:pPr>
              <w:spacing w:after="0"/>
              <w:rPr>
                <w:sz w:val="20"/>
                <w:szCs w:val="20"/>
                <w:color w:val="auto"/>
              </w:rPr>
            </w:pP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20" w:type="dxa"/>
            <w:vAlign w:val="bottom"/>
            <w:tcBorders>
              <w:left w:val="single" w:sz="8" w:color="0000EE"/>
            </w:tcBorders>
            <w:gridSpan w:val="4"/>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76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0000EE"/>
                <w:w w:val="91"/>
              </w:rPr>
              <w:t>Item 1A.</w:t>
            </w:r>
          </w:p>
        </w:tc>
        <w:tc>
          <w:tcPr>
            <w:tcW w:w="160" w:type="dxa"/>
            <w:vAlign w:val="bottom"/>
          </w:tcPr>
          <w:p>
            <w:pPr>
              <w:spacing w:after="0"/>
              <w:rPr>
                <w:sz w:val="20"/>
                <w:szCs w:val="20"/>
                <w:color w:val="auto"/>
              </w:rPr>
            </w:pPr>
          </w:p>
        </w:tc>
        <w:tc>
          <w:tcPr>
            <w:tcW w:w="8340" w:type="dxa"/>
            <w:vAlign w:val="bottom"/>
            <w:gridSpan w:val="19"/>
          </w:tcPr>
          <w:p>
            <w:pPr>
              <w:spacing w:after="0" w:line="237" w:lineRule="exact"/>
              <w:rPr>
                <w:sz w:val="20"/>
                <w:szCs w:val="20"/>
                <w:color w:val="auto"/>
              </w:rPr>
            </w:pPr>
            <w:r>
              <w:rPr>
                <w:rFonts w:ascii="Times New Roman" w:cs="Times New Roman" w:eastAsia="Times New Roman" w:hAnsi="Times New Roman"/>
                <w:sz w:val="22"/>
                <w:szCs w:val="22"/>
                <w:color w:val="0000EE"/>
              </w:rPr>
              <w:t>Risk Factors</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760" w:type="dxa"/>
            <w:vAlign w:val="bottom"/>
            <w:gridSpan w:val="3"/>
          </w:tcPr>
          <w:p>
            <w:pPr>
              <w:spacing w:after="0" w:line="237" w:lineRule="exact"/>
              <w:rPr>
                <w:sz w:val="20"/>
                <w:szCs w:val="20"/>
                <w:color w:val="auto"/>
              </w:rPr>
            </w:pPr>
            <w:r>
              <w:rPr>
                <w:rFonts w:ascii="Times New Roman" w:cs="Times New Roman" w:eastAsia="Times New Roman" w:hAnsi="Times New Roman"/>
                <w:sz w:val="22"/>
                <w:szCs w:val="22"/>
                <w:color w:val="0000EE"/>
              </w:rPr>
              <w:t>Item 2.</w:t>
            </w:r>
          </w:p>
        </w:tc>
        <w:tc>
          <w:tcPr>
            <w:tcW w:w="160" w:type="dxa"/>
            <w:vAlign w:val="bottom"/>
          </w:tcPr>
          <w:p>
            <w:pPr>
              <w:spacing w:after="0"/>
              <w:rPr>
                <w:sz w:val="20"/>
                <w:szCs w:val="20"/>
                <w:color w:val="auto"/>
              </w:rPr>
            </w:pPr>
          </w:p>
        </w:tc>
        <w:tc>
          <w:tcPr>
            <w:tcW w:w="8340" w:type="dxa"/>
            <w:vAlign w:val="bottom"/>
            <w:gridSpan w:val="19"/>
          </w:tcPr>
          <w:p>
            <w:pPr>
              <w:spacing w:after="0" w:line="237" w:lineRule="exact"/>
              <w:rPr>
                <w:sz w:val="20"/>
                <w:szCs w:val="20"/>
                <w:color w:val="auto"/>
              </w:rPr>
            </w:pPr>
            <w:r>
              <w:rPr>
                <w:rFonts w:ascii="Times New Roman" w:cs="Times New Roman" w:eastAsia="Times New Roman" w:hAnsi="Times New Roman"/>
                <w:sz w:val="22"/>
                <w:szCs w:val="22"/>
                <w:color w:val="0000EE"/>
              </w:rPr>
              <w:t>Unregistered Sales of Equity Securities and Use of Proceeds</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4"/>
            <w:shd w:val="clear" w:color="auto" w:fill="0000EE"/>
          </w:tcPr>
          <w:p>
            <w:pPr>
              <w:spacing w:after="0" w:line="20" w:lineRule="exact"/>
              <w:rPr>
                <w:sz w:val="1"/>
                <w:szCs w:val="1"/>
                <w:color w:val="auto"/>
              </w:rPr>
            </w:pPr>
          </w:p>
        </w:tc>
        <w:tc>
          <w:tcPr>
            <w:tcW w:w="2420" w:type="dxa"/>
            <w:vAlign w:val="bottom"/>
            <w:tcBorders>
              <w:left w:val="single" w:sz="8" w:color="0000EE"/>
            </w:tcBorders>
            <w:gridSpan w:val="4"/>
            <w:shd w:val="clear" w:color="auto" w:fill="0000EE"/>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0" w:type="dxa"/>
            <w:vAlign w:val="bottom"/>
          </w:tcPr>
          <w:p>
            <w:pPr>
              <w:spacing w:after="0"/>
              <w:rPr>
                <w:sz w:val="20"/>
                <w:szCs w:val="20"/>
                <w:color w:val="auto"/>
              </w:rPr>
            </w:pPr>
          </w:p>
        </w:tc>
        <w:tc>
          <w:tcPr>
            <w:tcW w:w="92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EE"/>
              </w:rPr>
              <w:t>Item 3.</w:t>
            </w:r>
          </w:p>
        </w:tc>
        <w:tc>
          <w:tcPr>
            <w:tcW w:w="8340" w:type="dxa"/>
            <w:vAlign w:val="bottom"/>
            <w:gridSpan w:val="19"/>
          </w:tcPr>
          <w:p>
            <w:pPr>
              <w:spacing w:after="0" w:line="237" w:lineRule="exact"/>
              <w:rPr>
                <w:sz w:val="20"/>
                <w:szCs w:val="20"/>
                <w:color w:val="auto"/>
              </w:rPr>
            </w:pPr>
            <w:r>
              <w:rPr>
                <w:rFonts w:ascii="Times New Roman" w:cs="Times New Roman" w:eastAsia="Times New Roman" w:hAnsi="Times New Roman"/>
                <w:sz w:val="22"/>
                <w:szCs w:val="22"/>
                <w:color w:val="0000EE"/>
              </w:rPr>
              <w:t>Defaults Upon Senior Securities</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4"/>
            <w:shd w:val="clear" w:color="auto" w:fill="0000EE"/>
          </w:tcPr>
          <w:p>
            <w:pPr>
              <w:spacing w:after="0" w:line="20" w:lineRule="exact"/>
              <w:rPr>
                <w:sz w:val="1"/>
                <w:szCs w:val="1"/>
                <w:color w:val="auto"/>
              </w:rPr>
            </w:pPr>
          </w:p>
        </w:tc>
        <w:tc>
          <w:tcPr>
            <w:tcW w:w="554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0" w:type="dxa"/>
            <w:vAlign w:val="bottom"/>
          </w:tcPr>
          <w:p>
            <w:pPr>
              <w:spacing w:after="0"/>
              <w:rPr>
                <w:sz w:val="20"/>
                <w:szCs w:val="20"/>
                <w:color w:val="auto"/>
              </w:rPr>
            </w:pPr>
          </w:p>
        </w:tc>
        <w:tc>
          <w:tcPr>
            <w:tcW w:w="92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EE"/>
              </w:rPr>
              <w:t>Item 4.</w:t>
            </w:r>
          </w:p>
        </w:tc>
        <w:tc>
          <w:tcPr>
            <w:tcW w:w="8340" w:type="dxa"/>
            <w:vAlign w:val="bottom"/>
            <w:gridSpan w:val="19"/>
          </w:tcPr>
          <w:p>
            <w:pPr>
              <w:spacing w:after="0" w:line="237" w:lineRule="exact"/>
              <w:rPr>
                <w:sz w:val="20"/>
                <w:szCs w:val="20"/>
                <w:color w:val="auto"/>
              </w:rPr>
            </w:pPr>
            <w:r>
              <w:rPr>
                <w:rFonts w:ascii="Times New Roman" w:cs="Times New Roman" w:eastAsia="Times New Roman" w:hAnsi="Times New Roman"/>
                <w:sz w:val="22"/>
                <w:szCs w:val="22"/>
                <w:color w:val="0000EE"/>
              </w:rPr>
              <w:t>Mine Safety Disclosures</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622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92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EE"/>
              </w:rPr>
              <w:t>Item 5.</w:t>
            </w:r>
          </w:p>
        </w:tc>
        <w:tc>
          <w:tcPr>
            <w:tcW w:w="8340" w:type="dxa"/>
            <w:vAlign w:val="bottom"/>
            <w:gridSpan w:val="19"/>
          </w:tcPr>
          <w:p>
            <w:pPr>
              <w:spacing w:after="0" w:line="237" w:lineRule="exact"/>
              <w:rPr>
                <w:sz w:val="20"/>
                <w:szCs w:val="20"/>
                <w:color w:val="auto"/>
              </w:rPr>
            </w:pPr>
            <w:r>
              <w:rPr>
                <w:rFonts w:ascii="Times New Roman" w:cs="Times New Roman" w:eastAsia="Times New Roman" w:hAnsi="Times New Roman"/>
                <w:sz w:val="22"/>
                <w:szCs w:val="22"/>
                <w:color w:val="0000EE"/>
              </w:rPr>
              <w:t>Other Information</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76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0" w:type="dxa"/>
            <w:vAlign w:val="bottom"/>
          </w:tcPr>
          <w:p>
            <w:pPr>
              <w:spacing w:after="0"/>
              <w:rPr>
                <w:sz w:val="20"/>
                <w:szCs w:val="20"/>
                <w:color w:val="auto"/>
              </w:rPr>
            </w:pPr>
          </w:p>
        </w:tc>
        <w:tc>
          <w:tcPr>
            <w:tcW w:w="92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0000EE"/>
              </w:rPr>
              <w:t>Item 6.</w:t>
            </w:r>
          </w:p>
        </w:tc>
        <w:tc>
          <w:tcPr>
            <w:tcW w:w="8340" w:type="dxa"/>
            <w:vAlign w:val="bottom"/>
            <w:gridSpan w:val="19"/>
          </w:tcPr>
          <w:p>
            <w:pPr>
              <w:spacing w:after="0" w:line="237" w:lineRule="exact"/>
              <w:rPr>
                <w:sz w:val="20"/>
                <w:szCs w:val="20"/>
                <w:color w:val="auto"/>
              </w:rPr>
            </w:pPr>
            <w:r>
              <w:rPr>
                <w:rFonts w:ascii="Times New Roman" w:cs="Times New Roman" w:eastAsia="Times New Roman" w:hAnsi="Times New Roman"/>
                <w:sz w:val="22"/>
                <w:szCs w:val="22"/>
                <w:color w:val="0000EE"/>
              </w:rPr>
              <w:t>Exhibits</w:t>
            </w: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6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0000EE"/>
              </w:rPr>
              <w:t>Signatures</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risk factors discussed in Part I, Item 1A, “Risk Factors” in our Annual Report on Form 10-K for the year ended December 31, 2023, Part II, Item 1A, “Risk Factors” in our Quarterly Report on Form 10-Q for the quarter ended June 30, 2024, Part II, Item 1A, “Risk Factors” in this Quarterly Report on Form 10-Q for the quarter ended September 29, 2024, and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28, 2017, we executed a reorganization of our corporate structure. Our original parent company was called Lulu’s Holdings, LLC. This entity was converted to Lulu’s Holdings, L.P. (the “LP”). We formed two new subsidiaries, Lulu’s Fashion Lounge Holdings, Inc. and Lulu’s Fashion Lounge Parent, LLC, to sit between the LP and our operating company. Our operating company, previously known as Lulu’s Fashion Lounge, Inc., was converted from a California corporation to a Delaware limited liability company, Lulu’s Fashion Lounge, LLC, an indirect wholly-owned subsidiary of Lulu’s Fashion Lounge Holdings, Inc. In connection with our initial public offering, the LP was liquidated. Unless otherwise indicated or the context otherwise requires, references in this Quarterly Report on Form 10-Q to the terms “Lulus,” “we,” “us,” “our,” or the “Company” refer to Lulu’s Fashion Lounge Holdings, Inc. and its consolidated subsidiaries.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fiscal year is a “52-53 week” year ending on the Sunday closest in proximity to December 31, such that each quarterly period will be 13 weeks in length, except during a 53-week year when the fourth quarter will be 14 weeks. References herein to “fiscal 2024” and/or “2024” relate to the year ending December 29, 2024 and “fiscal 2023” and/or “2023” relate to the year ended December 31, 2023. The fiscal years ending December 29, 2024 and ended December 31, 2023 consist of 52-weeks.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Throughout this Quarterly Report on Form 10-Q,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Quarterly Report on Form 10-Q, we also reference Adjusted EBITDA, Adjusted EBITDA Margin and Free Cash Flow which are non-GAAP (accounting principles generally accepted in the United States of America) financial measures. See “Management’s Discussion and Analysis of Financial Condition and Results of Operations—Non-GAAP Financial Measures” for a discussion of Adjusted EBITDA, Adjusted EBITDA Margin and Free Cash Flow, as well as a reconciliation of net loss to Adjusted EBITDA and a reconciliation to non-GAAP Free Cash Flow from net cash provided by operating activities. Net loss is the most directly comparable financial measure to Adjusted EBITDA and net cash provided by operating activities is the most directly comparable financial measure to Free Cash Flow, required by, or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2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share and per share amounts)</w:t>
      </w: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September 29,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6,308</w:t>
            </w: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38,477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Assets for recovery</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refund receivable</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Prepaids and other current assets</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8,655</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65,321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52,520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35,430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Tradename</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right-of-use assets</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25,508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153,533</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149,445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11,371</w:t>
            </w:r>
          </w:p>
        </w:tc>
        <w:tc>
          <w:tcPr>
            <w:tcW w:w="120" w:type="dxa"/>
            <w:vAlign w:val="bottom"/>
          </w:tcPr>
          <w:p>
            <w:pPr>
              <w:spacing w:after="0"/>
              <w:rPr>
                <w:sz w:val="12"/>
                <w:szCs w:val="12"/>
                <w:color w:val="auto"/>
              </w:rPr>
            </w:pPr>
          </w:p>
        </w:tc>
        <w:tc>
          <w:tcPr>
            <w:tcW w:w="30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Returns reserve</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15,308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Stored-value card liability</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Revolving line of credit</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Lease liabilities, current</w:t>
            </w: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86,635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noncurrent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21,020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109,764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88,493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7)</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Preferred stock: $0.001 par value, 10,000,000 shares authorized, and no shares issued or outstanding</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18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Common stock: $0.001 par value, 250,000,000 shares authorized; and 41,912,709 and 40,618,206 shares issued and</w:t>
            </w:r>
          </w:p>
        </w:tc>
        <w:tc>
          <w:tcPr>
            <w:tcW w:w="1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outstanding as of September 29, 2024 and December 31, 2023, respectively</w:t>
            </w: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260,619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254,116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(216,616)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Treasury stock, at cost, 178,143 shares and zero shares as of September 29, 2024 and December 31, 2023, respectively</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43,769</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60,952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153,533</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20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 and Comprehensive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share and per share amounts)</w:t>
      </w: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5"/>
                <w:szCs w:val="15"/>
                <w:color w:val="auto"/>
              </w:rPr>
            </w:pPr>
          </w:p>
        </w:tc>
        <w:tc>
          <w:tcPr>
            <w:tcW w:w="23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380" w:type="dxa"/>
            <w:vAlign w:val="bottom"/>
          </w:tcPr>
          <w:p>
            <w:pPr>
              <w:spacing w:after="0"/>
              <w:rPr>
                <w:sz w:val="10"/>
                <w:szCs w:val="10"/>
                <w:color w:val="auto"/>
              </w:rPr>
            </w:pPr>
          </w:p>
        </w:tc>
        <w:tc>
          <w:tcPr>
            <w:tcW w:w="124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49,593</w:t>
            </w: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144,562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161,334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(5,763)</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Basic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Diluted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3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2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80" w:type="dxa"/>
            <w:vAlign w:val="bottom"/>
            <w:tcBorders>
              <w:bottom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Basic weighted-average shares outstanding</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41,702,122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40,103,152</w:t>
            </w:r>
          </w:p>
        </w:tc>
        <w:tc>
          <w:tcPr>
            <w:tcW w:w="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41,358,919</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39,672,938</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41,702,122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40,103,152</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41,358,919</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39,672,938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20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share amounts)</w:t>
      </w: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17"/>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8"/>
              </w:rPr>
              <w:t>For the Thirty-Nine Weeks Ended September 29, 2024</w:t>
            </w: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08"/>
        </w:trPr>
        <w:tc>
          <w:tcPr>
            <w:tcW w:w="30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3"/>
          </w:tcPr>
          <w:p>
            <w:pPr>
              <w:jc w:val="right"/>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jc w:val="center"/>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Pr>
          <w:p>
            <w:pPr>
              <w:spacing w:after="0"/>
              <w:rPr>
                <w:sz w:val="9"/>
                <w:szCs w:val="9"/>
                <w:color w:val="auto"/>
              </w:rPr>
            </w:pPr>
          </w:p>
        </w:tc>
      </w:tr>
      <w:tr>
        <w:trPr>
          <w:trHeight w:val="155"/>
        </w:trPr>
        <w:tc>
          <w:tcPr>
            <w:tcW w:w="3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7"/>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780" w:type="dxa"/>
            <w:vAlign w:val="bottom"/>
            <w:gridSpan w:val="8"/>
          </w:tcPr>
          <w:p>
            <w:pPr>
              <w:ind w:left="4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r>
      <w:tr>
        <w:trPr>
          <w:trHeight w:val="129"/>
        </w:trPr>
        <w:tc>
          <w:tcPr>
            <w:tcW w:w="3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4"/>
          </w:tcPr>
          <w:p>
            <w:pPr>
              <w:jc w:val="center"/>
              <w:ind w:right="32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800" w:type="dxa"/>
            <w:vAlign w:val="bottom"/>
            <w:tcBorders>
              <w:top w:val="single" w:sz="8" w:color="auto"/>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28"/>
        </w:trPr>
        <w:tc>
          <w:tcPr>
            <w:tcW w:w="312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 2023</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40,618,206</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254,116</w:t>
            </w: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(193,205)</w:t>
            </w: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60,952</w:t>
            </w:r>
          </w:p>
        </w:tc>
        <w:tc>
          <w:tcPr>
            <w:tcW w:w="20" w:type="dxa"/>
            <w:vAlign w:val="bottom"/>
          </w:tcPr>
          <w:p>
            <w:pPr>
              <w:spacing w:after="0"/>
              <w:rPr>
                <w:sz w:val="11"/>
                <w:szCs w:val="11"/>
                <w:color w:val="auto"/>
              </w:rPr>
            </w:pPr>
          </w:p>
        </w:tc>
      </w:tr>
      <w:tr>
        <w:trPr>
          <w:trHeight w:val="117"/>
        </w:trPr>
        <w:tc>
          <w:tcPr>
            <w:tcW w:w="312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stock for vesting of restricted stock</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units (RSUs), net of forfeiture</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983,460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312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stock for employee stock purchase</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3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plan (ESPP)</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52,043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20" w:type="dxa"/>
            <w:vAlign w:val="bottom"/>
          </w:tcPr>
          <w:p>
            <w:pPr>
              <w:spacing w:after="0"/>
              <w:rPr>
                <w:sz w:val="13"/>
                <w:szCs w:val="13"/>
                <w:color w:val="auto"/>
              </w:rPr>
            </w:pPr>
          </w:p>
        </w:tc>
      </w:tr>
      <w:tr>
        <w:trPr>
          <w:trHeight w:val="135"/>
        </w:trPr>
        <w:tc>
          <w:tcPr>
            <w:tcW w:w="31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880" w:type="dxa"/>
            <w:vAlign w:val="bottom"/>
            <w:gridSpan w:val="5"/>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(396,708)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(660)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4"/>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(660)</w:t>
            </w:r>
          </w:p>
        </w:tc>
        <w:tc>
          <w:tcPr>
            <w:tcW w:w="20" w:type="dxa"/>
            <w:vAlign w:val="bottom"/>
          </w:tcPr>
          <w:p>
            <w:pPr>
              <w:spacing w:after="0"/>
              <w:rPr>
                <w:sz w:val="11"/>
                <w:szCs w:val="11"/>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Forfeited shares of restricted stock</w:t>
            </w:r>
          </w:p>
        </w:tc>
        <w:tc>
          <w:tcPr>
            <w:tcW w:w="880" w:type="dxa"/>
            <w:vAlign w:val="bottom"/>
            <w:gridSpan w:val="5"/>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(1,035)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4"/>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31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4"/>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3,023</w:t>
            </w:r>
          </w:p>
        </w:tc>
        <w:tc>
          <w:tcPr>
            <w:tcW w:w="20" w:type="dxa"/>
            <w:vAlign w:val="bottom"/>
          </w:tcPr>
          <w:p>
            <w:pPr>
              <w:spacing w:after="0"/>
              <w:rPr>
                <w:sz w:val="11"/>
                <w:szCs w:val="11"/>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and comprehensive loss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(5,736)</w:t>
            </w:r>
          </w:p>
        </w:tc>
        <w:tc>
          <w:tcPr>
            <w:tcW w:w="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(5,736)</w:t>
            </w:r>
          </w:p>
        </w:tc>
        <w:tc>
          <w:tcPr>
            <w:tcW w:w="20" w:type="dxa"/>
            <w:vAlign w:val="bottom"/>
          </w:tcPr>
          <w:p>
            <w:pPr>
              <w:spacing w:after="0"/>
              <w:rPr>
                <w:sz w:val="11"/>
                <w:szCs w:val="11"/>
                <w:color w:val="auto"/>
              </w:rPr>
            </w:pPr>
          </w:p>
        </w:tc>
      </w:tr>
      <w:tr>
        <w:trPr>
          <w:trHeight w:val="128"/>
        </w:trPr>
        <w:tc>
          <w:tcPr>
            <w:tcW w:w="312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Balance as of March 31, 2024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41,255,966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256,646</w:t>
            </w:r>
          </w:p>
        </w:tc>
        <w:tc>
          <w:tcPr>
            <w:tcW w:w="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(198,941)</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top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57,746</w:t>
            </w:r>
          </w:p>
        </w:tc>
        <w:tc>
          <w:tcPr>
            <w:tcW w:w="20" w:type="dxa"/>
            <w:vAlign w:val="bottom"/>
          </w:tcPr>
          <w:p>
            <w:pPr>
              <w:spacing w:after="0"/>
              <w:rPr>
                <w:sz w:val="11"/>
                <w:szCs w:val="11"/>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for vesting of RSUs</w:t>
            </w:r>
          </w:p>
        </w:tc>
        <w:tc>
          <w:tcPr>
            <w:tcW w:w="840" w:type="dxa"/>
            <w:vAlign w:val="bottom"/>
            <w:gridSpan w:val="4"/>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575,697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4"/>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1"/>
                <w:szCs w:val="11"/>
                <w:color w:val="auto"/>
              </w:rPr>
            </w:pPr>
          </w:p>
        </w:tc>
      </w:tr>
      <w:tr>
        <w:trPr>
          <w:trHeight w:val="135"/>
        </w:trPr>
        <w:tc>
          <w:tcPr>
            <w:tcW w:w="31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under 2023 Bonus Plan</w:t>
            </w:r>
          </w:p>
        </w:tc>
        <w:tc>
          <w:tcPr>
            <w:tcW w:w="84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95,588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4"/>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1"/>
                <w:szCs w:val="11"/>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880" w:type="dxa"/>
            <w:vAlign w:val="bottom"/>
            <w:gridSpan w:val="5"/>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(151,001)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4"/>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20" w:type="dxa"/>
            <w:vAlign w:val="bottom"/>
          </w:tcPr>
          <w:p>
            <w:pPr>
              <w:spacing w:after="0"/>
              <w:rPr>
                <w:sz w:val="11"/>
                <w:szCs w:val="11"/>
                <w:color w:val="auto"/>
              </w:rPr>
            </w:pPr>
          </w:p>
        </w:tc>
      </w:tr>
      <w:tr>
        <w:trPr>
          <w:trHeight w:val="135"/>
        </w:trPr>
        <w:tc>
          <w:tcPr>
            <w:tcW w:w="31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withheld for withholding tax on 2023 Bonus Plan</w:t>
            </w:r>
          </w:p>
        </w:tc>
        <w:tc>
          <w:tcPr>
            <w:tcW w:w="880" w:type="dxa"/>
            <w:vAlign w:val="bottom"/>
            <w:gridSpan w:val="5"/>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(36,375)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4"/>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20" w:type="dxa"/>
            <w:vAlign w:val="bottom"/>
          </w:tcPr>
          <w:p>
            <w:pPr>
              <w:spacing w:after="0"/>
              <w:rPr>
                <w:sz w:val="11"/>
                <w:szCs w:val="11"/>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2,171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4"/>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2,171</w:t>
            </w:r>
          </w:p>
        </w:tc>
        <w:tc>
          <w:tcPr>
            <w:tcW w:w="20" w:type="dxa"/>
            <w:vAlign w:val="bottom"/>
          </w:tcPr>
          <w:p>
            <w:pPr>
              <w:spacing w:after="0"/>
              <w:rPr>
                <w:sz w:val="11"/>
                <w:szCs w:val="11"/>
                <w:color w:val="auto"/>
              </w:rPr>
            </w:pPr>
          </w:p>
        </w:tc>
      </w:tr>
      <w:tr>
        <w:trPr>
          <w:trHeight w:val="135"/>
        </w:trPr>
        <w:tc>
          <w:tcPr>
            <w:tcW w:w="31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4"/>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(47,850)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20" w:type="dxa"/>
            <w:vAlign w:val="bottom"/>
          </w:tcPr>
          <w:p>
            <w:pPr>
              <w:spacing w:after="0"/>
              <w:rPr>
                <w:sz w:val="11"/>
                <w:szCs w:val="11"/>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and comprehensive loss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(10,796)</w:t>
            </w:r>
          </w:p>
        </w:tc>
        <w:tc>
          <w:tcPr>
            <w:tcW w:w="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(10,796)</w:t>
            </w:r>
          </w:p>
        </w:tc>
        <w:tc>
          <w:tcPr>
            <w:tcW w:w="20" w:type="dxa"/>
            <w:vAlign w:val="bottom"/>
          </w:tcPr>
          <w:p>
            <w:pPr>
              <w:spacing w:after="0"/>
              <w:rPr>
                <w:sz w:val="11"/>
                <w:szCs w:val="11"/>
                <w:color w:val="auto"/>
              </w:rPr>
            </w:pPr>
          </w:p>
        </w:tc>
      </w:tr>
      <w:tr>
        <w:trPr>
          <w:trHeight w:val="128"/>
        </w:trPr>
        <w:tc>
          <w:tcPr>
            <w:tcW w:w="312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color w:val="auto"/>
              </w:rPr>
              <w:t>Balance as of June 30, 2024</w:t>
            </w:r>
          </w:p>
        </w:tc>
        <w:tc>
          <w:tcPr>
            <w:tcW w:w="840" w:type="dxa"/>
            <w:vAlign w:val="bottom"/>
            <w:tcBorders>
              <w:top w:val="single" w:sz="8" w:color="auto"/>
            </w:tcBorders>
            <w:gridSpan w:val="4"/>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41,739,875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258,493</w:t>
            </w:r>
          </w:p>
        </w:tc>
        <w:tc>
          <w:tcPr>
            <w:tcW w:w="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(209,737)</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(47,850)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(87)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48,711</w:t>
            </w:r>
          </w:p>
        </w:tc>
        <w:tc>
          <w:tcPr>
            <w:tcW w:w="20" w:type="dxa"/>
            <w:vAlign w:val="bottom"/>
          </w:tcPr>
          <w:p>
            <w:pPr>
              <w:spacing w:after="0"/>
              <w:rPr>
                <w:sz w:val="11"/>
                <w:szCs w:val="11"/>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for vesting of RSUs</w:t>
            </w:r>
          </w:p>
        </w:tc>
        <w:tc>
          <w:tcPr>
            <w:tcW w:w="840" w:type="dxa"/>
            <w:vAlign w:val="bottom"/>
            <w:gridSpan w:val="4"/>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122,792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4"/>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17"/>
        </w:trPr>
        <w:tc>
          <w:tcPr>
            <w:tcW w:w="312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stock for employee stock purchase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plan (ESPP)</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57,693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0" w:type="dxa"/>
            <w:vAlign w:val="bottom"/>
          </w:tcPr>
          <w:p>
            <w:pPr>
              <w:spacing w:after="0"/>
              <w:rPr>
                <w:sz w:val="13"/>
                <w:szCs w:val="13"/>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880" w:type="dxa"/>
            <w:vAlign w:val="bottom"/>
            <w:gridSpan w:val="5"/>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(7,651)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4"/>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1"/>
                <w:szCs w:val="11"/>
                <w:color w:val="auto"/>
              </w:rPr>
            </w:pPr>
          </w:p>
        </w:tc>
      </w:tr>
      <w:tr>
        <w:trPr>
          <w:trHeight w:val="135"/>
        </w:trPr>
        <w:tc>
          <w:tcPr>
            <w:tcW w:w="31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2,065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4"/>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2,065</w:t>
            </w:r>
          </w:p>
        </w:tc>
        <w:tc>
          <w:tcPr>
            <w:tcW w:w="20" w:type="dxa"/>
            <w:vAlign w:val="bottom"/>
          </w:tcPr>
          <w:p>
            <w:pPr>
              <w:spacing w:after="0"/>
              <w:rPr>
                <w:sz w:val="11"/>
                <w:szCs w:val="11"/>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4"/>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(130,293)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20" w:type="dxa"/>
            <w:vAlign w:val="bottom"/>
          </w:tcPr>
          <w:p>
            <w:pPr>
              <w:spacing w:after="0"/>
              <w:rPr>
                <w:sz w:val="11"/>
                <w:szCs w:val="11"/>
                <w:color w:val="auto"/>
              </w:rPr>
            </w:pPr>
          </w:p>
        </w:tc>
      </w:tr>
      <w:tr>
        <w:trPr>
          <w:trHeight w:val="135"/>
        </w:trPr>
        <w:tc>
          <w:tcPr>
            <w:tcW w:w="31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and comprehensive loss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(6,879)</w:t>
            </w:r>
          </w:p>
        </w:tc>
        <w:tc>
          <w:tcPr>
            <w:tcW w:w="40" w:type="dxa"/>
            <w:vAlign w:val="bottom"/>
          </w:tcPr>
          <w:p>
            <w:pPr>
              <w:spacing w:after="0"/>
              <w:rPr>
                <w:sz w:val="11"/>
                <w:szCs w:val="11"/>
                <w:color w:val="auto"/>
              </w:rPr>
            </w:pPr>
          </w:p>
        </w:tc>
        <w:tc>
          <w:tcPr>
            <w:tcW w:w="80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(6,879)</w:t>
            </w:r>
          </w:p>
        </w:tc>
        <w:tc>
          <w:tcPr>
            <w:tcW w:w="20" w:type="dxa"/>
            <w:vAlign w:val="bottom"/>
          </w:tcPr>
          <w:p>
            <w:pPr>
              <w:spacing w:after="0"/>
              <w:rPr>
                <w:sz w:val="11"/>
                <w:szCs w:val="11"/>
                <w:color w:val="auto"/>
              </w:rPr>
            </w:pPr>
          </w:p>
        </w:tc>
      </w:tr>
      <w:tr>
        <w:trPr>
          <w:trHeight w:val="128"/>
        </w:trPr>
        <w:tc>
          <w:tcPr>
            <w:tcW w:w="312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September 29, 2024</w:t>
            </w:r>
          </w:p>
        </w:tc>
        <w:tc>
          <w:tcPr>
            <w:tcW w:w="840" w:type="dxa"/>
            <w:vAlign w:val="bottom"/>
            <w:tcBorders>
              <w:top w:val="single" w:sz="8" w:color="auto"/>
            </w:tcBorders>
            <w:gridSpan w:val="4"/>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41,912,709</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42</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260,619</w:t>
            </w: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(216,616)</w:t>
            </w: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(178,143)</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(276)</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43,769</w:t>
            </w:r>
          </w:p>
        </w:tc>
        <w:tc>
          <w:tcPr>
            <w:tcW w:w="20" w:type="dxa"/>
            <w:vAlign w:val="bottom"/>
          </w:tcPr>
          <w:p>
            <w:pPr>
              <w:spacing w:after="0"/>
              <w:rPr>
                <w:sz w:val="11"/>
                <w:szCs w:val="11"/>
                <w:color w:val="auto"/>
              </w:rPr>
            </w:pPr>
          </w:p>
        </w:tc>
      </w:tr>
      <w:tr>
        <w:trPr>
          <w:trHeight w:val="392"/>
        </w:trPr>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the Thirty-Nine Weeks Ended October 1, 2023</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30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3"/>
          </w:tcPr>
          <w:p>
            <w:pPr>
              <w:jc w:val="right"/>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jc w:val="center"/>
              <w:ind w:right="157"/>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Pr>
          <w:p>
            <w:pPr>
              <w:spacing w:after="0"/>
              <w:rPr>
                <w:sz w:val="9"/>
                <w:szCs w:val="9"/>
                <w:color w:val="auto"/>
              </w:rPr>
            </w:pPr>
          </w:p>
        </w:tc>
      </w:tr>
      <w:tr>
        <w:trPr>
          <w:trHeight w:val="155"/>
        </w:trPr>
        <w:tc>
          <w:tcPr>
            <w:tcW w:w="3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7"/>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780" w:type="dxa"/>
            <w:vAlign w:val="bottom"/>
            <w:gridSpan w:val="8"/>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Treasury Stock</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Stockholders'</w:t>
            </w:r>
          </w:p>
        </w:tc>
      </w:tr>
      <w:tr>
        <w:trPr>
          <w:trHeight w:val="128"/>
        </w:trPr>
        <w:tc>
          <w:tcPr>
            <w:tcW w:w="3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34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center"/>
              <w:ind w:right="36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42"/>
        </w:trPr>
        <w:tc>
          <w:tcPr>
            <w:tcW w:w="312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as of January 1, 2023</w:t>
            </w: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39,259,328</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238,725</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(173,871)</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4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64,893</w:t>
            </w:r>
          </w:p>
        </w:tc>
        <w:tc>
          <w:tcPr>
            <w:tcW w:w="20" w:type="dxa"/>
            <w:vAlign w:val="bottom"/>
          </w:tcPr>
          <w:p>
            <w:pPr>
              <w:spacing w:after="0"/>
              <w:rPr>
                <w:sz w:val="12"/>
                <w:szCs w:val="12"/>
                <w:color w:val="auto"/>
              </w:rPr>
            </w:pPr>
          </w:p>
        </w:tc>
      </w:tr>
      <w:tr>
        <w:trPr>
          <w:trHeight w:val="135"/>
        </w:trPr>
        <w:tc>
          <w:tcPr>
            <w:tcW w:w="31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for vesting of RSUs</w:t>
            </w:r>
          </w:p>
        </w:tc>
        <w:tc>
          <w:tcPr>
            <w:tcW w:w="7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491,769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1"/>
                <w:szCs w:val="11"/>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w w:val="97"/>
              </w:rPr>
              <w:t>Issuance of common stock for special compensation award</w:t>
            </w:r>
          </w:p>
        </w:tc>
        <w:tc>
          <w:tcPr>
            <w:tcW w:w="7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208,914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4"/>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31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for ESPP</w:t>
            </w:r>
          </w:p>
        </w:tc>
        <w:tc>
          <w:tcPr>
            <w:tcW w:w="7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47,502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269</w:t>
            </w:r>
          </w:p>
        </w:tc>
        <w:tc>
          <w:tcPr>
            <w:tcW w:w="20" w:type="dxa"/>
            <w:vAlign w:val="bottom"/>
          </w:tcPr>
          <w:p>
            <w:pPr>
              <w:spacing w:after="0"/>
              <w:rPr>
                <w:sz w:val="11"/>
                <w:szCs w:val="11"/>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7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(277,606)</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4"/>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(662)</w:t>
            </w:r>
          </w:p>
        </w:tc>
        <w:tc>
          <w:tcPr>
            <w:tcW w:w="20" w:type="dxa"/>
            <w:vAlign w:val="bottom"/>
          </w:tcPr>
          <w:p>
            <w:pPr>
              <w:spacing w:after="0"/>
              <w:rPr>
                <w:sz w:val="11"/>
                <w:szCs w:val="11"/>
                <w:color w:val="auto"/>
              </w:rPr>
            </w:pPr>
          </w:p>
        </w:tc>
      </w:tr>
      <w:tr>
        <w:trPr>
          <w:trHeight w:val="135"/>
        </w:trPr>
        <w:tc>
          <w:tcPr>
            <w:tcW w:w="31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Forfeited shares of restricted stock</w:t>
            </w:r>
          </w:p>
        </w:tc>
        <w:tc>
          <w:tcPr>
            <w:tcW w:w="7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(2,720)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4,892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4"/>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4,892</w:t>
            </w:r>
          </w:p>
        </w:tc>
        <w:tc>
          <w:tcPr>
            <w:tcW w:w="20" w:type="dxa"/>
            <w:vAlign w:val="bottom"/>
          </w:tcPr>
          <w:p>
            <w:pPr>
              <w:spacing w:after="0"/>
              <w:rPr>
                <w:sz w:val="11"/>
                <w:szCs w:val="11"/>
                <w:color w:val="auto"/>
              </w:rPr>
            </w:pPr>
          </w:p>
        </w:tc>
      </w:tr>
      <w:tr>
        <w:trPr>
          <w:trHeight w:val="135"/>
        </w:trPr>
        <w:tc>
          <w:tcPr>
            <w:tcW w:w="31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and comprehensive loss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(5,618)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(5,618)</w:t>
            </w:r>
          </w:p>
        </w:tc>
        <w:tc>
          <w:tcPr>
            <w:tcW w:w="20" w:type="dxa"/>
            <w:vAlign w:val="bottom"/>
          </w:tcPr>
          <w:p>
            <w:pPr>
              <w:spacing w:after="0"/>
              <w:rPr>
                <w:sz w:val="11"/>
                <w:szCs w:val="11"/>
                <w:color w:val="auto"/>
              </w:rPr>
            </w:pPr>
          </w:p>
        </w:tc>
      </w:tr>
      <w:tr>
        <w:trPr>
          <w:trHeight w:val="128"/>
        </w:trPr>
        <w:tc>
          <w:tcPr>
            <w:tcW w:w="312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April 2, 2023</w:t>
            </w:r>
          </w:p>
        </w:tc>
        <w:tc>
          <w:tcPr>
            <w:tcW w:w="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39,727,187</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243,224</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(179,489)</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4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63,775</w:t>
            </w:r>
          </w:p>
        </w:tc>
        <w:tc>
          <w:tcPr>
            <w:tcW w:w="20" w:type="dxa"/>
            <w:vAlign w:val="bottom"/>
          </w:tcPr>
          <w:p>
            <w:pPr>
              <w:spacing w:after="0"/>
              <w:rPr>
                <w:sz w:val="11"/>
                <w:szCs w:val="11"/>
                <w:color w:val="auto"/>
              </w:rPr>
            </w:pPr>
          </w:p>
        </w:tc>
      </w:tr>
      <w:tr>
        <w:trPr>
          <w:trHeight w:val="135"/>
        </w:trPr>
        <w:tc>
          <w:tcPr>
            <w:tcW w:w="31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for vesting of RSUs</w:t>
            </w:r>
          </w:p>
        </w:tc>
        <w:tc>
          <w:tcPr>
            <w:tcW w:w="7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634,567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7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(220,843)</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4"/>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(558)</w:t>
            </w:r>
          </w:p>
        </w:tc>
        <w:tc>
          <w:tcPr>
            <w:tcW w:w="20" w:type="dxa"/>
            <w:vAlign w:val="bottom"/>
          </w:tcPr>
          <w:p>
            <w:pPr>
              <w:spacing w:after="0"/>
              <w:rPr>
                <w:sz w:val="11"/>
                <w:szCs w:val="11"/>
                <w:color w:val="auto"/>
              </w:rPr>
            </w:pPr>
          </w:p>
        </w:tc>
      </w:tr>
      <w:tr>
        <w:trPr>
          <w:trHeight w:val="135"/>
        </w:trPr>
        <w:tc>
          <w:tcPr>
            <w:tcW w:w="31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4,054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4,054</w:t>
            </w:r>
          </w:p>
        </w:tc>
        <w:tc>
          <w:tcPr>
            <w:tcW w:w="20" w:type="dxa"/>
            <w:vAlign w:val="bottom"/>
          </w:tcPr>
          <w:p>
            <w:pPr>
              <w:spacing w:after="0"/>
              <w:rPr>
                <w:sz w:val="11"/>
                <w:szCs w:val="11"/>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and comprehensive loss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(2,597)</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3"/>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(2,597)</w:t>
            </w:r>
          </w:p>
        </w:tc>
        <w:tc>
          <w:tcPr>
            <w:tcW w:w="20" w:type="dxa"/>
            <w:vAlign w:val="bottom"/>
          </w:tcPr>
          <w:p>
            <w:pPr>
              <w:spacing w:after="0"/>
              <w:rPr>
                <w:sz w:val="11"/>
                <w:szCs w:val="11"/>
                <w:color w:val="auto"/>
              </w:rPr>
            </w:pPr>
          </w:p>
        </w:tc>
      </w:tr>
      <w:tr>
        <w:trPr>
          <w:trHeight w:val="129"/>
        </w:trPr>
        <w:tc>
          <w:tcPr>
            <w:tcW w:w="30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as of July 2, 2023</w:t>
            </w: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rPr>
              <w:t>40,140,911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246,720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(182,086)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ind w:left="4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spacing w:after="0"/>
              <w:rPr>
                <w:sz w:val="11"/>
                <w:szCs w:val="11"/>
                <w:color w:val="auto"/>
              </w:rPr>
            </w:pPr>
          </w:p>
        </w:tc>
        <w:tc>
          <w:tcPr>
            <w:tcW w:w="1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64,674</w:t>
            </w:r>
          </w:p>
        </w:tc>
        <w:tc>
          <w:tcPr>
            <w:tcW w:w="20" w:type="dxa"/>
            <w:vAlign w:val="bottom"/>
          </w:tcPr>
          <w:p>
            <w:pPr>
              <w:spacing w:after="0"/>
              <w:rPr>
                <w:sz w:val="11"/>
                <w:szCs w:val="11"/>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for vesting of RSUs</w:t>
            </w:r>
          </w:p>
        </w:tc>
        <w:tc>
          <w:tcPr>
            <w:tcW w:w="7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505,172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4"/>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17"/>
        </w:trPr>
        <w:tc>
          <w:tcPr>
            <w:tcW w:w="312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common stock for employee stock purchase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plan (ESPP)</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52,775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20" w:type="dxa"/>
            <w:vAlign w:val="bottom"/>
          </w:tcPr>
          <w:p>
            <w:pPr>
              <w:spacing w:after="0"/>
              <w:rPr>
                <w:sz w:val="13"/>
                <w:szCs w:val="13"/>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withheld for withholding tax on RSUs</w:t>
            </w:r>
          </w:p>
        </w:tc>
        <w:tc>
          <w:tcPr>
            <w:tcW w:w="7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(232,465)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4"/>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(467)</w:t>
            </w:r>
          </w:p>
        </w:tc>
        <w:tc>
          <w:tcPr>
            <w:tcW w:w="20" w:type="dxa"/>
            <w:vAlign w:val="bottom"/>
          </w:tcPr>
          <w:p>
            <w:pPr>
              <w:spacing w:after="0"/>
              <w:rPr>
                <w:sz w:val="11"/>
                <w:szCs w:val="11"/>
                <w:color w:val="auto"/>
              </w:rPr>
            </w:pPr>
          </w:p>
        </w:tc>
      </w:tr>
      <w:tr>
        <w:trPr>
          <w:trHeight w:val="135"/>
        </w:trPr>
        <w:tc>
          <w:tcPr>
            <w:tcW w:w="31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Forfeited shares of restricted stock</w:t>
            </w:r>
          </w:p>
        </w:tc>
        <w:tc>
          <w:tcPr>
            <w:tcW w:w="7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(1,910)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4"/>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31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4"/>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4,200</w:t>
            </w:r>
          </w:p>
        </w:tc>
        <w:tc>
          <w:tcPr>
            <w:tcW w:w="20" w:type="dxa"/>
            <w:vAlign w:val="bottom"/>
          </w:tcPr>
          <w:p>
            <w:pPr>
              <w:spacing w:after="0"/>
              <w:rPr>
                <w:sz w:val="11"/>
                <w:szCs w:val="11"/>
                <w:color w:val="auto"/>
              </w:rPr>
            </w:pPr>
          </w:p>
        </w:tc>
      </w:tr>
      <w:tr>
        <w:trPr>
          <w:trHeight w:val="135"/>
        </w:trPr>
        <w:tc>
          <w:tcPr>
            <w:tcW w:w="31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 and comprehensive (loss)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(3,889)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(3,889)</w:t>
            </w:r>
          </w:p>
        </w:tc>
        <w:tc>
          <w:tcPr>
            <w:tcW w:w="20" w:type="dxa"/>
            <w:vAlign w:val="bottom"/>
          </w:tcPr>
          <w:p>
            <w:pPr>
              <w:spacing w:after="0"/>
              <w:rPr>
                <w:sz w:val="11"/>
                <w:szCs w:val="11"/>
                <w:color w:val="auto"/>
              </w:rPr>
            </w:pPr>
          </w:p>
        </w:tc>
      </w:tr>
      <w:tr>
        <w:trPr>
          <w:trHeight w:val="129"/>
        </w:trPr>
        <w:tc>
          <w:tcPr>
            <w:tcW w:w="30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October 1, 2023</w:t>
            </w:r>
          </w:p>
        </w:tc>
        <w:tc>
          <w:tcPr>
            <w:tcW w:w="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40,464,483</w:t>
            </w:r>
          </w:p>
        </w:tc>
        <w:tc>
          <w:tcPr>
            <w:tcW w:w="1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250,671</w:t>
            </w: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gridSpan w:val="2"/>
            <w:shd w:val="clear" w:color="auto" w:fill="CCEEFF"/>
          </w:tcPr>
          <w:p>
            <w:pPr>
              <w:jc w:val="right"/>
              <w:ind w:right="4"/>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(185,975)</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gridSpan w:val="3"/>
            <w:shd w:val="clear" w:color="auto" w:fill="CCEEFF"/>
          </w:tcPr>
          <w:p>
            <w:pPr>
              <w:ind w:left="4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gridSpan w:val="2"/>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gridSpan w:val="3"/>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gridSpan w:val="2"/>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64,736</w:t>
            </w:r>
          </w:p>
        </w:tc>
        <w:tc>
          <w:tcPr>
            <w:tcW w:w="20" w:type="dxa"/>
            <w:vAlign w:val="bottom"/>
          </w:tcPr>
          <w:p>
            <w:pPr>
              <w:spacing w:after="0"/>
              <w:rPr>
                <w:sz w:val="11"/>
                <w:szCs w:val="11"/>
                <w:color w:val="auto"/>
              </w:rPr>
            </w:pPr>
          </w:p>
        </w:tc>
      </w:tr>
    </w:tbl>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6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2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(23,411)</w:t>
            </w:r>
          </w:p>
        </w:tc>
        <w:tc>
          <w:tcPr>
            <w:tcW w:w="2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(12,104)</w:t>
            </w:r>
          </w:p>
        </w:tc>
        <w:tc>
          <w:tcPr>
            <w:tcW w:w="0" w:type="dxa"/>
            <w:vAlign w:val="bottom"/>
          </w:tcPr>
          <w:p>
            <w:pPr>
              <w:spacing w:after="0"/>
              <w:rPr>
                <w:sz w:val="1"/>
                <w:szCs w:val="1"/>
                <w:color w:val="auto"/>
              </w:rPr>
            </w:pPr>
          </w:p>
        </w:tc>
      </w:tr>
      <w:tr>
        <w:trPr>
          <w:trHeight w:val="149"/>
        </w:trPr>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Equity-based compensation expense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(2,281)</w:t>
            </w:r>
          </w:p>
        </w:tc>
        <w:tc>
          <w:tcPr>
            <w:tcW w:w="0" w:type="dxa"/>
            <w:vAlign w:val="bottom"/>
          </w:tcPr>
          <w:p>
            <w:pPr>
              <w:spacing w:after="0"/>
              <w:rPr>
                <w:sz w:val="1"/>
                <w:szCs w:val="1"/>
                <w:color w:val="auto"/>
              </w:rPr>
            </w:pPr>
          </w:p>
        </w:tc>
      </w:tr>
      <w:tr>
        <w:trPr>
          <w:trHeight w:val="148"/>
        </w:trPr>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Assets for recovery</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(1,741)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(1,853)</w:t>
            </w:r>
          </w:p>
        </w:tc>
        <w:tc>
          <w:tcPr>
            <w:tcW w:w="0" w:type="dxa"/>
            <w:vAlign w:val="bottom"/>
          </w:tcPr>
          <w:p>
            <w:pPr>
              <w:spacing w:after="0"/>
              <w:rPr>
                <w:sz w:val="1"/>
                <w:szCs w:val="1"/>
                <w:color w:val="auto"/>
              </w:rPr>
            </w:pPr>
          </w:p>
        </w:tc>
      </w:tr>
      <w:tr>
        <w:trPr>
          <w:trHeight w:val="149"/>
        </w:trPr>
        <w:tc>
          <w:tcPr>
            <w:tcW w:w="62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 (receivable) payable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and other current assets</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(3,276)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11,636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(2,464)</w:t>
            </w:r>
          </w:p>
        </w:tc>
        <w:tc>
          <w:tcPr>
            <w:tcW w:w="0" w:type="dxa"/>
            <w:vAlign w:val="bottom"/>
          </w:tcPr>
          <w:p>
            <w:pPr>
              <w:spacing w:after="0"/>
              <w:rPr>
                <w:sz w:val="1"/>
                <w:szCs w:val="1"/>
                <w:color w:val="auto"/>
              </w:rPr>
            </w:pPr>
          </w:p>
        </w:tc>
      </w:tr>
      <w:tr>
        <w:trPr>
          <w:trHeight w:val="149"/>
        </w:trPr>
        <w:tc>
          <w:tcPr>
            <w:tcW w:w="62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9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5,133</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21,100</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Capitalized software development costs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(1,550)</w:t>
            </w:r>
          </w:p>
        </w:tc>
        <w:tc>
          <w:tcPr>
            <w:tcW w:w="0" w:type="dxa"/>
            <w:vAlign w:val="bottom"/>
          </w:tcPr>
          <w:p>
            <w:pPr>
              <w:spacing w:after="0"/>
              <w:rPr>
                <w:sz w:val="1"/>
                <w:szCs w:val="1"/>
                <w:color w:val="auto"/>
              </w:rPr>
            </w:pPr>
          </w:p>
        </w:tc>
      </w:tr>
      <w:tr>
        <w:trPr>
          <w:trHeight w:val="148"/>
        </w:trPr>
        <w:tc>
          <w:tcPr>
            <w:tcW w:w="62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(1,271)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(1,393)</w:t>
            </w:r>
          </w:p>
        </w:tc>
        <w:tc>
          <w:tcPr>
            <w:tcW w:w="0" w:type="dxa"/>
            <w:vAlign w:val="bottom"/>
          </w:tcPr>
          <w:p>
            <w:pPr>
              <w:spacing w:after="0"/>
              <w:rPr>
                <w:sz w:val="1"/>
                <w:szCs w:val="1"/>
                <w:color w:val="auto"/>
              </w:rPr>
            </w:pPr>
          </w:p>
        </w:tc>
      </w:tr>
      <w:tr>
        <w:trPr>
          <w:trHeight w:val="148"/>
        </w:trPr>
        <w:tc>
          <w:tcPr>
            <w:tcW w:w="62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2"/>
        </w:trPr>
        <w:tc>
          <w:tcPr>
            <w:tcW w:w="6220" w:type="dxa"/>
            <w:vAlign w:val="bottom"/>
            <w:tcBorders>
              <w:top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9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(2,415)</w:t>
            </w: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(3,009)</w:t>
            </w: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borrowings on revolving line of credit</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Repayments on revolving line of credit</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(24,000)</w:t>
            </w:r>
          </w:p>
        </w:tc>
        <w:tc>
          <w:tcPr>
            <w:tcW w:w="0" w:type="dxa"/>
            <w:vAlign w:val="bottom"/>
          </w:tcPr>
          <w:p>
            <w:pPr>
              <w:spacing w:after="0"/>
              <w:rPr>
                <w:sz w:val="1"/>
                <w:szCs w:val="1"/>
                <w:color w:val="auto"/>
              </w:rPr>
            </w:pPr>
          </w:p>
        </w:tc>
      </w:tr>
      <w:tr>
        <w:trPr>
          <w:trHeight w:val="149"/>
        </w:trPr>
        <w:tc>
          <w:tcPr>
            <w:tcW w:w="62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 (ESPP)</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Principal payments on finance lease obligations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(1,374)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148"/>
        </w:trPr>
        <w:tc>
          <w:tcPr>
            <w:tcW w:w="62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Withholding tax payments related to vesting of RSUs and 2023 Bonus Plan</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(1,199)</w:t>
            </w:r>
          </w:p>
        </w:tc>
        <w:tc>
          <w:tcPr>
            <w:tcW w:w="0" w:type="dxa"/>
            <w:vAlign w:val="bottom"/>
          </w:tcPr>
          <w:p>
            <w:pPr>
              <w:spacing w:after="0"/>
              <w:rPr>
                <w:sz w:val="1"/>
                <w:szCs w:val="1"/>
                <w:color w:val="auto"/>
              </w:rPr>
            </w:pPr>
          </w:p>
        </w:tc>
      </w:tr>
      <w:tr>
        <w:trPr>
          <w:trHeight w:val="149"/>
        </w:trPr>
        <w:tc>
          <w:tcPr>
            <w:tcW w:w="62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2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9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1,084</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(15,444)</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increase in cash and cash equivalents</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3,802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2,647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9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2,506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10,219</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9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12,866</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(Continued)</w:t>
            </w: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89"/>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during the period for:</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net</w:t>
            </w:r>
          </w:p>
        </w:tc>
        <w:tc>
          <w:tcPr>
            <w:tcW w:w="11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3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11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770</w:t>
            </w:r>
          </w:p>
        </w:tc>
        <w:tc>
          <w:tcPr>
            <w:tcW w:w="3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leases</w:t>
            </w:r>
          </w:p>
        </w:tc>
        <w:tc>
          <w:tcPr>
            <w:tcW w:w="11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4,199</w:t>
            </w:r>
          </w:p>
        </w:tc>
        <w:tc>
          <w:tcPr>
            <w:tcW w:w="3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Finance leases</w:t>
            </w:r>
          </w:p>
        </w:tc>
        <w:tc>
          <w:tcPr>
            <w:tcW w:w="11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w:t>
            </w:r>
          </w:p>
        </w:tc>
        <w:tc>
          <w:tcPr>
            <w:tcW w:w="3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acquired under operating lease obligations</w:t>
            </w:r>
          </w:p>
        </w:tc>
        <w:tc>
          <w:tcPr>
            <w:tcW w:w="11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Assets acquired under finance lease obligations</w:t>
            </w:r>
          </w:p>
        </w:tc>
        <w:tc>
          <w:tcPr>
            <w:tcW w:w="11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3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expenses</w:t>
            </w:r>
          </w:p>
        </w:tc>
        <w:tc>
          <w:tcPr>
            <w:tcW w:w="11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3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(Concluded)</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87" w:lineRule="exact"/>
        <w:rPr>
          <w:sz w:val="20"/>
          <w:szCs w:val="20"/>
          <w:color w:val="auto"/>
        </w:rPr>
      </w:pPr>
    </w:p>
    <w:p>
      <w:pPr>
        <w:ind w:left="60" w:right="4319" w:hanging="10"/>
        <w:spacing w:after="0" w:line="503" w:lineRule="auto"/>
        <w:tabs>
          <w:tab w:leader="none" w:pos="70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Organization and Liquidity Organization and Business</w:t>
      </w: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Pursuant to a reorganization, Lulu’s Fashion Lounge Holdings, Inc., a Delaware Corporation (“Lulus”, “we”, “our”, or the “Company”), was formed on August 25, 2017 as a holding company and its primary asset is an indirect membership interest in Lulu’s Fashion Lounge, LLC (“Lulus LLC”). Prior to the Company’s initial public offering, the Company was majority-owned by Lulu’s Holdings, L.P. (the “LP”). In connection with the Company’s initial public offering, the LP was liquidated.</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Lulus LLC was founded in 1996, starting as a vintage boutique in Chico, CA that began selling online in 2005 and transitioned to a purely online business in 2008. The LP was formed in 2014 as a holding company and purchased 100% of Lulus LLC’s outstanding common stock in 2014. The Company, through Lulus LLC, is a customer-driven, primarily online, digitally-native, attainable luxury fashion brand for women, offering modern, unapologetically feminine designs at accessible prices for all of life’s fashionable moments.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Macroeconomic Trends on Business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Changing macroeconomic factors, including inflation, interest rates, student loan repayment resumption, as well as world events, wars and domestic and international conflicts, affect overall consumer confidence with respect to current and future economic conditions and continue to impact our sales as discretionary consumer spending levels and shopping behavior fluctuate with these factors. We continue to respond to these factors, as needed, by taking appropriate pricing, promotional and other actions to stimulate customer demand. These factors may continue to have an impact on our business, results of operations, our growth and financial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During the thirteen and thirty-nine weeks ended September 29, 2024, the Company incurred net losses of $6.9 million and $23.4 million, respectively.</w:t>
      </w:r>
    </w:p>
    <w:p>
      <w:pPr>
        <w:spacing w:after="0" w:line="13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November 2021, the Company entered into a Credit Agreement (the “2021 Credit Agreement”) with Bank of America to provide a Revolving Facility (the “2021 Revolving Facility”) for borrowings up to $50.0 million. On July 22, 2024, the Company entered into the First Amendment to the Credit Agreement (the “2024 Amended Credit Agreement”) which extended the maturity date to August 15, 2025 and reduced the 2021 Revolving Facility to $15.0 million with a further reduction to $10.0 million on March 31, 2025, as further described in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As of September 29, 2024, the Company had total cash and cash equivalents of $6.3 million and $11.5 million due under the 2024 Amended Credit Agreement classified within total current liabilities. The Company borrowed an additional $1.6 million under the terms of the 2024 Amended Credit Agreement subsequent to September 29, 2024.</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of September 29, 2024, the Company was not in compliance with its preliminary financial covenants for the third quarter 2024 required by its 2024 Amended Credit Agreement. On November 12, 2024, the Company entered into a second amendment to the 2021 Credit Agreement (the “November 2024 Amended Credit Agreement”) as described in Note 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November 2024 Amended Credit Agreement extended the Company's reporting deadline for its financial statements and covenant compliance certificate for the third quarter 2024 to December 16, 2024, and required that the financial covenants be tested on the earlier of the date the financial statements and compliance certificate are delivered or December 16, 2024. The November 2024 Amended Credit Agreement also provided that the failure to deliver the financial statements and covenant compliance certificate within the original time period required by the 2024 Amended Credit Agreement will not constitute an event of default. Further, the filing of this Form 10-Q with the SEC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shall not be deemed to constitute delivery of the financial statements and compliance certificate for the third quarter 2024. The November 2024 Amended Credit Agreement also revised the applicable interest rates for borrowings for the period commencing on November 12, 2024, as described in Note 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Until the earlier of the date the financial statements and compliance certificate are delivered or December 16, 2024, the Company has no further access to the revolving commitments under the November 2024 Amended Credit Agreement. If the Company has not refinanced the revolving credit facility or obtained a further waiver or amendment prior to December 16, 2024, the Company expects to be in default of its 2024 Amended Credit Agreement, and as a result, its lenders would have the right in such circumstances to terminate any commitments to provide further borrowings and to elect to declare all outstanding borrowings, together with accrued interest and other fees, to be immediately due and payable.</w:t>
      </w:r>
    </w:p>
    <w:p>
      <w:pPr>
        <w:spacing w:after="0" w:line="21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is actively seeking alternative debt financing and continues to take certain cash conservation measures, including adjustments to marketing and other fixed and variable costs and capital spend to meet its obligations as needed. As the ability to raise additional debt financing is outside of management’s control, the Company cannot conclude that management’s plans will be effectively implemented within twelve months from the date the condensed consolidated financial statements are issued. Accordingly, the Company has concluded that these plans do not alleviate substantial doubt about the Company's ability to continue as a going concern. The condensed consolidated financial statements do not reflect any adjustments relating to the outcome of this uncertainty.</w:t>
      </w:r>
    </w:p>
    <w:p>
      <w:pPr>
        <w:spacing w:after="0" w:line="185" w:lineRule="exact"/>
        <w:rPr>
          <w:sz w:val="20"/>
          <w:szCs w:val="20"/>
          <w:color w:val="auto"/>
        </w:rPr>
      </w:pPr>
    </w:p>
    <w:p>
      <w:pPr>
        <w:ind w:left="700" w:hanging="650"/>
        <w:spacing w:after="0"/>
        <w:tabs>
          <w:tab w:leader="none" w:pos="7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Fiscal Year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fiscal year consists of a 52-week or 53-week period ending on the Sunday nearest to December 31.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fiscal years ending December 29, 2024 and ended December 31, 2023 consist of 52-weeks.</w:t>
      </w:r>
    </w:p>
    <w:p>
      <w:pPr>
        <w:spacing w:after="0" w:line="20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and accompanying notes include the accounts of the Company and its wholly owned subsidiaries, after elimination of all intercompany balances and transactions. The accompanying condensed consolidated financial statements have been prepared in accordance with accounting principles generally accepted in the Unites States of America (“GAAP”) and the requirements of the SEC for interim reporting. As permitted under these rules, certain information and disclosures normally included in consolidated financial statements prepared in accordance with GAAP have been condensed or omitted. The interim condensed consolidated financial statements are unaudited. The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September 29, 2024 and its results of operations for the thirteen and thirty-nine weeks ended September 29, 2024 and October 1, 2023 and its cash flows for the thirty-nine weeks ended September 29, 2024 and October 1, 2023. The results of operations for the thirty-nine weeks ended September 29, 2024 are not necessarily indicative of the results to be expected for the fiscal year ending December 29, 2024 or for any other future annual or interim period.</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was derived from the Company’s audited consolidated financial statements, which are included in the Company’s Annual Report on Form 10-K as filed with the SEC on March 6,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are consistent with those discussed in Note 2 to the audited consolidated financial statements included in the Company’s Annual Report on Form 10-K for the year ended December 31, 2023, except as noted below and within the "Recently Issued Accounting Pronouncements" section.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 of assets and liabilities and disclosure of contingent assets and liabilities at the date of the condensed consolidated financial statements and the reported amounts of revenue and expenses during the reporting period. The significant estimates and assumptions made by management relate to sales return reserves and related assets for recovery, lease right-of-use assets and related lease liabilities, income tax valuation allowance and fair value of equity awards.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consolidated financial statements in future periods. As future events and their effects cannot be determined with precision, actual results could materially differ from those estimates and assumptions.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and restricted cash. Such amounts may exceed federally insured limits. The Company reduces credit risk by depositing its cash with a major credit-worthy financial institution within the United States. To date, the Company has not experienced any losses on its cash deposits. As of September 29, 2024 and December 31, 2023, no single customer represented greater than 10% of the Company’s accounts receivable balance. No customer accounted for greater than 10% of the Company’s net revenue during the thirteen and thirty-nine weeks ended September 29, 2024 and October 1, 2023.</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Contracts that have been determined to convey the right to use an identified asset are evaluated for classification as an operating or finance lease. For the Company’s operating and finance leases, the Company records a lease liability based on the present value of the lease payments at lease inception. The present value of lease payments is determined by using the interest rate implicit in the lease, if that rate is readily determinable; otherwise, the Company uses its incremental borrowing rate (“IBR”). The determination of the IBR requires judgment and is primarily based on publicly-available information for companies within similar industries and with similar credit profiles. The Company adjusts the rate for the impact of collateralization, the lease term and other specific terms included in each lease arrangement. The IBR is determined at the lease commencement and is subsequently reassessed upon a modification to the lease arrangement. The right-of-use asset is recorded based on the corresponding lease liability at lease inception, adjusted for payments made to the lessor at or before the commencement date, initial direct costs incurred and any tenant incentives allowed for under the lease. The Company does not include optional renewal terms or early termination provisions unless the Company is reasonably certain such options would be exercised at the inception of the lease. Lease right-of-use assets, current portion of lease liabilities, and lease liabilities, net of current portion are included on the condensed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Fixed lease expense for operating leases is recognized on a straight-line basis, unless the right-of-use assets have been impaired, over the reasonably assured lease term based on the total lease payments and is included in operating expenses in the condensed consolidated statements of operations and comprehensive loss. Fixed and variable lease expense on operating leases is recognized within operating expenses in the condensed consolidated statements of operations and comprehensive loss. Finance lease expenses are recognized on a straight-line basis. Fixed and variable expenses are captured within interest expense and depreciation expense, which has components within general and administrative expenses and cost of revenue. The Company’s non-lease components are primarily related to maintenance, insurance and taxes, which varies based on future outcomes and is thus recognized in lease expense when incurred.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 Company expects to receive in exchange for those products. The Company’s payment terms are typically at the point of sale for merchandise product sales.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one performance obligation, the sale of the product, at shipping point (when the customer gains control). Shipping and handling costs associated with outbound freight are accounted for as fulfillment costs and are included in cost of goods sold. The Company has elected to apply the practical expedient to expense costs as incurred for incremental costs to obtain a contract when the amortization period would have been one year or less.</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Revenue from merchandise product sales is reported net of sales returns, which includes an estimate of future returns based on historical return rates, with a corresponding reduction to cost of sales. There is judgment in utilizing historical trends for estimating future returns. The Company’s refund liability for sales returns is included in the returns reserve on its condensed consolidated balance sheets and represents the expected value of the refund that will be due to the Company’s customers. The Company also has corresponding assets for recovery that represent the expected net realizable value of the merchandise inventory to be returned.</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sells stored-value gift cards to customers and offers merchandise credit stored-value cards for certain returns. Such stored-value cards do not have an expiration date. The Company recognizes revenue from stored-value cards when the card is redeemed by the customer. The Company has determined that sufficient evidence exists to support an estimate for stored-value card breakage. Subject to requirements to remit balances to governmental agencies, breakage is recognized as revenue in proportion to the pattern of rights exercised by the customer, which is substantially within thirty-six months from the date of issuance. The amount of breakage recognized in revenue during the thirteen and thirty-nine weeks ended September 29, 2024 and October 1, 2023 was not material.</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significant changes in the contract liabilities balances included in accrued expenses and other current liabilities during the thirteen and thirty-nine weeks ended September 29, 2024 and October 1, 2023 (in thousands):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Stored-Value</w:t>
            </w:r>
          </w:p>
        </w:tc>
        <w:tc>
          <w:tcPr>
            <w:tcW w:w="0" w:type="dxa"/>
            <w:vAlign w:val="bottom"/>
          </w:tcPr>
          <w:p>
            <w:pPr>
              <w:spacing w:after="0"/>
              <w:rPr>
                <w:sz w:val="1"/>
                <w:szCs w:val="1"/>
                <w:color w:val="auto"/>
              </w:rPr>
            </w:pPr>
          </w:p>
        </w:tc>
      </w:tr>
      <w:tr>
        <w:trPr>
          <w:trHeight w:val="173"/>
        </w:trPr>
        <w:tc>
          <w:tcPr>
            <w:tcW w:w="64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Cards</w:t>
            </w: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0" w:type="dxa"/>
            <w:vAlign w:val="bottom"/>
          </w:tcPr>
          <w:p>
            <w:pPr>
              <w:spacing w:after="0"/>
              <w:rPr>
                <w:sz w:val="1"/>
                <w:szCs w:val="1"/>
                <w:color w:val="auto"/>
              </w:rPr>
            </w:pP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period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198"/>
        </w:trPr>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during the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13,209</w:t>
            </w:r>
          </w:p>
        </w:tc>
        <w:tc>
          <w:tcPr>
            <w:tcW w:w="0" w:type="dxa"/>
            <w:vAlign w:val="bottom"/>
          </w:tcPr>
          <w:p>
            <w:pPr>
              <w:spacing w:after="0"/>
              <w:rPr>
                <w:sz w:val="1"/>
                <w:szCs w:val="1"/>
                <w:color w:val="auto"/>
              </w:rPr>
            </w:pPr>
          </w:p>
        </w:tc>
      </w:tr>
      <w:tr>
        <w:trPr>
          <w:trHeight w:val="198"/>
        </w:trPr>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period</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during the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period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198"/>
        </w:trPr>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during the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29, 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Stored-Value</w:t>
            </w:r>
          </w:p>
        </w:tc>
        <w:tc>
          <w:tcPr>
            <w:tcW w:w="0" w:type="dxa"/>
            <w:vAlign w:val="bottom"/>
          </w:tcPr>
          <w:p>
            <w:pPr>
              <w:spacing w:after="0"/>
              <w:rPr>
                <w:sz w:val="1"/>
                <w:szCs w:val="1"/>
                <w:color w:val="auto"/>
              </w:rPr>
            </w:pPr>
          </w:p>
        </w:tc>
      </w:tr>
      <w:tr>
        <w:trPr>
          <w:trHeight w:val="173"/>
        </w:trPr>
        <w:tc>
          <w:tcPr>
            <w:tcW w:w="64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Cards</w:t>
            </w: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0" w:type="dxa"/>
            <w:vAlign w:val="bottom"/>
          </w:tcPr>
          <w:p>
            <w:pPr>
              <w:spacing w:after="0"/>
              <w:rPr>
                <w:sz w:val="1"/>
                <w:szCs w:val="1"/>
                <w:color w:val="auto"/>
              </w:rPr>
            </w:pP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period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198"/>
        </w:trPr>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during the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April 2, 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0" w:type="dxa"/>
            <w:vAlign w:val="bottom"/>
          </w:tcPr>
          <w:p>
            <w:pPr>
              <w:spacing w:after="0"/>
              <w:rPr>
                <w:sz w:val="1"/>
                <w:szCs w:val="1"/>
                <w:color w:val="auto"/>
              </w:rPr>
            </w:pPr>
          </w:p>
        </w:tc>
      </w:tr>
      <w:tr>
        <w:trPr>
          <w:trHeight w:val="198"/>
        </w:trPr>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period</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during the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July 2, 2023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12,356</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Revenue recognized that was included in contract liability balance at the beginning of</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period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198"/>
        </w:trPr>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due to cash received, excluding amounts recognized as revenue during the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October 3, 2023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Advertising costs included in selling and marketing expenses were $13.1 million and $12.4 million for the thirteen weeks ended September 29, 2024 and October 1, 2023, respectively, and $46.2 million and $46.9 million for the thirty-nine weeks ended September 29, 2024 and October 1, 2023,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using net loss attributable to common stockholders divided by the weighted average number of common shares outstanding during the period. Diluted net loss per share attributable to common stockholders represents net loss attributable to common stockholders divided by the weighted average number of common shares outstanding during the period, including the effects of any dilutive securities outstanding. Due to the net loss for all periods presented, no potentially dilutive securities had an impact on diluted loss per share for any period.</w:t>
      </w:r>
    </w:p>
    <w:p>
      <w:pPr>
        <w:spacing w:after="0" w:line="18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securities were excluded from the computation of diluted net loss per share attributable to common stockholders for the periods presented because including them would have been anti-dilutive (on an as-converted basis):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2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6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2"/>
        </w:trPr>
        <w:tc>
          <w:tcPr>
            <w:tcW w:w="4160" w:type="dxa"/>
            <w:vAlign w:val="bottom"/>
          </w:tcPr>
          <w:p>
            <w:pPr>
              <w:spacing w:after="0"/>
              <w:rPr>
                <w:sz w:val="12"/>
                <w:szCs w:val="12"/>
                <w:color w:val="auto"/>
              </w:rPr>
            </w:pPr>
          </w:p>
        </w:tc>
        <w:tc>
          <w:tcPr>
            <w:tcW w:w="22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29, 2024 October 1, 2023</w:t>
            </w:r>
          </w:p>
        </w:tc>
        <w:tc>
          <w:tcPr>
            <w:tcW w:w="60" w:type="dxa"/>
            <w:vAlign w:val="bottom"/>
          </w:tcPr>
          <w:p>
            <w:pPr>
              <w:spacing w:after="0"/>
              <w:rPr>
                <w:sz w:val="12"/>
                <w:szCs w:val="12"/>
                <w:color w:val="auto"/>
              </w:rPr>
            </w:pPr>
          </w:p>
        </w:tc>
        <w:tc>
          <w:tcPr>
            <w:tcW w:w="13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29, 2024</w:t>
            </w:r>
          </w:p>
        </w:tc>
        <w:tc>
          <w:tcPr>
            <w:tcW w:w="11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October 1, 2023</w:t>
            </w:r>
          </w:p>
        </w:tc>
      </w:tr>
      <w:tr>
        <w:trPr>
          <w:trHeight w:val="20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161,396</w:t>
            </w:r>
          </w:p>
        </w:tc>
        <w:tc>
          <w:tcPr>
            <w:tcW w:w="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161,397</w:t>
            </w:r>
          </w:p>
        </w:tc>
        <w:tc>
          <w:tcPr>
            <w:tcW w:w="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161,396</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36,167</w:t>
            </w:r>
          </w:p>
        </w:tc>
        <w:tc>
          <w:tcPr>
            <w:tcW w:w="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36,167</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4,035,376</w:t>
            </w: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3,772,622</w:t>
            </w: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4,035,376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3,772,622</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2,161,571</w:t>
            </w: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1,811,571</w:t>
            </w:r>
          </w:p>
        </w:tc>
        <w:tc>
          <w:tcPr>
            <w:tcW w:w="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2,161,571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1,811,571</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109,403</w:t>
            </w: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117,511</w:t>
            </w: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117,511</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Bonus Plan</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202,307</w:t>
            </w:r>
          </w:p>
        </w:tc>
        <w:tc>
          <w:tcPr>
            <w:tcW w:w="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202,307</w:t>
            </w:r>
          </w:p>
        </w:tc>
        <w:tc>
          <w:tcPr>
            <w:tcW w:w="100" w:type="dxa"/>
            <w:vAlign w:val="bottom"/>
          </w:tcPr>
          <w:p>
            <w:pPr>
              <w:spacing w:after="0"/>
              <w:rPr>
                <w:sz w:val="18"/>
                <w:szCs w:val="18"/>
                <w:color w:val="auto"/>
              </w:rPr>
            </w:pPr>
          </w:p>
        </w:tc>
      </w:tr>
      <w:tr>
        <w:trPr>
          <w:trHeight w:val="210"/>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6,472,283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6,101,575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6,472,283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6,101,575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2024 Stock Repurchase Program</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May 3, 2024, the Company's Board of Directors authorized a stock repurchase program to repurchase up to $2.5 million of our common stock (the “2024 Repurchase Program”). The actual timing, number, and value of shares repurchased in the future will be determined by the Company in its discretion and will depend on a number of factors, including market conditions, applicable legal requirements, our capital needs, and whether there is a better alternative use of capital.</w:t>
      </w:r>
    </w:p>
    <w:p>
      <w:pPr>
        <w:spacing w:after="0" w:line="183" w:lineRule="exact"/>
        <w:rPr>
          <w:sz w:val="20"/>
          <w:szCs w:val="20"/>
          <w:color w:val="auto"/>
        </w:rPr>
      </w:pPr>
    </w:p>
    <w:p>
      <w:pPr>
        <w:jc w:val="both"/>
        <w:ind w:left="60" w:right="59" w:firstLine="324"/>
        <w:spacing w:after="0" w:line="268" w:lineRule="auto"/>
        <w:rPr>
          <w:sz w:val="20"/>
          <w:szCs w:val="20"/>
          <w:color w:val="auto"/>
        </w:rPr>
      </w:pPr>
      <w:r>
        <w:rPr>
          <w:rFonts w:ascii="Times New Roman" w:cs="Times New Roman" w:eastAsia="Times New Roman" w:hAnsi="Times New Roman"/>
          <w:sz w:val="18"/>
          <w:szCs w:val="18"/>
          <w:color w:val="auto"/>
        </w:rPr>
        <w:t>As of September 29, 2024, $2.2 million remained available under the 2024 Repurchase Program authorization. The table below summarizes the share repurchase activity during the thirteen and thirty-nine weeks ended September 29,</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 under our 2024 Repurchase Program:</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54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3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Value</w:t>
            </w: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that May Yet</w:t>
            </w:r>
          </w:p>
        </w:tc>
        <w:tc>
          <w:tcPr>
            <w:tcW w:w="0" w:type="dxa"/>
            <w:vAlign w:val="bottom"/>
          </w:tcPr>
          <w:p>
            <w:pPr>
              <w:spacing w:after="0"/>
              <w:rPr>
                <w:sz w:val="1"/>
                <w:szCs w:val="1"/>
                <w:color w:val="auto"/>
              </w:rPr>
            </w:pPr>
          </w:p>
        </w:tc>
      </w:tr>
      <w:tr>
        <w:trPr>
          <w:trHeight w:val="199"/>
        </w:trPr>
        <w:tc>
          <w:tcPr>
            <w:tcW w:w="298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0" w:type="dxa"/>
            <w:vAlign w:val="bottom"/>
          </w:tcPr>
          <w:p>
            <w:pPr>
              <w:spacing w:after="0"/>
              <w:rPr>
                <w:sz w:val="17"/>
                <w:szCs w:val="17"/>
                <w:color w:val="auto"/>
              </w:rPr>
            </w:pPr>
          </w:p>
        </w:tc>
        <w:tc>
          <w:tcPr>
            <w:tcW w:w="15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3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75"/>
        </w:trPr>
        <w:tc>
          <w:tcPr>
            <w:tcW w:w="2980" w:type="dxa"/>
            <w:vAlign w:val="bottom"/>
            <w:gridSpan w:val="2"/>
            <w:vMerge w:val="continue"/>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7"/>
              </w:rPr>
              <w:t xml:space="preserve">Purchased </w:t>
            </w:r>
            <w:r>
              <w:rPr>
                <w:rFonts w:ascii="Times New Roman" w:cs="Times New Roman" w:eastAsia="Times New Roman" w:hAnsi="Times New Roman"/>
                <w:sz w:val="20"/>
                <w:szCs w:val="20"/>
                <w:b w:val="1"/>
                <w:bCs w:val="1"/>
                <w:color w:val="auto"/>
                <w:w w:val="97"/>
                <w:vertAlign w:val="superscript"/>
              </w:rPr>
              <w:t>(1)</w:t>
            </w:r>
          </w:p>
        </w:tc>
        <w:tc>
          <w:tcPr>
            <w:tcW w:w="180" w:type="dxa"/>
            <w:vAlign w:val="bottom"/>
          </w:tcPr>
          <w:p>
            <w:pPr>
              <w:spacing w:after="0"/>
              <w:rPr>
                <w:sz w:val="15"/>
                <w:szCs w:val="15"/>
                <w:color w:val="auto"/>
              </w:rPr>
            </w:pP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0" w:type="dxa"/>
            <w:vAlign w:val="bottom"/>
          </w:tcPr>
          <w:p>
            <w:pPr>
              <w:spacing w:after="0"/>
              <w:rPr>
                <w:sz w:val="15"/>
                <w:szCs w:val="15"/>
                <w:color w:val="auto"/>
              </w:rPr>
            </w:pPr>
          </w:p>
        </w:tc>
        <w:tc>
          <w:tcPr>
            <w:tcW w:w="1540" w:type="dxa"/>
            <w:vAlign w:val="bottom"/>
          </w:tcPr>
          <w:p>
            <w:pPr>
              <w:jc w:val="center"/>
              <w:ind w:right="60"/>
              <w:spacing w:after="0" w:line="176" w:lineRule="exact"/>
              <w:rPr>
                <w:sz w:val="20"/>
                <w:szCs w:val="20"/>
                <w:color w:val="auto"/>
              </w:rPr>
            </w:pPr>
            <w:r>
              <w:rPr>
                <w:rFonts w:ascii="Times New Roman" w:cs="Times New Roman" w:eastAsia="Times New Roman" w:hAnsi="Times New Roman"/>
                <w:sz w:val="14"/>
                <w:szCs w:val="14"/>
                <w:b w:val="1"/>
                <w:bCs w:val="1"/>
                <w:color w:val="auto"/>
                <w:w w:val="95"/>
              </w:rPr>
              <w:t xml:space="preserve">Price </w:t>
            </w:r>
            <w:r>
              <w:rPr>
                <w:rFonts w:ascii="Times New Roman" w:cs="Times New Roman" w:eastAsia="Times New Roman" w:hAnsi="Times New Roman"/>
                <w:sz w:val="20"/>
                <w:szCs w:val="20"/>
                <w:b w:val="1"/>
                <w:bCs w:val="1"/>
                <w:color w:val="auto"/>
                <w:w w:val="95"/>
                <w:vertAlign w:val="superscript"/>
              </w:rPr>
              <w:t>(2)</w:t>
            </w:r>
          </w:p>
        </w:tc>
        <w:tc>
          <w:tcPr>
            <w:tcW w:w="3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210"/>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June 30, 2024</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47,850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87,243</w:t>
            </w:r>
          </w:p>
        </w:tc>
        <w:tc>
          <w:tcPr>
            <w:tcW w:w="3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2,412,757</w:t>
            </w:r>
          </w:p>
        </w:tc>
        <w:tc>
          <w:tcPr>
            <w:tcW w:w="0" w:type="dxa"/>
            <w:vAlign w:val="bottom"/>
          </w:tcPr>
          <w:p>
            <w:pPr>
              <w:spacing w:after="0"/>
              <w:rPr>
                <w:sz w:val="1"/>
                <w:szCs w:val="1"/>
                <w:color w:val="auto"/>
              </w:rPr>
            </w:pPr>
          </w:p>
        </w:tc>
      </w:tr>
      <w:tr>
        <w:trPr>
          <w:trHeight w:val="198"/>
        </w:trPr>
        <w:tc>
          <w:tcPr>
            <w:tcW w:w="29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Thirteen weeks ended September 29,</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130,293</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tcPr>
          <w:p>
            <w:pPr>
              <w:jc w:val="right"/>
              <w:ind w:right="219"/>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188,452</w:t>
            </w:r>
          </w:p>
        </w:tc>
        <w:tc>
          <w:tcPr>
            <w:tcW w:w="3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2,224,305</w:t>
            </w:r>
          </w:p>
        </w:tc>
        <w:tc>
          <w:tcPr>
            <w:tcW w:w="0" w:type="dxa"/>
            <w:vAlign w:val="bottom"/>
          </w:tcPr>
          <w:p>
            <w:pPr>
              <w:spacing w:after="0"/>
              <w:rPr>
                <w:sz w:val="1"/>
                <w:szCs w:val="1"/>
                <w:color w:val="auto"/>
              </w:rPr>
            </w:pPr>
          </w:p>
        </w:tc>
      </w:tr>
      <w:tr>
        <w:trPr>
          <w:trHeight w:val="209"/>
        </w:trPr>
        <w:tc>
          <w:tcPr>
            <w:tcW w:w="2980" w:type="dxa"/>
            <w:vAlign w:val="bottom"/>
            <w:tcBorders>
              <w:bottom w:val="single" w:sz="8" w:color="CCEEFF"/>
            </w:tcBorders>
            <w:gridSpan w:val="2"/>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178,143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275,695</w:t>
            </w:r>
          </w:p>
        </w:tc>
        <w:tc>
          <w:tcPr>
            <w:tcW w:w="3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45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were purchased in open market transactions pursuant to a 10b5-1 purchase plan entered into by the Company.</w:t>
      </w: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broker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tests for goodwill impairment at the reporting unit level on the first day of the fourth quarter of each year and between annual tests if significant indicators exist that would suggest the Company's goodwill and intangible assets could potentially be impaired. The Company monitors changing business conditions as well as industry and economic factors, among others, for events which could trigger the need for an interim impairment analysis. The Company concluded that a sustained decline in its stock price coupled with continuing net losses, were significant enough factors to warrant an impairment analysis of its goodwill, tradename and intangible assets (which constitutes the Company's sole reporting unit) during the thirteen weeks ended March 31, 2024.</w:t>
      </w:r>
    </w:p>
    <w:p>
      <w:pPr>
        <w:spacing w:after="0" w:line="189" w:lineRule="exact"/>
        <w:rPr>
          <w:sz w:val="20"/>
          <w:szCs w:val="20"/>
          <w:color w:val="auto"/>
        </w:rPr>
      </w:pPr>
    </w:p>
    <w:p>
      <w:pPr>
        <w:jc w:val="both"/>
        <w:ind w:left="60" w:right="59" w:firstLine="324"/>
        <w:spacing w:after="0" w:line="273" w:lineRule="auto"/>
        <w:rPr>
          <w:sz w:val="20"/>
          <w:szCs w:val="20"/>
          <w:color w:val="auto"/>
        </w:rPr>
      </w:pPr>
      <w:r>
        <w:rPr>
          <w:rFonts w:ascii="Times New Roman" w:cs="Times New Roman" w:eastAsia="Times New Roman" w:hAnsi="Times New Roman"/>
          <w:sz w:val="17"/>
          <w:szCs w:val="17"/>
          <w:color w:val="auto"/>
        </w:rPr>
        <w:t>Accordingly, the Company performed an interim quantitative assessment as of March 31, 2024 using a market-based quantitative assessment utilizing a combination of (i) the guideline public company method applying revenue and EBITDA multiples of similar companies and (ii) the discounted cash flow method. The fair value determination used in the impairment assessment requires estimates of the fair values based on present value or other valuation techniques or a combination thereof, necessitating subjective judgments and assumptions by management. These estimates and assumptions could result in significant differences to the amounts reported if underlying circumstances were to change. The results from the quantitative assessment indicated that the fair value exceeded the carrying value by approximately 17%.</w:t>
      </w:r>
    </w:p>
    <w:p>
      <w:pPr>
        <w:spacing w:after="0" w:line="17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September 29, 2024, the Company performed a qualitative assessment of its goodwill, tradename and intangible assets and determined that it is more likely than not that the fair value of its reporting unit exceeds the carrying value of the reporting unit. As a result, there was no impairment relating to the goodwill, tradename and intangible assets as of September 29,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FASB issued ASU 2023-07, </w:t>
      </w:r>
      <w:r>
        <w:rPr>
          <w:rFonts w:ascii="Times New Roman" w:cs="Times New Roman" w:eastAsia="Times New Roman" w:hAnsi="Times New Roman"/>
          <w:sz w:val="18"/>
          <w:szCs w:val="18"/>
          <w:i w:val="1"/>
          <w:iCs w:val="1"/>
          <w:color w:val="auto"/>
        </w:rPr>
        <w:t>Segment Reporting (Topic 280):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updates reportable segment disclosure requirements primarily through enhanced disclosures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expenses and information used to assess segment performance. ASU 2023-07 is effective for annual periods beginning after December 15, 2023, and interim periods within fiscal years beginning after December 15, 2024, with early adoption permitted. The amendments should be applied retrospectively to all prior periods presented in the financial statements. We are currently evaluating the effects of this pronouncement on our consolidated financial statements and related disclosures.</w:t>
      </w:r>
    </w:p>
    <w:p>
      <w:pPr>
        <w:spacing w:after="0" w:line="18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which amends existing income tax disclosure guidance, primarily requiring more detailed disclosure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paid and the effective tax rate reconciliation. ASU 2023-09 is effective for annual reporting periods beginning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after December 15, 2024, with early adoption permitted and can be applied on either a prospective or retroactive basis. We are currently evaluating this pronouncement to determine its impact on our income tax disclosures.</w:t>
      </w:r>
    </w:p>
    <w:p>
      <w:pPr>
        <w:spacing w:after="0" w:line="160"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 xml:space="preserve">In March 2024, FASB issued ASU 2024-01, </w:t>
      </w:r>
      <w:r>
        <w:rPr>
          <w:rFonts w:ascii="Times New Roman" w:cs="Times New Roman" w:eastAsia="Times New Roman" w:hAnsi="Times New Roman"/>
          <w:sz w:val="17"/>
          <w:szCs w:val="17"/>
          <w:i w:val="1"/>
          <w:iCs w:val="1"/>
          <w:color w:val="auto"/>
        </w:rPr>
        <w:t>Compensation—Stock Compensation (Topic 718): Scope Application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Profits Interest and Similar Awards, </w:t>
      </w:r>
      <w:r>
        <w:rPr>
          <w:rFonts w:ascii="Times New Roman" w:cs="Times New Roman" w:eastAsia="Times New Roman" w:hAnsi="Times New Roman"/>
          <w:sz w:val="17"/>
          <w:szCs w:val="17"/>
          <w:color w:val="auto"/>
        </w:rPr>
        <w:t>which is intended to reduce complexity in determining whether a profits interest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subject to the guidance in Topic 718 and existing diversity in practice. ASU 2024-01 is effective for annual reporting periods beginning after December 15, 2024, with early adoption permitted and can be applied on either a prospective or retroactive basis. We are currently evaluating this pronouncement to determine its impact on our stock compensation.</w:t>
      </w:r>
    </w:p>
    <w:p>
      <w:pPr>
        <w:spacing w:after="0" w:line="16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March 2024, FASB issued ASU 2024-02, </w:t>
      </w:r>
      <w:r>
        <w:rPr>
          <w:rFonts w:ascii="Times New Roman" w:cs="Times New Roman" w:eastAsia="Times New Roman" w:hAnsi="Times New Roman"/>
          <w:sz w:val="18"/>
          <w:szCs w:val="18"/>
          <w:i w:val="1"/>
          <w:iCs w:val="1"/>
          <w:color w:val="auto"/>
        </w:rPr>
        <w:t>Codification Improvements—Amendments to Remove References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Concepts Statements, </w:t>
      </w:r>
      <w:r>
        <w:rPr>
          <w:rFonts w:ascii="Times New Roman" w:cs="Times New Roman" w:eastAsia="Times New Roman" w:hAnsi="Times New Roman"/>
          <w:sz w:val="18"/>
          <w:szCs w:val="18"/>
          <w:color w:val="auto"/>
        </w:rPr>
        <w:t>which is intended to simplify the Codification and draw a distinction between authoritative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nonauthoritative literature. ASU 2024-02 is effective for annual reporting periods beginning after December 15, 2024, with early adoption permitted and can be applied on either a prospective or retroactive basis. We are currently evaluating this pronouncement to determine its impact on our stock compensation.</w:t>
      </w:r>
    </w:p>
    <w:p>
      <w:pPr>
        <w:spacing w:after="0" w:line="208" w:lineRule="exact"/>
        <w:rPr>
          <w:sz w:val="20"/>
          <w:szCs w:val="20"/>
          <w:color w:val="auto"/>
        </w:rPr>
      </w:pPr>
    </w:p>
    <w:p>
      <w:pPr>
        <w:ind w:left="700" w:hanging="650"/>
        <w:spacing w:after="0"/>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Company’s financial instruments consist of cash and cash equivalents, restricted cash, accounts payable, accrued expenses and revolving line of credit. As of September 29, 2024 and December 31, 2023, the carrying values of cash and cash equivalents, restricted cash, accounts payable and accrued expenses and other current liabilities approximate fair value due to their short-term maturities. The fair value of the Company’s 2024 Amended Credit Agreement that provides for borrowings up to $15.0 million, which decreases to $10.0 million on March 31, 2025 (see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approximates its carrying value as the stated interest rates reset daily at the daily Secured Overnight Financing Rate (“SOFR”) plus an applicable margin and, as such, approximate market rates currently available to the Company. The Company does not have any financial instruments that were determined to be Level 3.</w:t>
      </w:r>
    </w:p>
    <w:p>
      <w:pPr>
        <w:spacing w:after="0" w:line="215" w:lineRule="exact"/>
        <w:rPr>
          <w:sz w:val="20"/>
          <w:szCs w:val="20"/>
          <w:color w:val="auto"/>
        </w:rPr>
      </w:pPr>
    </w:p>
    <w:p>
      <w:pPr>
        <w:ind w:left="700" w:hanging="650"/>
        <w:spacing w:after="0"/>
        <w:tabs>
          <w:tab w:leader="none" w:pos="7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4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16"/>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10"/>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w:t>
            </w:r>
          </w:p>
        </w:tc>
      </w:tr>
      <w:tr>
        <w:trPr>
          <w:trHeight w:val="216"/>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w:t>
            </w:r>
          </w:p>
        </w:tc>
      </w:tr>
      <w:tr>
        <w:trPr>
          <w:trHeight w:val="209"/>
        </w:trPr>
        <w:tc>
          <w:tcPr>
            <w:tcW w:w="4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r>
      <w:tr>
        <w:trPr>
          <w:trHeight w:val="20"/>
        </w:trPr>
        <w:tc>
          <w:tcPr>
            <w:tcW w:w="4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of property and equipment for the thirteen weeks ended September 29, 2024 and October 1, 2023 was $0.9 million and $0.8 million, respectively, and for the thirty-nine weeks ended September 29, 2024 and October 1, 2023, was $2.5 million and $2.2 million,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7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18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2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inventory</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Accrued freight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contingent liability</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18,343</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700" w:hanging="650"/>
        <w:spacing w:after="0"/>
        <w:tabs>
          <w:tab w:leader="none" w:pos="7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November 15, 2021, the Company entered into the 2021 Credit Agreement with Bank of America (the “lender”) to provide the 2021 Revolving Facility that provided for borrowings up to $50.0 million with a maturity date of November 15, 2024. All borrowings under the 2021 Credit Agreement accrued interest at a rate equal to, at the Company’s option, either (x) the term daily SOFR plus the applicable SOFR adjustment plus a margin of 1.75% per annum or (y) the base rate plus a margin of 0.75% (with the base rate being the highest of the federal funds rate plus 0.50%, the prime rate and term SOFR for a period of one month plus 1.00%).</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July 22, 2024, the Company entered into the 2024 Amended Credit Agreement which extended the maturity date from November 15, 2024 to August 15, 2025 and r</w:t>
      </w:r>
      <w:r>
        <w:rPr>
          <w:rFonts w:ascii="Times New Roman" w:cs="Times New Roman" w:eastAsia="Times New Roman" w:hAnsi="Times New Roman"/>
          <w:sz w:val="18"/>
          <w:szCs w:val="18"/>
          <w:color w:val="212529"/>
        </w:rPr>
        <w:t>educed the 2021 Revolving Facility from $50.0 million to $15.0 million,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with a further reduction to $10.0 million on March 31,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Under the 2024 Amended Credit Agreement, the Company can increase the aggregate amount of the facility by $10.0 million, subject to the satisfaction of certain conditions, including an asset coverage ratio of at least 1.50:1.00, recalculated as of the last day of the most recently ended month for which financial statements are internally available. The 2024 Amended Credit Agreement also reduced the previous letters of credit sublimit from $7.5 million to $5.0 million.</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212529"/>
        </w:rPr>
        <w:t xml:space="preserve">The 2024 Amended Credit Agreement revised the applicable interest rates for borrowings for the period commencing on July 22, 2024 through (but excluding) November 15, 2024 as follows: at the Company’s option, the base rate plus 1.25% (increased from 0.75%) or Term SOFR (subject to a credit spread adjustment of 10 basis points) plus 2.25% (increased from 1.75%). Additionally, the 2024 Amended Credit Agreement reduced the SOFR credit spread adjustment to 0.10%, which previously ranged from 0.11448% to 0.71513% depending on the SOFR tenor. The previous </w:t>
      </w:r>
      <w:r>
        <w:rPr>
          <w:rFonts w:ascii="Times New Roman" w:cs="Times New Roman" w:eastAsia="Times New Roman" w:hAnsi="Times New Roman"/>
          <w:sz w:val="18"/>
          <w:szCs w:val="18"/>
          <w:color w:val="000000"/>
        </w:rPr>
        <w:t>Commitment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Fee of 37.5 basis points to be assessed on unused commitments, including the sum of outstanding borrowings and letter of credit obligations, remained unchanged under the 2024 Amended Credit Agreement. </w:t>
      </w:r>
      <w:r>
        <w:rPr>
          <w:rFonts w:ascii="Times New Roman" w:cs="Times New Roman" w:eastAsia="Times New Roman" w:hAnsi="Times New Roman"/>
          <w:sz w:val="18"/>
          <w:szCs w:val="18"/>
          <w:color w:val="212529"/>
        </w:rPr>
        <w:t>Capitalized terms used without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definition are as defined in the 2024 Amended Credit Agreement.</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thirty-nine weeks ended September 29, 2024, the Company borrowed $31.5 million under the 2021 Credit Agreement and the 2024 Amended Credit Agreement and repaid $28.0 million of the outstanding balance. The weighted average interest rate on the $11.5 million outstanding balance as of September 29, 2024 was 7.5%, and during the thirteen and thirty-nine weeks ended September 29, 2024, the effective interest rate was 9.8% and 9.2%, respectively. As of September 29, 2024, the Company had $0.5 million letters of credit outstanding. The Company borrowed an additional $1.6 million under the terms of the 2024 Amended Credit Agreement subsequent to September 29, 2024.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Amounts borrowed under the 2021 Credit Agreement and the 2024 Amended Credit Agreement are collateralized by all assets of the Company and contain various financial and non-financial covenants for reporting, protecting and obtaining adequate insurance coverage for assets collateralized and for coverage of business operations, and complying with requirements, including the payment of all necessary taxes and fees for all federal, state and local government entities.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12529"/>
        </w:rPr>
        <w:t>2024 Amended Credit Agreement retained the previous maximum total leverage ratio covenant of 2.00:1.00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added a financial covenant that requires a fixed </w:t>
      </w:r>
      <w:r>
        <w:rPr>
          <w:rFonts w:ascii="Times New Roman" w:cs="Times New Roman" w:eastAsia="Times New Roman" w:hAnsi="Times New Roman"/>
          <w:sz w:val="18"/>
          <w:szCs w:val="18"/>
          <w:color w:val="000000"/>
        </w:rPr>
        <w:t>charge coverage ratio as of the end of any period of four consecutive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quarters, commencing June 30, 2024, to be less than 1.15:1.00.</w:t>
      </w:r>
    </w:p>
    <w:p>
      <w:pPr>
        <w:spacing w:after="0" w:line="1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As of September 29, 2024, the Company was not in compliance with its preliminary financial covenants for the third quarter 2024 as required by its 2024 Amended Credit Agreement. On November 12, 2024, the Company entered into the November 2024 Amended Credit Agreement as described in Note 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The November 2024 Amended Credit Agreement extended the Company's reporting deadline for its financial statements and covenant compliance certificate for the third quarter 2024 to December 16, 2024, and required that the financial covenants be tested on the earlier of the date the financial statements and compliance certificate for the third quarter 2024 are delivered or December 16, 2024. The November 2024 Amended Credit Agreement also provided that the failure to deliver the financial statements and covenant compliance certificate within the original time period required by the 2024 Amended Credit Agreement will not constitute an event of default. Further, the filing of this Form 10-Q with the SEC shall not be deemed to constitute delivery of the financial statements and compliance certificate for the third quarter 2024. The November 2024 Amended Credit Agreement also revised the applicable interest rates for borrowings for the period commencing on November 12, 2024, as described in Note 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Until the earlier of the date the financial statements and compliance certificate for the third quarter 2024 are delivered or December 16, 2024, the Company has no further access to the revolving commitments under the November 2024 Amended Credit Agreement. If the Company has not refinanced the revolving credit facility or obtained a further waiver or amendment prior to December 16, 2024, the Company expects to be in default of its 2024 Amended Credit Agreement. Immediately upon the occurrence and during the continuance of an event of default, the lender could take any or all of the following actions: terminate the available borrowings, declare the unpaid principal and interest on outstanding loans immediately due and payable, require that the Company cash collateralize the letter of credit obligations, increase the interest rate per annum by 2.0% above the rate that would be otherwise applicable, and exercise any other right and remedy available under the loan documents, law, or equity.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Discounts and Issuance Costs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Debt discounts and issuance costs are deferred and amortized over the life of the related loan using the effective interest method. The associated expense is included in interest expense in the consolidated statements of operations and comprehensive loss. Debt issuance costs related to the 2</w:t>
      </w:r>
      <w:r>
        <w:rPr>
          <w:rFonts w:ascii="Times New Roman" w:cs="Times New Roman" w:eastAsia="Times New Roman" w:hAnsi="Times New Roman"/>
          <w:sz w:val="18"/>
          <w:szCs w:val="18"/>
          <w:color w:val="212529"/>
        </w:rPr>
        <w:t>021 Revolving Facility and</w:t>
      </w:r>
      <w:r>
        <w:rPr>
          <w:rFonts w:ascii="Times New Roman" w:cs="Times New Roman" w:eastAsia="Times New Roman" w:hAnsi="Times New Roman"/>
          <w:sz w:val="18"/>
          <w:szCs w:val="18"/>
          <w:color w:val="auto"/>
        </w:rPr>
        <w:t xml:space="preserve"> 2024 Amended Credit Agreement are included in prepaids and other current assets in the consolidated balance sheets. As of September 29, 2024 and December 31, 2023, unamortized debt issuance costs recorded within prepaids and other current assets were $0.1 million and $0.1 million, respectively.</w:t>
      </w:r>
    </w:p>
    <w:p>
      <w:pPr>
        <w:spacing w:after="0" w:line="197" w:lineRule="exact"/>
        <w:rPr>
          <w:sz w:val="20"/>
          <w:szCs w:val="20"/>
          <w:color w:val="auto"/>
        </w:rPr>
      </w:pPr>
    </w:p>
    <w:p>
      <w:pPr>
        <w:ind w:left="700" w:hanging="650"/>
        <w:spacing w:after="0"/>
        <w:tabs>
          <w:tab w:leader="none" w:pos="7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is a lessee under various lease agreements. The determination of whether an arrangement contains a lease and the lease classification is made at lease commencement (date on which a lessor makes an underlying asset available for use by the lessee). At lease commencement, the Company also measures and recognizes a right-of-use asset, representing the Company’s right to use the underlying asset, and a lease liability, representing the Company’s obligation to make lease payments under the terms of the arrangement. The lease term is defined as the noncancelable portion of the lease term plus any periods covered by an option to extend the lease if it is reasonably certain that the option will be exercised. For the purposes of recognizing right-of-use assets and lease liabilities associated with the Company’s leases, the Company has elected the practical expedient of not recognizing a right-of-use asset or lease liability for short-term leases, which are leases with a term of 12 months or less. The Company has multiple finance leases and operating leases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that are combined and included in the lease right-of-use assets, lease liabilities, current, and lease liabilities, noncurrent on the Company’s condensed consolidated balance sheets.</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primarily leases its distribution facilities, corporate offices and retail stores under operating lease agreements expiring on various dates through December 2031, most of which contain options to extend. In addition to payment of base rent, the Company is also required to pay property taxes, insurance, and common area maintenance expenses. The Company records lease expense on a straight-line basis over the term of the lease. The Company had immaterial remaining obligations for the base rent related to the short-term leases as of September 29, 2024 and October 1, 2023.</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also leases equipment under finance lease agreements expiring on various dates through April 2029.</w:t>
      </w:r>
    </w:p>
    <w:p>
      <w:pPr>
        <w:spacing w:after="0" w:line="22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September 29, 2024, the future minimum lease payments for the Company’s operating and finance leases for each of the fiscal years were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w:t>
            </w: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r>
      <w:tr>
        <w:trPr>
          <w:trHeight w:val="216"/>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10"/>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undiscounted lease payment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31,647</w:t>
            </w: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adjustment</w:t>
            </w: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(4,752)</w:t>
            </w:r>
          </w:p>
        </w:tc>
        <w:tc>
          <w:tcPr>
            <w:tcW w:w="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r>
      <w:tr>
        <w:trPr>
          <w:trHeight w:val="210"/>
        </w:trPr>
        <w:tc>
          <w:tcPr>
            <w:tcW w:w="45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26,813</w:t>
            </w: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lease liabilities, current</w:t>
            </w:r>
          </w:p>
        </w:tc>
        <w:tc>
          <w:tcPr>
            <w:tcW w:w="1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(4,338)</w:t>
            </w:r>
          </w:p>
        </w:tc>
        <w:tc>
          <w:tcPr>
            <w:tcW w:w="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r>
      <w:tr>
        <w:trPr>
          <w:trHeight w:val="209"/>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21,020</w:t>
            </w: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p>
    <w:p>
      <w:pPr>
        <w:spacing w:after="0" w:line="199" w:lineRule="exact"/>
        <w:rPr>
          <w:sz w:val="20"/>
          <w:szCs w:val="20"/>
          <w:color w:val="auto"/>
        </w:rPr>
      </w:pPr>
    </w:p>
    <w:p>
      <w:pPr>
        <w:ind w:left="60" w:right="5779" w:hanging="10"/>
        <w:spacing w:after="0" w:line="503" w:lineRule="auto"/>
        <w:tabs>
          <w:tab w:leader="none" w:pos="70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 and Other</w:t>
      </w: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and subject to claims, including employment claims, wage and hour claims, intellectual property claims, privacy claims, contractual and commercial disputes and other matters that arise in the ordinary course of our business. The Company accrues a liability when management believes information available prior to the issuance of the condensed consolidated financial statements indicates it is probable a loss has been incurred as of the date of the condensed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disclosed in our Quarterly Report on Form 10-Q for the quarterly period ended June 30, 2024, we received a cease and desist letter alleging intellectual property infringement. This matter was resolved by the parties at a confidential mediation subsequent to the quarter ended September 29, 2024. As of September 29, 2024, the Company had accrued a liability net of anticipated insurance receivable related to resolution of this matter in an amount that was not material to the Company’s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During the normal course of business, the Company may be a party to claims that may not be covered wholly or partially by insurance. While the ultimate liability, if any, arising from these claims cannot be predicted with certainty, other than as discussed above, management does not believe that the resolution of any such claims would have a material adverse effect on the Company’s condensed consolidated financial statements. As of September 29, 2024, other than as discussed above, the Company was not aware of any currently pending legal matters or claims, individually or in the aggregate, that are expected to have a material adverse impact on its condensed consolidated financial statements</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also maintains director and officer insurance, which may cover certain liabilities arising from its obligation to indemnify the Company’s directors and officers. To date, the Company has not incurred any material costs and has not accrued any liabilities in the condensed consolidated financial statements as a result of these provisions.</w:t>
      </w:r>
    </w:p>
    <w:p>
      <w:pPr>
        <w:spacing w:after="0" w:line="199" w:lineRule="exact"/>
        <w:rPr>
          <w:sz w:val="20"/>
          <w:szCs w:val="20"/>
          <w:color w:val="auto"/>
        </w:rPr>
      </w:pPr>
    </w:p>
    <w:p>
      <w:pPr>
        <w:ind w:left="700" w:hanging="650"/>
        <w:spacing w:after="0"/>
        <w:tabs>
          <w:tab w:leader="none" w:pos="7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Pursuant to the Company’s amended and restated certificate of incorporation, the Company is authorized to issue 10,000,000 shares of preferred stock having a par value of $0.001 per share. The Company’s Board of Directors has the authority to issue preferred stock and to determine the rights, preferences, privileges, and restrictions, including voting rights, of those shares. As of September 29, 2024 and December 31, 2023, no shares of preferred stock were issued and outstanding.</w:t>
      </w:r>
    </w:p>
    <w:p>
      <w:pPr>
        <w:spacing w:after="0" w:line="206" w:lineRule="exact"/>
        <w:rPr>
          <w:sz w:val="20"/>
          <w:szCs w:val="20"/>
          <w:color w:val="auto"/>
        </w:rPr>
      </w:pPr>
    </w:p>
    <w:p>
      <w:pPr>
        <w:ind w:left="700" w:hanging="650"/>
        <w:spacing w:after="0"/>
        <w:tabs>
          <w:tab w:leader="none" w:pos="7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has authorized the issuance of 250,000,000 shares of common stock, $0.001 par value ("common stock") as of September 29, 2024 and December 31, 2023, respectively. Holders of common stock are entitled to one vote per share on all matters to be voted upon by the stockholders of the Company. Subject to the preferences that may be applicable to any outstanding share of preferred stock, the holders of common stock are entitled to receive dividends, if any, as may be declared by the Board of Directors. No dividends have been declared to date. As of September 29, 2024, the Company has reserved 161,397 shares of common stock for issuance upon the exercise of stock options, and 1,522,874 shares of common stock available for future issuance under the Lulu's Fashion Lounge Holdings, Inc. Omnibus Equity Plan (the “Omnibus Equity Plan”) and 1,310,595 shares of common stock available for future issuance under the 2021 Employee Stock Purchase Plan (the “ESPP”), respectively. Both equity plans are further described in Note 10, Equity-Based Compensation.</w:t>
      </w:r>
    </w:p>
    <w:p>
      <w:pPr>
        <w:spacing w:after="0" w:line="217" w:lineRule="exact"/>
        <w:rPr>
          <w:sz w:val="20"/>
          <w:szCs w:val="20"/>
          <w:color w:val="auto"/>
        </w:rPr>
      </w:pPr>
    </w:p>
    <w:p>
      <w:pPr>
        <w:ind w:left="700" w:hanging="650"/>
        <w:spacing w:after="0"/>
        <w:tabs>
          <w:tab w:leader="none" w:pos="7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Omnibus Equity Plan and Employee Stock Purchase Plan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closing of the IPO, the Company adopted the Omnibus Equity Plan and ESPP.</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Under the Omnibus Equity Plan, incentive awards may be granted to employees, directors, and consultants of the Company. The Company initially reserved 3,719,000 shares of common stock for future issuance under the Omnibus Equity Plan, including any shares subject to awards under the 2021 Equity Incentive Plan (the “2021 Equity Plan”) that are forfeited or lapse unexercised. The number of shares reserved for issuance under the Omnibus Equity Plan will automatically increase on the first day of each fiscal year, starting in 2022 and continuing through 2031, by a number of shares equal to (a) 4% of the total number of shares of the Company’s common stock outstanding on the last day of the immediately preceding fiscal year or (b) such smaller number of shares as determined by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Under the ESPP, the Company initially reserved 743,803 shares of common stock for future issuance. The number of shares of common stock reserved for issuance will automatically increase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April 1, 2022, the Company filed a Registration Statement on Form S-8 with the SEC for the purpose of registering an additional 5,921,056 shares of the Company’s common stock, inclusive of 1,536,845 and 384,211 shares associated with automatic increases that occurred on January 3, 2022 under the Omnibus Equity Plan and ESPP, respectively. This registration also included 3,200,000 and 800,000 shares for the Omnibus Equity Plan and the ESPP, respectively, representing two years’ worth of estimated future automatic increases in availability for these plans.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March 8, 2023, the Company’s Board of Directors approved the Fiscal 2023 Bonus Plan (the “2023 Bonus Plan”) that granted RSUs to eligible employees on April 1, 2024, in lieu of a cash bonus. On April 1, 2024, 95,912 RSUs were awarded to eligible employees under the 2023 Bonus Plan, and all such RSUs vested fully on that date subject to any forfeitures.</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June 29, 2023, the Company filed a Registration Statement on Form S-8 with the SEC for the purpose of registering an additional 2,000,000 shares of the Company's common stock under the Omnibus Equity Plan corresponding to the increase in shares approved by stockholders at the 2023 annual meeting of stockholders.</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September 29, 2024, the Company had 1,522,874 and 1,310,595 shares available for issuance under the Omnibus Equity Plan and ESPP, respectively. The compensation committee of the Company’s Board of Directors (the “Compensation Committee”) administers the Omnibus Equity Plan and determines to whom awards will be granted, the exercise price of any options, the vesting schedule and the other terms and conditions of the awards granted under the Omnibus Equity Plan. The Compensation Committee may or may not issue the full number of shares that are reserved for issuance.</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Company’s initial ESPP offering period commenced on August 26, 2022. The ESPP consists of consecutive, overlapping 12-month offering periods that begin on each August 26 and February 26 during the term of the ESPP, and end on each August 25 and February 25 occurring 12 months later, as applicable. Each offering period is comprised of two consecutive six-month purchase periods that begin on each August 26 and February 26 within each offering period and end on each February 25 and August 25, respectively, thereafter. The duration and timing of offering periods and purchase periods may be changed by the Company’s Board of Directors or Compensation Committee at any time. The ESPP allows participants to purchase shares of the Company’s common stock at a 15 percent discount from the lower of the Company’s stock price on (i) the first day of the offering period or on (ii) the last day of the purchase period and includes a rollover mechanism for the purchase price if the stock price on the purchase date is less than the stock price on the offering date. The ESPP also allows participants to reduce their percentage election once during the offering period, but they cannot increase their election until the next offering period.</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equity-based compensation expense related to shares issued pursuant to the ESPP on a graded vesting approach over each offering period. For the thirteen and thirty-nine weeks ended September 29, 2024, equity-based compensation expense related to our ESPP was immaterial. During the thirteen weeks ended September 29, 2024 and October 1, 2023, the Company issued 57,693 shares and 52,775 shares, respectively, pursuant to the ESPP six-month purchase periods ended August 26, 2024 and August 24, 2023, respectively.</w:t>
      </w:r>
    </w:p>
    <w:p>
      <w:pPr>
        <w:spacing w:after="0" w:line="18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used the Black-Scholes model to estimate the fair value of the purchase rights under the ESPP. For the thirteen and thirty-nine weeks ended September 29, 2024, the Company utilized the following assumptions: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shd w:val="clear" w:color="auto" w:fill="CCEEFF"/>
          </w:tcPr>
          <w:p>
            <w:pPr>
              <w:spacing w:after="0"/>
              <w:rPr>
                <w:sz w:val="18"/>
                <w:szCs w:val="18"/>
                <w:color w:val="auto"/>
              </w:rPr>
            </w:pPr>
          </w:p>
        </w:tc>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0.50 to 1.00</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tcPr>
          <w:p>
            <w:pPr>
              <w:spacing w:after="0"/>
              <w:rPr>
                <w:sz w:val="18"/>
                <w:szCs w:val="18"/>
                <w:color w:val="auto"/>
              </w:rPr>
            </w:pPr>
          </w:p>
        </w:tc>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83.90 to 86.05 %</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shd w:val="clear" w:color="auto" w:fill="CCEEFF"/>
          </w:tcPr>
          <w:p>
            <w:pPr>
              <w:spacing w:after="0"/>
              <w:rPr>
                <w:sz w:val="18"/>
                <w:szCs w:val="18"/>
                <w:color w:val="auto"/>
              </w:rPr>
            </w:pPr>
          </w:p>
        </w:tc>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4.38 to 4.91 %</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80" w:type="dxa"/>
            <w:vAlign w:val="bottom"/>
          </w:tcPr>
          <w:p>
            <w:pPr>
              <w:spacing w:after="0"/>
              <w:rPr>
                <w:sz w:val="18"/>
                <w:szCs w:val="18"/>
                <w:color w:val="auto"/>
              </w:rPr>
            </w:pPr>
          </w:p>
        </w:tc>
        <w:tc>
          <w:tcPr>
            <w:tcW w:w="1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per share of ESPP awards granted</w:t>
            </w:r>
          </w:p>
        </w:tc>
        <w:tc>
          <w:tcPr>
            <w:tcW w:w="1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0.31 to 0.56</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2021 Equity Plan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April 2021, the Company’s Board of Directors adopted the 2021 Equity Plan. The 2021 Equity Plan provided for the issuance of incentive stock options, restricted stock, restricted stock units and other stock-based and cash-based awards to the Company’s employees, directors, and consultants. The maximum aggregate number of shares reserved for issuance under the 2021 Equity Plan was 925,000 shares. The options outstanding under the 2021 Equity Plan expire ten years from the date of grant. The Company issues new shares of common stock to satisfy stock option exercises. In connection with the closing of the IPO, no further awards will be granted under the 2021 Equity Plan.</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Former CEO Stock Options and Special Compensation Awards</w:t>
      </w:r>
    </w:p>
    <w:p>
      <w:pPr>
        <w:spacing w:after="0" w:line="14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April 2021, the Company entered into an Employment Agreement (the “McCreight IPO Employment Agreement”) with the former CEO, David McCreight, and granted stock options under the 2021 Equity Plan to purchase 322,793 shares of common stock with an exercise price of $11.35 per share, which vest based on service and performance conditions. 275,133 of these stock options have only service vesting conditions, and 47,660 of these stock options have both service and performance vesting conditions. In addition, a portion of these stock options were subject to accelerated vesting conditions upon the occurrence of certain future events, which were satisfied upon the closing of the IPO. As previously disclosed on a Form 8-K filed on February 13, 2023 (the “February 2023 8-K”), Mr. McCreight voluntarily forfeited 161,396 unvested stock options of the Company. During the thirteen weeks ended April 2, 2023, the forfeiture of 161,396 unvested stock options resulted in immediate acceleration of the remaining $1.2 million of compensation expense which was recorded to general and administrative expense. As previously disclosed in the February 2023 8-K, the Company and David McCreight also entered into the First Amendment to Lulu’s Fashion Lounge Holdings, Inc. 2021 Equity Incentive Plan Stock Option Agreement that extended the post-termination exercise period of 161,397 vested stock options from 90 days to three (3) years from a termination of service other than for cause, death or disability.</w:t>
      </w:r>
    </w:p>
    <w:p>
      <w:pPr>
        <w:spacing w:after="0" w:line="12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Under the McCreight IPO Employment Agreement, and in light of the closing of the IPO, the former CEO received two bonuses, each of which were settled in 208,914 fully-vested shares of the Company’s common stock. The Company recognized the final $0.4 million of equity-based compensation expense related to this award in the thirteen weeks ended April 2, 2023.</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stock option activity is as follows (in thousands, except per share amounts and years):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6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September 29, 2024</w:t>
            </w:r>
          </w:p>
        </w:tc>
        <w:tc>
          <w:tcPr>
            <w:tcW w:w="6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161,397</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98"/>
              <w:spacing w:after="0"/>
              <w:rPr>
                <w:sz w:val="20"/>
                <w:szCs w:val="20"/>
                <w:color w:val="auto"/>
              </w:rPr>
            </w:pPr>
            <w:r>
              <w:rPr>
                <w:rFonts w:ascii="Times New Roman" w:cs="Times New Roman" w:eastAsia="Times New Roman" w:hAnsi="Times New Roman"/>
                <w:sz w:val="18"/>
                <w:szCs w:val="18"/>
                <w:color w:val="auto"/>
              </w:rPr>
              <w:t>6.54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September 29, 2024</w:t>
            </w:r>
          </w:p>
        </w:tc>
        <w:tc>
          <w:tcPr>
            <w:tcW w:w="6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6.54</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September 29, 2024</w:t>
            </w:r>
          </w:p>
        </w:tc>
        <w:tc>
          <w:tcPr>
            <w:tcW w:w="60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Pr>
          <w:p>
            <w:pPr>
              <w:spacing w:after="0" w:line="20" w:lineRule="exact"/>
              <w:rPr>
                <w:sz w:val="1"/>
                <w:szCs w:val="1"/>
                <w:color w:val="auto"/>
              </w:rPr>
            </w:pPr>
          </w:p>
        </w:tc>
        <w:tc>
          <w:tcPr>
            <w:tcW w:w="880" w:type="dxa"/>
            <w:vAlign w:val="bottom"/>
            <w:vMerge w:val="restart"/>
          </w:tcPr>
          <w:p>
            <w:pPr>
              <w:jc w:val="right"/>
              <w:ind w:right="98"/>
              <w:spacing w:after="0"/>
              <w:rPr>
                <w:sz w:val="20"/>
                <w:szCs w:val="20"/>
                <w:color w:val="auto"/>
              </w:rPr>
            </w:pPr>
            <w:r>
              <w:rPr>
                <w:rFonts w:ascii="Times New Roman" w:cs="Times New Roman" w:eastAsia="Times New Roman" w:hAnsi="Times New Roman"/>
                <w:sz w:val="18"/>
                <w:szCs w:val="18"/>
                <w:color w:val="auto"/>
              </w:rPr>
              <w:t>6.54</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41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161,397</w:t>
            </w:r>
          </w:p>
        </w:tc>
        <w:tc>
          <w:tcPr>
            <w:tcW w:w="30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Restricted Stock Units (“RSUs”)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Immediately before the completion of the IPO, the LP was liquidated and the unit holders of the LP received shares of the Company’s common stock in exchange for their units of the LP. The Class P unit holders received 1,964,103 shares of common stock, comprised of 1,536,304 shares of vested common stock and 427,799 shares of unvested restricted stock. Any such shares of restricted stock received in respect of unvested Class P units of the LP are subject to vesting and a risk of forfeiture to the same extent as the corresponding Class P units. The Company recorded equity-based compensation expense of $0.1 million and $0.3 million during the thirteen and thirty-nine weeks ended September 29, 2024, respectively, and $0.2 million and $0.6 million during the thirteen and thirty-nine weeks ended October 1, 2023, respectively, related to the exchanged restricted stock. As of September 29, 2024, the unrecognized equity-based compensation expense for all restricted stock is immaterial and will be recognized over a weighted-average period of 0.08 years.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rollforward of unvested restricted stock during the thirty-nine weeks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29, 2024:</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20" w:type="dxa"/>
            <w:vAlign w:val="bottom"/>
          </w:tcPr>
          <w:p>
            <w:pPr>
              <w:spacing w:after="0"/>
              <w:rPr>
                <w:sz w:val="13"/>
                <w:szCs w:val="13"/>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49"/>
        </w:trPr>
        <w:tc>
          <w:tcPr>
            <w:tcW w:w="67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9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r>
      <w:tr>
        <w:trPr>
          <w:trHeight w:val="173"/>
        </w:trPr>
        <w:tc>
          <w:tcPr>
            <w:tcW w:w="67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0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granted</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vested</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(17,397)</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forfeited</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09"/>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29,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thirteen weeks ended March 31, 2024, the Company entered into a second amendment to the employment agreement with Mark Vos, the President and Chief Information Officer (the “2024 President &amp; CIO Employment Agreement”), under which 660,000 RSUs were initially granted, subject to various vesting schedules as set forth in the 2024 President &amp; CIO Employment Agreement. On February 16, 2024, Tiffany Smith, the Chief Financial Officer received 175,000 RSUs pursuant to the applicable RSU Award Agreement, which vest over a three-year service period. On February 16, 2024, Laura Deady, the Chief Merchandising Officer, received 152,273 RSUs pursuant to her employment agreement entered into in December 2023 (“2024 CMO Employment Agreement”) and the applicable RSU Award Agreement, which vest over a three-year service period.</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the thirteen and thirty-nine weeks ended September 29, 2024, the Company granted 76,821 and 2,028,166 RSUs, respectively, to certain executives (inclusive of the aforementioned RSU grants to Mr. Vos, Ms. Deady and Ms. Smith) and employees, which are subject to various vesting schedules as set forth in the applicable employment agreement or RSU Award Agreements. During the thirteen and thirty-nine weeks ended September 29, 2024, the Company granted 10,014 and 459,748 RSUs, respectively, to certain directors which vested immediately or pursuant to the Company’s Non-Employee Director Compensation Program. During the thirteen weeks ended September 29, 2024, the Company reduced the size of its Board and accelerated the vesting of a total of 54,398 RSUs which had been previously granted to directors. A total of 163,166 RSUs were forfeited by the same directors in connection with their resignations. The Company recognized equity-based compensation expense of $1.5 million and $4.8 million during the thirteen and thirty-nine weeks ended September 29, 2024, respectively, and $3.2 million and $9.2 million during the thirteen and thirty-nine weeks ended October 1, 2023, respectively, related to the RSUs. As of September 29, 2024, the unrecognized equity-based compensation expense is $8.4 million and will be recognized over a weighted-average period of 1.91 years.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1"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rollforward of unvested RSUs during the thirty-nine weeks ended September 29,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20" w:type="dxa"/>
            <w:vAlign w:val="bottom"/>
          </w:tcPr>
          <w:p>
            <w:pPr>
              <w:spacing w:after="0"/>
              <w:rPr>
                <w:sz w:val="13"/>
                <w:szCs w:val="13"/>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73"/>
        </w:trPr>
        <w:tc>
          <w:tcPr>
            <w:tcW w:w="67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3,568,406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43"/>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RSUs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2,487,914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RSUs vested</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(1,685,667)</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RSUs forfeited</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(335,277)</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29,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4,035,376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 (“PSUs”)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Under Crystal Landsem’s 2023 employment agreement (“the CEO Employment Agreement”), Ms. Landsem received a grant of 1,811,571 PSUs on March 5, 2023 which vest in three equal annual installments of 603,857 PSUs subject to the achievement of trailing ten day volume-weighted average price targets of the Company’s common stock and her continued employment on the vesting dates. Under the 2024 President &amp; CIO Employment Agreement, Mr. Vos received a grant of 300,000 PSUs on January 9, 2024 which vest subject to the achievement of trailing ten day volume-weighted average price targets of the Company’s common stock and his continued employment on the vesting dates. Under the 2024 CMO Employment Agreement, Ms. Deady received a grant of 50,000 PSUs on February 16, 2024, which vest subject to the achievement of specified Company trailing twelve month net revenue growth targets and her continued employment on the vesting dates.</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recognized equity-based compensation expense of $0.5 million and $1.5 million during the thirteen and thirty-nine weeks ended September 29, 2024, and $0.6 million and $1.5 million during the thirteen and thirty-nine weeks ended October 1, 2023, related to the PSUs. As of September 29, 2024, the unrecognized equity-based compensation expense is $1.2 million for the financial milestones that were considered probable of achievement, which will be recognized over a weighted-average period of 1.30 years.</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rollforward of unvested PSUs during the thirty-nine weeks ended September 29, 2024:</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216"/>
        </w:trPr>
        <w:tc>
          <w:tcPr>
            <w:tcW w:w="6700" w:type="dxa"/>
            <w:vAlign w:val="bottom"/>
          </w:tcPr>
          <w:p>
            <w:pPr>
              <w:spacing w:after="0"/>
              <w:rPr>
                <w:sz w:val="18"/>
                <w:szCs w:val="18"/>
                <w:color w:val="auto"/>
              </w:rPr>
            </w:pPr>
          </w:p>
        </w:tc>
        <w:tc>
          <w:tcPr>
            <w:tcW w:w="9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Average Fair</w:t>
            </w:r>
          </w:p>
        </w:tc>
      </w:tr>
      <w:tr>
        <w:trPr>
          <w:trHeight w:val="199"/>
        </w:trPr>
        <w:tc>
          <w:tcPr>
            <w:tcW w:w="67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PSUs</w:t>
            </w: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1,811,571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PSUs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PSUs vested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PSUs forfeited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29,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2,161,571</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87" w:lineRule="exact"/>
        <w:rPr>
          <w:sz w:val="20"/>
          <w:szCs w:val="20"/>
          <w:color w:val="auto"/>
        </w:rPr>
      </w:pPr>
    </w:p>
    <w:p>
      <w:pPr>
        <w:ind w:left="700" w:hanging="650"/>
        <w:spacing w:after="0"/>
        <w:tabs>
          <w:tab w:leader="none" w:pos="7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All of the Company’s loss before income taxes is from the United States. The following table presents the components of the provision for income taxes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gridSpan w:val="7"/>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58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right"/>
              <w:ind w:right="35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60" w:type="dxa"/>
            <w:vAlign w:val="bottom"/>
          </w:tcPr>
          <w:p>
            <w:pPr>
              <w:spacing w:after="0"/>
              <w:rPr>
                <w:sz w:val="10"/>
                <w:szCs w:val="10"/>
                <w:color w:val="auto"/>
              </w:rPr>
            </w:pPr>
          </w:p>
        </w:tc>
      </w:tr>
      <w:tr>
        <w:trPr>
          <w:trHeight w:val="173"/>
        </w:trPr>
        <w:tc>
          <w:tcPr>
            <w:tcW w:w="58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26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60" w:type="dxa"/>
            <w:vAlign w:val="bottom"/>
          </w:tcPr>
          <w:p>
            <w:pPr>
              <w:spacing w:after="0"/>
              <w:rPr>
                <w:sz w:val="18"/>
                <w:szCs w:val="18"/>
                <w:color w:val="auto"/>
              </w:rPr>
            </w:pPr>
          </w:p>
        </w:tc>
      </w:tr>
      <w:tr>
        <w:trPr>
          <w:trHeight w:val="209"/>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58"/>
        </w:trPr>
        <w:tc>
          <w:tcPr>
            <w:tcW w:w="5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7"/>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5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right"/>
              <w:ind w:right="31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60" w:type="dxa"/>
            <w:vAlign w:val="bottom"/>
          </w:tcPr>
          <w:p>
            <w:pPr>
              <w:spacing w:after="0"/>
              <w:rPr>
                <w:sz w:val="10"/>
                <w:szCs w:val="10"/>
                <w:color w:val="auto"/>
              </w:rPr>
            </w:pPr>
          </w:p>
        </w:tc>
      </w:tr>
      <w:tr>
        <w:trPr>
          <w:trHeight w:val="173"/>
        </w:trPr>
        <w:tc>
          <w:tcPr>
            <w:tcW w:w="58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26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(5,763)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60" w:type="dxa"/>
            <w:vAlign w:val="bottom"/>
          </w:tcPr>
          <w:p>
            <w:pPr>
              <w:spacing w:after="0"/>
              <w:rPr>
                <w:sz w:val="18"/>
                <w:szCs w:val="18"/>
                <w:color w:val="auto"/>
              </w:rPr>
            </w:pPr>
          </w:p>
        </w:tc>
      </w:tr>
      <w:tr>
        <w:trPr>
          <w:trHeight w:val="209"/>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Company’s provision for income taxes during interim reporting periods has historically been calculated by applying an estimate of the annual effective tax rate for the full year to “ordinary” income or loss (pre-tax income or loss excluding unusual or infrequently occurring discrete items) for the reporting period.</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Company’s pre-tax loss for the period ended September 29, 2024 relative to the Company’s projected pre-tax income for fiscal 2024 yielded an annual effective tax rate, which was deemed to be appropriate or meaningful. Based on this fact, the Company determined that the historical estimated annual effective tax rate method would provide a reliable estimate and was used for calculating the interim provision for the period ended September 29, 2024.</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the thirteen and thirty-nine weeks ended September 29, 2024, the Company's effective tax rate differs from the federal income tax rate of 21% primarily due to the Company’s valuation allowance resulting from the lack of sufficient positive evidence that the deferred taxes will be more-likely-than-not realized in the future. For the thirteen and thirty-nine weeks ended October 1, 2023, the Company's effective tax rate differs from the federal income tax rate of 21% primarily due to non-deductible executive compensation and non-deductible equity-based compensation expense.</w:t>
      </w:r>
    </w:p>
    <w:p>
      <w:pPr>
        <w:spacing w:after="0" w:line="18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established a valuation allowance of $5.4 million during the thirteen weeks ended June 30, 2024 and maintained such valuation allowance for the thirty-nine weeks ended September 29, 2024. This was comprised of a valuation allowance of $5.7 million for the net deferred taxes as of December 31, 2023 and an adjustment of $0.3 million for the thirty-nine week period through September 29, 2024. The significant piece of objectively verifiable negative evidence evaluated was the recent cumulative losses. The Company’s ability to use its deferred tax assets depends on the amount of taxable income in future periods.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87" w:lineRule="exact"/>
        <w:rPr>
          <w:sz w:val="20"/>
          <w:szCs w:val="20"/>
          <w:color w:val="auto"/>
        </w:rPr>
      </w:pPr>
    </w:p>
    <w:p>
      <w:pPr>
        <w:ind w:left="700" w:hanging="650"/>
        <w:spacing w:after="0"/>
        <w:tabs>
          <w:tab w:leader="none" w:pos="7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Shareholders</w:t>
      </w:r>
    </w:p>
    <w:p>
      <w:pPr>
        <w:spacing w:after="0" w:line="13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spacing w:after="0" w:line="179" w:lineRule="exact"/>
        <w:rPr>
          <w:sz w:val="20"/>
          <w:szCs w:val="20"/>
          <w:color w:val="auto"/>
        </w:rPr>
      </w:pPr>
    </w:p>
    <w:p>
      <w:pPr>
        <w:ind w:left="700" w:hanging="650"/>
        <w:spacing w:after="0"/>
        <w:tabs>
          <w:tab w:leader="none" w:pos="7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November 2024 Amended Credit Agreement</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November 12, 2024, the Company entered into the November 2024 Amended Credit Agreement. The November 2024 Amended Credit Agreement extends the time period required by the 2024 Amended Credit Agreement to provide the lenders the financial statements and compliance certificate for the third quarter 2024 from November 13, 2024 to December 16, 2024. It also requires that the consolidated total leverage ratio and consolidated fixed charge coverage ratio financial convenants for the third quarter 2024 be tested on the earlier of the date the Company delivers the financial statements and compliance certificate for the third quarter of 2024 or December 16, 2024. The November 2024 Amended Credit Agreement provides that the failure to deliver the financial statements and compliance certificate for the third quarter 2024 within the original time period required by the 2024 Amended Credit Agreement will not constitute an event of default. Further, the filing of this Form 10-Q with the SEC shall not be deemed to constitute delivery of the financial statements and compliance certificate for the third quarter 2024.</w:t>
      </w:r>
    </w:p>
    <w:p>
      <w:pPr>
        <w:spacing w:after="0" w:line="19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November 2024 Amended Credit Agreement prohibits the Company from requesting any additional borrowing or letter of credit extension until the financial statements and the compliance certificate for the third quarter of 2024 have been delivered. The November 2024 Amended Credit Agreement also revised the applicable interest rates for borrowings for the period commencing on November 12, 2024 as follows: at the Company’s option, the base rate plus 2.75% (increased from 1.25%) or Term SOFR (subject to a credit spread adjustment of 10 basis points) plus 3.75% (increased from 2.25%). The November 2024 Amended Credit Agreement also added a requirement to deliver certain cash flow information on a weekly basis commencing November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Quarterly Report on Form 10-Q, as well as our audited consolidated financial statements and related notes as disclosed in our Annual Report on Form 10-K for the fiscal year ended December 31, 2023, filed with the Securities and Exchange Commission (“SEC”) on March 6, 2024 (the “2023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Item I, Part 1A, “Risk Factors” in the 2023 10-K, Part II, Item 1A, “Risk Factors” in our Quarterly Report on Form 10-Q for the quarter ended June 30, 2024, and Part II, Item 1A, “Risk Factors” in this Quarterly Report on Form 10-Q for the quarter ended September 29, 2024.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Lulu’s Fashion Lounge Holdings, Inc., a Delaware Corporation (“Lulus”, “we”, “our”, or the “Company”) is a customer-driven, primarily online, digitally-native, attainable luxury fashion brand for women, offering modern, unapologetically feminine designs at attainable prices for all of life’s fashionable moments. Our aim is to make every woman feel beautiful, celebrated and as if she’s the most special version of herself for every occasion – from work desk to dream date or cozied up on the couch to the spotlight of her wedding day. Lulus primarily serves a large, diverse community of Millennial and Gen Z women, who typically meet us in their 20s and stay with us through their 30s and beyond. We focus relentlessly on giving our customers what they want by using direct consumer feedback and insights to refine product offerings and elevate the customer experience. Lulus’ world class personal stylists, bridal concierge, and customer care team share an unwavering commitment to elevating style and quality and bring exceptional customer service and personalized shopping to customers around the world.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Macroeconomic Trends on Business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Changing macroeconomic factors, including inflation, interest rates, student loan repayment resumption, world events, wars and domestic and international conflicts and overall consumer confidence with respect to current and future economic conditions, have directly impacted our sales through the first nine months of 2024 as discretionary consumer spending levels and shopping behavior fluctuate with these factors. We have responded to these factors by taking appropriate pricing, promotional and other actions to stimulate customer demand. These factors are expected to continue to have an impact on our business, results of operations, our growth and financial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During the thirteen and thirty-nine weeks ended September 29, 2024, we incurred net losses of $6.9 million and $23.4 million, respectively.</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November 2021, we entered into a Credit Agreement (the “2021 Credit Agreement”) with Bank of America (the “lender”) to provide a Revolving Facility (the “2021 Revolving Facility”) that provided for borrowings up to $50.0 million. On July 22, 2024, we entered into the First Amendment to the Credit Agreement (the “2024 Amended Credit Agreement”) which reduced the Revolving Commitment (as defined in the 2021 Credit Agreement) to $15.0 million, and further reduces the 2021 Revolving Facility to $10.0 million on March 31, 2025 and extended the maturity date to August 15, 2025, as further described in Note 5, Debt. As of September 29, 2024, we had total cash and cash equivalents of $6.3 million and $11.5 million due under the 2024 Amended Credit Agreement classified within total current liabilities. We borrowed an additional $1.6 million under the terms of the 2024 Amended Credit Agreement subsequent to September 29, 2024.</w:t>
      </w:r>
    </w:p>
    <w:p>
      <w:pPr>
        <w:spacing w:after="0" w:line="19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September 29, 2024, we were not in compliance with our preliminary financial covenants for the third quarter 2024 as required by our 2024 Amended Credit Agreement. On November 12, 2024, we entered into a second amendment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 xml:space="preserve">to the 2021 Credit Agreement (the “November 2024 Amended Credit Agreement”) as described in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The November 2024 Amended Credit Agreement extended our reporting deadline for our financial statements and covenant compliance certificate for the third quarter 2024 to December 16, 2024, and required that the financial covenants be tested on the earlier of the date the financial statements and compliance certificate for the third quarter 2024 are delivered or December 16, 2024. The November 2024 Amended Credit Agreement also provided that the failure to deliver the financial statements and covenant compliance certificate within the original time period required by the 2024 Amended Credit Agreement will not constitute an event of default. Further, the filing of this Form 10-Q with the SEC shall not be deemed to constitute delivery of the financial statements and compliance certificate for the third quarter 2024. The November 2024 Amended Credit Agreement also revised the applicable interest rates for borrowings for the period commencing on November 12, 2024, as described in Note 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We have no further access to funds in accordance with the terms of the November 2024 Amended Credit Agreement. If we have not refinanced the revolving credit facility or obtained a further waiver or amendment prior to December 16, 2024, we expect to be in default of our 2024 Amended Credit Agreement, and as a result, our lenders would have the right in such circumstances to terminate any commitments to provide further borrowings and to elect to declare all outstanding borrowings, together with accrued interest and other fees, to be immediately due and payable.</w:t>
      </w:r>
    </w:p>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are actively seeking alternative debt financing and continue to take certain cash conservation measures, including adjustments to marketing and other fixed and variable costs and capital spend to meet our obligations as needed. As the ability to raise additional debt financing is outside of management’s control, we cannot conclude that management’s plans will be effectively implemented within twelve months from the date the condensed consolidated financial statements are issued. Accordingly, we have concluded that these plans do not alleviate substantial doubt about our ability to continue as a going concern. The condensed consolidated financial statements do not reflect any adjustments relating to the outcome of this uncertainty</w:t>
      </w:r>
      <w:r>
        <w:rPr>
          <w:rFonts w:ascii="Verdana" w:cs="Verdana" w:eastAsia="Verdana" w:hAnsi="Verdana"/>
          <w:sz w:val="18"/>
          <w:szCs w:val="18"/>
          <w:color w:val="auto"/>
        </w:rPr>
        <w:t>.</w:t>
      </w:r>
    </w:p>
    <w:p>
      <w:pPr>
        <w:spacing w:after="0" w:line="3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collect and analyze operating and financial data to assess the performance of our business and optimize resource allocation. The following table sets forth our key performance indicators for the periods presented.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0" w:type="dxa"/>
            <w:vAlign w:val="bottom"/>
          </w:tcPr>
          <w:p>
            <w:pPr>
              <w:spacing w:after="0"/>
              <w:rPr>
                <w:sz w:val="15"/>
                <w:szCs w:val="15"/>
                <w:color w:val="auto"/>
              </w:rPr>
            </w:pPr>
          </w:p>
        </w:tc>
        <w:tc>
          <w:tcPr>
            <w:tcW w:w="22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4300" w:type="dxa"/>
            <w:vAlign w:val="bottom"/>
          </w:tcPr>
          <w:p>
            <w:pPr>
              <w:spacing w:after="0"/>
              <w:rPr>
                <w:sz w:val="10"/>
                <w:szCs w:val="10"/>
                <w:color w:val="auto"/>
              </w:rPr>
            </w:pPr>
          </w:p>
        </w:tc>
        <w:tc>
          <w:tcPr>
            <w:tcW w:w="1060" w:type="dxa"/>
            <w:vAlign w:val="bottom"/>
            <w:tcBorders>
              <w:top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20" w:type="dxa"/>
            <w:vAlign w:val="bottom"/>
          </w:tcPr>
          <w:p>
            <w:pPr>
              <w:spacing w:after="0"/>
              <w:rPr>
                <w:sz w:val="10"/>
                <w:szCs w:val="10"/>
                <w:color w:val="auto"/>
              </w:rPr>
            </w:pPr>
          </w:p>
        </w:tc>
        <w:tc>
          <w:tcPr>
            <w:tcW w:w="116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20" w:type="dxa"/>
            <w:vAlign w:val="bottom"/>
          </w:tcPr>
          <w:p>
            <w:pPr>
              <w:spacing w:after="0"/>
              <w:rPr>
                <w:sz w:val="10"/>
                <w:szCs w:val="10"/>
                <w:color w:val="auto"/>
              </w:rPr>
            </w:pPr>
          </w:p>
        </w:tc>
      </w:tr>
      <w:tr>
        <w:trPr>
          <w:trHeight w:val="173"/>
        </w:trPr>
        <w:tc>
          <w:tcPr>
            <w:tcW w:w="4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28"/>
        </w:trPr>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340" w:type="dxa"/>
            <w:vAlign w:val="bottom"/>
            <w:gridSpan w:val="10"/>
          </w:tcPr>
          <w:p>
            <w:pPr>
              <w:jc w:val="right"/>
              <w:ind w:right="31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percentages and Average Order Value)</w:t>
            </w:r>
          </w:p>
        </w:tc>
        <w:tc>
          <w:tcPr>
            <w:tcW w:w="120" w:type="dxa"/>
            <w:vAlign w:val="bottom"/>
          </w:tcPr>
          <w:p>
            <w:pPr>
              <w:spacing w:after="0"/>
              <w:rPr>
                <w:sz w:val="11"/>
                <w:szCs w:val="1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42.4 %</w:t>
            </w:r>
          </w:p>
        </w:tc>
        <w:tc>
          <w:tcPr>
            <w:tcW w:w="120" w:type="dxa"/>
            <w:vAlign w:val="bottom"/>
            <w:shd w:val="clear" w:color="auto" w:fill="CCEEFF"/>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(6,879)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(3,889)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(23,411)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(12,104)</w:t>
            </w:r>
          </w:p>
        </w:tc>
        <w:tc>
          <w:tcPr>
            <w:tcW w:w="120" w:type="dxa"/>
            <w:vAlign w:val="bottom"/>
          </w:tcPr>
          <w:p>
            <w:pPr>
              <w:spacing w:after="0"/>
              <w:rPr>
                <w:sz w:val="18"/>
                <w:szCs w:val="18"/>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972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(6,438)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5,207</w:t>
            </w:r>
          </w:p>
        </w:tc>
        <w:tc>
          <w:tcPr>
            <w:tcW w:w="120" w:type="dxa"/>
            <w:vAlign w:val="bottom"/>
            <w:shd w:val="clear" w:color="auto" w:fill="CCEEFF"/>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 (1)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8"/>
                <w:szCs w:val="18"/>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Customers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2,670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2,960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2,670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shd w:val="clear" w:color="auto" w:fill="CCEEFF"/>
          </w:tcPr>
          <w:p>
            <w:pPr>
              <w:spacing w:after="0"/>
              <w:rPr>
                <w:sz w:val="18"/>
                <w:szCs w:val="18"/>
                <w:color w:val="auto"/>
              </w:rPr>
            </w:pP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Order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0"/>
                <w:szCs w:val="20"/>
                <w:color w:val="auto"/>
              </w:rPr>
            </w:pPr>
          </w:p>
        </w:tc>
      </w:tr>
    </w:tbl>
    <w:p>
      <w:pPr>
        <w:spacing w:after="0" w:line="206" w:lineRule="exact"/>
        <w:rPr>
          <w:sz w:val="20"/>
          <w:szCs w:val="20"/>
          <w:color w:val="auto"/>
        </w:rPr>
      </w:pPr>
    </w:p>
    <w:p>
      <w:pPr>
        <w:ind w:left="380" w:right="299" w:hanging="330"/>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reconciliation of non-GAAP financial measures to the most directly comparable GAAP financial measure and why we consider them useful, see “Management’s Discussion and Analysis of Financial Condition and Results of Operations - Non-GAAP Financial Measures.”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Active Customers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define Active Customers as the number of customers who have made at least one purchase across our platform in the prior 12-month period. Active Customer count is as of the last day of the relevant period. We consider the number of Active Customers to be a key performance metric on the basis that it is directly related to consumer awareness of our brand, our ability to attract visitors to our primarily digital platform, and our ability to convert visitors to paying customers. Active Customers counts are based on de-duplication logic using customer account and guest checkout name, address, and email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Average Order Value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define Average Order Value (“AOV”) as the sum of the total gross sales before returns across our platform in a given period, plus shipping revenue, less discounts and markdowns, divided by the Total Orders Placed (as defined below) in that period. AOV reflects average basket size of our customers. AOV may fluctuate as we continue investing in the development and introduction of new Lulus merchandise and as a result of our promotional discount activity.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Total Orders Placed</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We consider Total Orders Placed as a key performance metric on the basis that it is directly related to our ability to attract and retain customers as well as drive purchase frequency. Total Orders Placed, together with AOV, is an indicator of the net revenue we expect to generate in a particular period.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left="60" w:right="59" w:firstLine="389"/>
        <w:spacing w:after="0" w:line="256" w:lineRule="auto"/>
        <w:rPr>
          <w:sz w:val="20"/>
          <w:szCs w:val="20"/>
          <w:color w:val="auto"/>
        </w:rPr>
      </w:pPr>
      <w:r>
        <w:rPr>
          <w:rFonts w:ascii="Times New Roman" w:cs="Times New Roman" w:eastAsia="Times New Roman" w:hAnsi="Times New Roman"/>
          <w:sz w:val="18"/>
          <w:szCs w:val="18"/>
          <w:color w:val="auto"/>
        </w:rPr>
        <w:t>We report our financial results in accordance with generally accepted accounting principles in the U.S. (“GAAP”). However, management believes that certain non-GAAP financial measures provide investors with additional useful information in evaluating our performance and that excluding certain items that may vary substantially in frequency and magnitude period-to-period from net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Margin, and Free Cash Flow</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Adjusted EBITDA is a non-GAAP financial measure that we calculate as net loss before interest expense, income taxes, depreciation and amortization adjusted to exclude the effects of equity-based compensation expense and other non-routine expenses. Adjusted EBITDA is a key measure used by management to evaluate our operating performance, generate future operating plans and make strategic decisions regarding the allocation of capital.</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which are prepared in accordance with GAAP, we use “Adjusted EBITDA”, “Adjusted EBITDA Margin” (collectively referred to as “Adjusted EBITDA”) and “Free Cash Flow” which are non-GAAP financial measures.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p>
      <w:pPr>
        <w:spacing w:after="0" w:line="187" w:lineRule="exact"/>
        <w:rPr>
          <w:sz w:val="20"/>
          <w:szCs w:val="20"/>
          <w:color w:val="auto"/>
        </w:rPr>
      </w:pPr>
    </w:p>
    <w:p>
      <w:pPr>
        <w:ind w:left="1040" w:right="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non-routine expenses that may represent a reduction in cash available to us;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such measures do not reflect any cash requirements for such replacements;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does not represent the total residual cash flow available for discretionary purposes; and</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such measures differently than we do, limiting their usefulness as comparative measures.</w:t>
      </w:r>
    </w:p>
    <w:p>
      <w:pPr>
        <w:spacing w:after="0" w:line="162" w:lineRule="exact"/>
        <w:rPr>
          <w:sz w:val="20"/>
          <w:szCs w:val="20"/>
          <w:color w:val="auto"/>
        </w:rPr>
      </w:pPr>
    </w:p>
    <w:p>
      <w:pPr>
        <w:jc w:val="both"/>
        <w:ind w:left="60" w:right="59" w:firstLine="389"/>
        <w:spacing w:after="0" w:line="253" w:lineRule="auto"/>
        <w:rPr>
          <w:sz w:val="20"/>
          <w:szCs w:val="20"/>
          <w:color w:val="auto"/>
        </w:rPr>
      </w:pPr>
      <w:r>
        <w:rPr>
          <w:rFonts w:ascii="Times New Roman" w:cs="Times New Roman" w:eastAsia="Times New Roman" w:hAnsi="Times New Roman"/>
          <w:sz w:val="18"/>
          <w:szCs w:val="18"/>
          <w:color w:val="auto"/>
        </w:rPr>
        <w:t>Due to these limitations, Adjusted EBITDA and Adjusted EBITDA Margin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adjustments to exclude the impact of depreciation and amortization, interest expense, income taxes, equity-based compensation expense and other non-routine expenses. It is reasonable to expect that some of these items will occur in future periods. However, we believe these adjustments are appropriate because the amounts recognized can vary significantly from period to period, do not directly relate to the ongoing operations of our business and may complicate comparisons of our internal results of operations and results of operations of other companies over time. In addition, Adjusted EBITDA includes adjustments for other items that we do not expect to regularly record. Each of the normal recurring adjustments and other adjustments described in this paragraph and in the following reconciliation table help management with a measure of our core operating performance over time by removing items that are not related to day-to-day operations. Adjusted EBITDA Margin is a non-GAAP financial measure that we calculate as Adjusted EBITDA (as defined above) as a percentage of our net revenue.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a reconciliation for Adjusted EBITDA and Adjusted EBITDA Margin:</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Pr>
          <w:p>
            <w:pPr>
              <w:spacing w:after="0"/>
              <w:rPr>
                <w:sz w:val="15"/>
                <w:szCs w:val="15"/>
                <w:color w:val="auto"/>
              </w:rPr>
            </w:pPr>
          </w:p>
        </w:tc>
        <w:tc>
          <w:tcPr>
            <w:tcW w:w="228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160" w:type="dxa"/>
            <w:vAlign w:val="bottom"/>
            <w:tcBorders>
              <w:top w:val="single" w:sz="8" w:color="auto"/>
            </w:tcBorders>
            <w:gridSpan w:val="4"/>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60" w:type="dxa"/>
            <w:vAlign w:val="bottom"/>
          </w:tcPr>
          <w:p>
            <w:pPr>
              <w:spacing w:after="0"/>
              <w:rPr>
                <w:sz w:val="10"/>
                <w:szCs w:val="10"/>
                <w:color w:val="auto"/>
              </w:rPr>
            </w:pPr>
          </w:p>
        </w:tc>
        <w:tc>
          <w:tcPr>
            <w:tcW w:w="1180" w:type="dxa"/>
            <w:vAlign w:val="bottom"/>
            <w:tcBorders>
              <w:top w:val="single" w:sz="8" w:color="auto"/>
            </w:tcBorders>
            <w:gridSpan w:val="4"/>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40" w:type="dxa"/>
            <w:vAlign w:val="bottom"/>
            <w:gridSpan w:val="6"/>
          </w:tcPr>
          <w:p>
            <w:pPr>
              <w:jc w:val="right"/>
              <w:ind w:right="68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tcPr>
          <w:p>
            <w:pPr>
              <w:jc w:val="right"/>
              <w:ind w:right="70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(12,104)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 (1)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 of other non-routine expense (2)</w:t>
            </w: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margin</w:t>
            </w: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1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720" w:right="79" w:hanging="319"/>
        <w:spacing w:after="0" w:line="254"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thirteen weeks ended September 29, 2024 include equity-based compensation expense for restricted stock units (“RSUs”) granted during the period and prior periods, performance stock units (“PSUs”), and equity-based awards granted in prior periods, as well as forfeitures partially offset by accelerated vesting expense associated with the resignation of directors during the period. The thirty-nine weeks ended September 29, 2024 include equity-based compensation expense for RSUs and PSUs granted during the period and prior periods, equity-based awards granted in prior periods, as well as forfeitures partially offset by accelerated vesting expense associated with the resignation of directors during the period. The thirteen weeks ended October 1, 2023 include equity-based compensation expense for RSUs granted during the period, as well as equity-based awards granted in prior periods. The thirty-nine weeks ended October 1, 2023 include equity-based compensation expense for PSUs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RSUs granted during the period, accelerated expense associated with the voluntary forfeiture of stock options, and equity-based awards granted in prior periods.</w:t>
      </w:r>
    </w:p>
    <w:p>
      <w:pPr>
        <w:spacing w:after="0" w:line="162" w:lineRule="exact"/>
        <w:rPr>
          <w:sz w:val="20"/>
          <w:szCs w:val="20"/>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thirteen and thirty-nine weeks ended September 29, 2024 include adjustments to previously accrued non-routine expenses related to a legal accrual net of insurance.</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Free Cash Flow is a non-GAAP financial measure that we calculate as net cash provided by operating activities less cash used for capitalized software development costs and purchases of property and equipment. We view Free Cash Flow as an important indicator of our liquidity because it measures the amount of cash we generate.</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 reconciliation to non-GAAP Free Cash Flow from net cash provided by operating activities for the thirteen and thirty-nine weeks ended September 29, 2024 and October 1, 2023 is as follows: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23"/>
        </w:trPr>
        <w:tc>
          <w:tcPr>
            <w:tcW w:w="390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October 1, 2023</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29, 2024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1, 2023</w:t>
            </w: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w:t>
            </w: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w:t>
            </w:r>
          </w:p>
        </w:tc>
        <w:tc>
          <w:tcPr>
            <w:tcW w:w="30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(524)</w:t>
            </w:r>
          </w:p>
        </w:tc>
        <w:tc>
          <w:tcPr>
            <w:tcW w:w="2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(1,144)</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4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(667)</w:t>
            </w: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(1,271)</w:t>
            </w: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18,157</w:t>
            </w:r>
          </w:p>
        </w:tc>
      </w:tr>
      <w:tr>
        <w:trPr>
          <w:trHeight w:val="20"/>
        </w:trPr>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financial condition and results of operations have been, and will continue to be, affected by a number of factors that present significant opportunities for us but also pose risks and challenges, including what is discussed below. See Part I, “Item 1A. Risk Factors” in our 2023 10-K and Part II, Item 1A of our Quarterly Reports on Form 10-Q for the quarters ended June 30, 2024 and September 29,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business performance depends in part on our continued ability to cost-effectively acquire new customers. We define customer acquisition cost (“CAC”)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primarily digital brand, our marketing strategy is primarily focused on brand awareness marketing and digital advertising in channels like search, social, and programmatic – platforms that enable us to engage our customer where she spends her time, and in many cases also quickly track the success of our marketing, which allows us to adjust and optimize our marketing spend.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Retention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 During the trailing 12 months ended September 29, 2024, we served 2.7 million Active Customers compared to 3.0 million for the trailing 12 months ended October 1,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 Management</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and financial risk and our supplier partners are highly responsive, we nonetheless purchase inventory in anticipation of future demand and therefore are exposed to potential shifts in customer preferences and price sensitivity over time. As we continue to grow, we will adjust our inventory purchases to align with the current needs of the business.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Our Operations and Infrastructure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will continue to invest in our operations and infrastructure to facilitate further operational efficiencies and growth of our business, while managing expenses to align with our net revenue expectations and goals to return to profitability. We will continue to set a high bar for any new investments or capital spending initiatives as we believe that a disciplined approach to capital spending will enable us to generate positive returns on our investments over the long term.</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Net revenue consists primarily of gross sales, net of merchandise returns, international duties and taxes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determine to have occurred upon shipment.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our distribution facilities; and charges related to inventory shrinkage, damages, and our allowance for excess or obsolete inventory. Cost of revenue is primarily driven by growth in orders placed by customers, the mix of the product available for sale on our site, and transportation costs related to inventory receipts from our suppliers. We expect our cost of revenue to fluctuate as a percentage of net revenue primarily due to how we manage our inventory and merchandise mix.</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Gross profit is equal to our net revenue less cost of revenue. We calculate Gross Margin as gross profit as a percentage of our net revenue. Our Gross Margin varies across Lulus, exclusive to Lulus, and third-party branded products. Exclusive to Lulus consists of products that we develop with design partners and have exclusive rights to sell across our platform, but that do not bear the Lulus brand. Gross Margin on sales of Lulus and exclusive to Lulus merchandise is generally higher than Gross Margin on sales of third-party branded products, which we offer for customers to “round out” the shopping basket. As we continue to optimize our distribution capabilities and gain more negotiation leverage with suppliers as we scale, our Gross Margin may fluctuate from period to period depending on the interplay of these factors.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free products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rent, and other occupancy expenses. General and administrative expenses are primarily driven by increases in headcount required to support business growth and meet our obligations as a public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Since our IPO, we have incurred significant legal, accounting, and other expenses that we did not incur as a private company. We expect that compliance with the Sarbanes-Oxley Act and the Dodd-Frank Wall Street Reform and Consumer Protection Act, as well as rules and regulations subsequently implemented by the SEC, will continue to increase our legal and financial compliance costs and will make some activities more time consuming and costly.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expense consists of interest expense related to the 2021 Revolving Facility.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7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provision for income taxes represents federal, state, and local income taxes. The effective rate differs from the statutory rate primarily due to the establishment of valuation allowance as the Company could not provide sufficient positive evidence that the deferred taxes will be more-likely-than-not realized in the future. Our effective tax rate will change from quarter to quarter based on recurring and nonrecurring factors including, but not limited to, the geographical mix of earnings, enacted tax legislation, state and local income taxes, the impact of permanent tax adjustments, tax audit settlements, and the interaction of various tax strategies.</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regularly assess the realizability of deferred tax assets and record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we established a valuation allowance of $5.4million during the thirteen weeks ended June 30, 2024 and maintained such valuation allowance for the thirty-nine weeks ended September 29, 2024. This was comprised of a valuation allowance of $5.7 million for the net deferred tax assets as of December 31, 2023 and an adjustment of $0.3 million for the thirty-nine week period through September 29, 2024. The significant piece of objectively verifiable negative evidence evaluated was the recent cumulative losses. Our ability to use our deferred tax assets depends on the amount of taxable income in future periods.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Results of Operations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consolidated results of operations for the periods presented and as a percentage of net revenue and net loss: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54"/>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180" w:type="dxa"/>
            <w:vAlign w:val="bottom"/>
          </w:tcPr>
          <w:p>
            <w:pPr>
              <w:spacing w:after="0"/>
              <w:rPr>
                <w:sz w:val="10"/>
                <w:szCs w:val="10"/>
                <w:color w:val="auto"/>
              </w:rPr>
            </w:pP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r>
      <w:tr>
        <w:trPr>
          <w:trHeight w:val="128"/>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gridSpan w:val="4"/>
          </w:tcPr>
          <w:p>
            <w:pPr>
              <w:jc w:val="right"/>
              <w:ind w:right="55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280,216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144,562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161,334</w:t>
            </w:r>
          </w:p>
        </w:tc>
        <w:tc>
          <w:tcPr>
            <w:tcW w:w="2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118,882</w:t>
            </w:r>
          </w:p>
        </w:tc>
        <w:tc>
          <w:tcPr>
            <w:tcW w:w="2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60,984</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70,319</w:t>
            </w:r>
          </w:p>
        </w:tc>
        <w:tc>
          <w:tcPr>
            <w:tcW w:w="2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10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0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71"/>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34</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0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4820" w:type="dxa"/>
            <w:vAlign w:val="bottom"/>
          </w:tcPr>
          <w:p>
            <w:pPr>
              <w:spacing w:after="0"/>
              <w:rPr>
                <w:sz w:val="10"/>
                <w:szCs w:val="10"/>
                <w:color w:val="auto"/>
              </w:rPr>
            </w:pPr>
          </w:p>
        </w:tc>
        <w:tc>
          <w:tcPr>
            <w:tcW w:w="10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7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0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7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00" w:type="dxa"/>
            <w:vAlign w:val="bottom"/>
          </w:tcPr>
          <w:p>
            <w:pPr>
              <w:spacing w:after="0"/>
              <w:rPr>
                <w:sz w:val="10"/>
                <w:szCs w:val="10"/>
                <w:color w:val="auto"/>
              </w:rPr>
            </w:pPr>
          </w:p>
        </w:tc>
      </w:tr>
      <w:tr>
        <w:trPr>
          <w:trHeight w:val="173"/>
        </w:trPr>
        <w:tc>
          <w:tcPr>
            <w:tcW w:w="48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shd w:val="clear" w:color="auto" w:fill="CCEEFF"/>
          </w:tcPr>
          <w:p>
            <w:pPr>
              <w:spacing w:after="0"/>
              <w:rPr>
                <w:sz w:val="18"/>
                <w:szCs w:val="18"/>
                <w:color w:val="auto"/>
              </w:rPr>
            </w:pPr>
          </w:p>
        </w:tc>
      </w:tr>
      <w:tr>
        <w:trPr>
          <w:trHeight w:val="216"/>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r>
      <w:tr>
        <w:trPr>
          <w:trHeight w:val="21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r>
      <w:tr>
        <w:trPr>
          <w:trHeight w:val="209"/>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Thirteen Weeks Ended September 29, 2024 and October 1, 2023</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Net revenue decreased in the thirteen weeks ended September 29, 2024 by $2.6 million, or 3%, compared to the thirteen weeks ended October 1, 2023 primarily due to a 3% decrease in Total Orders Placed and the impact of slightly lower AOV offset by the impact of lower return rates.</w:t>
      </w:r>
    </w:p>
    <w:p>
      <w:pPr>
        <w:spacing w:after="0" w:line="3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Cost of revenue increased in the thirteen weeks ended September 29, 2024 by $0.3 million, or 1% compared to the same period of the prior year. The increase in cost of revenue as a percentage of net revenue was primarily due to a higher mix of markdown sales compared to the same period of the prior year.</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Gross profit decreased in the thirteen weeks ended September 29, 2024 by $2.9 million, or 9% compared to the same period of the prior year which was primarily driven by higher markdowns and discounts.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Selling and marketing expenses increased in the thirteen weeks ended September 29, 2024 by $0.8 million, or 5%, compared to the thirteen weeks ended October 1, 2023, primarily due to higher online marketing costs.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decreased by $1.7 million in the thirteen weeks ended September 29, 2024, or 8%, compared to the thirteen weeks ended October 1, 2023. The decrease was primarily due to a $2.2 million decrease in stock based compensation expense, a $0.4 million decrease in non-routine items accruals, a $0.3 million decrease in D&amp;O liability insurance and legal and professional fees, a $0.2 million decrease in variable labor and benefits associated with lower sales volume and operational efficiencies, and a $0.1 million decrease in board-related fees due to the reduction of our board size and temporary suspension of director cash compensation. This was partially offset by a $1.5 million increase in software, fixed labor, and depreciation and amortization.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Interest expense decreased in the thirteen weeks ended September 29, 2024 by $0.1 million, or 31%, compared to the thirteen weeks ended October 1, 2023. The decrease is attributable to lower average borrowings and lower unused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revolving facility fees related to the reduction in the size of our 2021 Revolving Facility under the 2024 Amended Credit Agreement.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Tax Benefit (Provision)</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income tax provision in the thirteen weeks ended September 29, 2024 was immaterial, which was an increase of $1.2 million compared to a benefit of $1.2 million in the thirteen weeks ended October 1, 2023. The increase was primarily due to the valuation allowance tax expense that was recorded against federal and state deferred tax assets.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Thirty-nine Weeks Ended September 29, 2024 and October 1, 2023</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Net revenue decreased in the thirty-nine weeks ended September 29, 2024 by $30.5 million, or 11%, compared to the thirty-nine weeks ended October 1, 2023. The decrease is primarily the result of a 12% decrease in Total Orders Placed, with the impact of higher AOV partially offset by higher return rates compared to the thirty-nine weeks ended October 1, 2023.</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Cost of revenue decreased in the thirty-nine weeks ended September 29, 2024 by $16.8 million, or 10%, compared to the thirty-nine weeks ended October 1, 2023, which was primarily driven by the impact of lower net revenue.</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Gross profit decreased in the thirty-nine weeks ended September 29, 2024 by $13.7 million, or 12% compared to the thirty-nine weeks ended October 1, 2023, which was primarily driven by the impact of the lower volume of sales along with higher markdowns and discounts.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decreased in the thirty-nine weeks ended September 29, 2024 by $0.8 million, or 1%, compared to the thirty-nine weeks ended October 1, 2023 due to lower performance marketing spend and lower merchant fees due to lower sales volume, partially offset by higher brand marketing spend.</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by $7.9 million in the thirteen weeks ended September 29, 2024, or 11%, compared to the thirteen weeks ended October 1, 2023. The decrease was primarily due to a $7.3 million decrease related to equity-based awards, a $2.3 million decrease in variable labor and benefits associated with lower sales volume and operational efficiencies, and a $1.1 million decrease in D&amp;O liability insurance and legal and professional fees. This was partially offset by a $1.6 million increase in fixed labor and $1.3 million in software, occupancy, depreciation and amortization.</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Interest expense decreased in the thirty-nine weeks ended September 29, 2024 by $0.4 million, or 31%, compared to the thirty-nine weeks ended October 1, 2023. The decrease is attributable to lower average borrowings and lower unused revolving facility fees, partially offset by higher interest rates.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Tax Benefit (Provision)</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income tax provision in the thirty-nine weeks ended September 29, 2024 increased by $6.8 million to $5.8 million, compared to a benefit of $1.0 million in the thirty-nine weeks ended October 1, 2023. The increase was primarily due to the valuation allowance tax expense that was recorded against federal and state deferred tax assets.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 and Seasonality</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experience moderate seasonal fluctuations in aggregate sales volume during the year. Seasonality in our business does not follow that of traditional retailers, such as a typical concentration of revenue in the holiday quarter. Our net revenue is typically highest in the second and third quarters due to the highest demand for event dresses in the spring and summer. Net revenue is typically the lowest in the first and fourth quarters when event dresses are less in demand. The seasonality of our business has resulted in variability in our total net revenue quarter-to-quarter. We believe that this seasonality has affected and will continue to affect our results of operations.</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Times New Roman" w:cs="Times New Roman" w:eastAsia="Times New Roman" w:hAnsi="Times New Roman"/>
          <w:sz w:val="18"/>
          <w:szCs w:val="18"/>
          <w:color w:val="auto"/>
        </w:rPr>
        <w:t>Our quarterly gross profit fluctuates primarily based on how we manage our inventory and merchandise mix and has typically been in line with fluctuations in net revenue. When quarterly gross profit fluctuations have deviated relative to the fluctuations in sales, these situations have been driven by non-recurring, external factors, such as the COVID-19 pandemic.</w:t>
      </w:r>
    </w:p>
    <w:p>
      <w:pPr>
        <w:spacing w:after="0" w:line="40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benefit costs and vary quarter to quarter due to changes in the number of seasonal workers to meet demand based on our seasonality.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generated from operating activities as we have no further access to borrowings under our 2021 Revolving Facility, as amended by the 2024 Amended Credit Agreement. Our primary requirements for liquidity and capital are inventory purchases, payroll and general operating expenses, capital expenditures associated with our distribution facilities, capitalized software and debt service requirements.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November 15, 2021, we entered into the 2021 Credit Agreement with the lender to provide the 2021 Revolving Facility that provided for borrowings up to $50.0 million with a maturity date of November 15, 2024. All borrowings under the 2021 Credit Agreement accrued interest at a rate equal to, at our option, either (x) the term daily SOFR plus the applicable SOFR adjustment plus a margin of 1.75% per annum or (y) the base rate plus a margin of 0.75% (with the base rate being the highest of the federal funds rate plus 0.50%, the prime rate and term SOFR for a period of one month plus 1.00%).</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July 22, 2024, we entered into the 2024 Amended Credit Agreement which extended the maturity date from November 15, 2024 to August 15, 2025 and r</w:t>
      </w:r>
      <w:r>
        <w:rPr>
          <w:rFonts w:ascii="Times New Roman" w:cs="Times New Roman" w:eastAsia="Times New Roman" w:hAnsi="Times New Roman"/>
          <w:sz w:val="18"/>
          <w:szCs w:val="18"/>
          <w:color w:val="212529"/>
        </w:rPr>
        <w:t>educed the 2021 Revolving Facility from $50.0 million to $15.0 million,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 further reduction to $10.0 million on March 31,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Under the 2024 Amended Credit Agreement, we can increase the aggregate amount of the facility by $10.0 million, subject to the satisfaction of certain conditions, including an asset coverage ratio of at least 1.50:1.00, recalculated as of the last day of the most recently ended month for which financial statements are internally available. The 2024 Amended Credit Agreement also reduced the previous letters of credit sublimit from $7.5 million to $5.0 million.</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thirty-nine weeks ended September 29, 2024, the Company borrowed $31.5 million under the 2021 Credit Agreement and the 2024 Amended Credit Agreement and repaid $28.0 million of the outstanding balance. As of September 29, 2024, the Company had $0.5 million letters of credit outstanding. We borrowed an additional $1.6 million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under the terms of the 2024 Amended Credit Agreement subsequent to September 29, 2024. For further information on the 2021 Credit Agreement and and the 2024 Amended Credit Agreement, see Note 5, </w:t>
      </w:r>
      <w:r>
        <w:rPr>
          <w:rFonts w:ascii="Times New Roman" w:cs="Times New Roman" w:eastAsia="Times New Roman" w:hAnsi="Times New Roman"/>
          <w:sz w:val="18"/>
          <w:szCs w:val="18"/>
          <w:i w:val="1"/>
          <w:iCs w:val="1"/>
          <w:color w:val="auto"/>
        </w:rPr>
        <w:t>Debt.</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2024 Amended Credit Agreement retained the previous maximum total leverage ratio covenant of 2.00:1.00 and added a financial covenant that requires a fixed charge coverage ratio as of the end of any period of four consecutive quarters, commencing June 30, 2024, to be less than 1.15:1.00.</w:t>
      </w:r>
    </w:p>
    <w:p>
      <w:pPr>
        <w:spacing w:after="0" w:line="1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As of September 29, 2024, we were not in compliance with our preliminary financial covenants for the third quarter 2024 as required by our 2024 Amended Credit Agreement. On November 12, 2024, we entered into the November 2024 Amended Credit Agreement as described in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The November 2024 Amended Credit Agreement extended our reporting deadline for our financial statements and covenant compliance certificate for the third quarter 2024 to December 16, 2024, and required that the financial covenants be tested on the earlier of the date the financial statements and compliance certificate are delivered or December 16, 2024. The November 2024 Amended Credit Agreement also provided that the failure to deliver the financial statements and covenant compliance certificate within the original time period required by the 2024 Amended Credit Agreement will not constitute an event of default. Further, the filing of this Form 10-Q with the SEC shall not be deemed to constitute delivery of the financial statements and compliance certificate for the third quarter 2024. The November 2024 Amended Credit Agreement also revised the applicable interest rates for borrowings for the period commencing on November 12, 2024, as described in Note 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Until the earlier of the date the financial statements and compliance certificate are delivered or December 16, 2024, we have no further access to the revolving commitments under the November 2024 Amended Credit Agreement. If we have not refinanced the revolving credit facility or obtained a further waiver or amendment prior to December 16, 2024, we expect to be in default of our 2024 Amended Credit Agreement, and as a result, our lenders would have the right in such circumstances to terminate any commitments to provide further borrowings and to elect to declare all outstanding borrowings, together with accrued interest and other fees, to be immediately due and payable.</w:t>
      </w:r>
    </w:p>
    <w:p>
      <w:pPr>
        <w:spacing w:after="0" w:line="193" w:lineRule="exact"/>
        <w:rPr>
          <w:sz w:val="20"/>
          <w:szCs w:val="20"/>
          <w:color w:val="auto"/>
        </w:rPr>
      </w:pPr>
    </w:p>
    <w:p>
      <w:pPr>
        <w:jc w:val="both"/>
        <w:ind w:left="60" w:right="59" w:firstLine="401"/>
        <w:spacing w:after="0" w:line="282" w:lineRule="auto"/>
        <w:rPr>
          <w:sz w:val="20"/>
          <w:szCs w:val="20"/>
          <w:color w:val="auto"/>
        </w:rPr>
      </w:pPr>
      <w:r>
        <w:rPr>
          <w:rFonts w:ascii="Times New Roman" w:cs="Times New Roman" w:eastAsia="Times New Roman" w:hAnsi="Times New Roman"/>
          <w:sz w:val="18"/>
          <w:szCs w:val="18"/>
          <w:color w:val="auto"/>
        </w:rPr>
        <w:t>We are actively seeking alternative debt financing and continuing to take certain cash conservation measures, including adjustments to marketing and other fixed and variable costs and capital spend to meet our obligations as needed.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Availability and Use of Cash</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September 29, 2024, we had cash and cash equivalents of $6.3 million. During the thirteen weeks ended September 29, 2024, we took certain cost reduction and cash conservation measures, including adjustments to marketing spend, and other fixed, variable, and capital spend. We will continue to take certain cost reduction and cash conservation measures to meet our obligations as needed. As the ability to raise additional debt financing is outside of our control, we cannot conclude that our plans will be effectively implemented within twelve months from the date the condensed consolidated financial statements are issued. Accordingly, we have concluded that these plans do not alleviate substantial doubt about our ability to continue as a going concern. The condensed consolidated financial statements do not reflect any adjustments relating to the outcome of this uncertainty. Actual results of operations will depend on numerous factors, many of which are beyond our control, as further discussed in Part I, Item 1A, “Risk Factors” included in our 2023 10-K and risk factors set forth in Part II, Item 1A of our Quarterly Reports on Form 10-Q for the quarters ended June 30, 2024 and September 29, 2024.</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Repurchases Pursuant to the 2024 Repurchase Program</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May 3, 2024, our Board of Directors authorized a stock repurchase program to repurchase up to $2.5 million of our common stock (the “2024 Repurchase Program”). The actual timing, number, and value of shares repurchased in the future will be determined at our discretion and will depend on a number of factors, including market conditions, applicable legal requirements, our capital needs, and whether there is a better alternative use of capital. Repurchases will be funded from our existing cash and cash equivalents, or future cash flow. The 2024 Repurchase Program may be modified, suspended, or terminated at any time. During the thirteen and thirty-nine weeks ended September 29, 2024, we repurchased 130,293 shares and 178,143 shares of common stock, respectively, in open market transactions pursuant to a 10b5-1 purchase plan. As of September 29, 2024, there was $2.2 million available under the 2024 Repurchase Program authorization. For further information on the 2024 Repurchase Program, 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5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29,</w:t>
            </w:r>
          </w:p>
        </w:tc>
        <w:tc>
          <w:tcPr>
            <w:tcW w:w="2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October 1,</w:t>
            </w:r>
          </w:p>
        </w:tc>
        <w:tc>
          <w:tcPr>
            <w:tcW w:w="280" w:type="dxa"/>
            <w:vAlign w:val="bottom"/>
          </w:tcPr>
          <w:p>
            <w:pPr>
              <w:spacing w:after="0"/>
              <w:rPr>
                <w:sz w:val="10"/>
                <w:szCs w:val="10"/>
                <w:color w:val="auto"/>
              </w:rPr>
            </w:pPr>
          </w:p>
        </w:tc>
      </w:tr>
      <w:tr>
        <w:trPr>
          <w:trHeight w:val="173"/>
        </w:trPr>
        <w:tc>
          <w:tcPr>
            <w:tcW w:w="5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r>
      <w:tr>
        <w:trPr>
          <w:trHeight w:val="196"/>
        </w:trPr>
        <w:tc>
          <w:tcPr>
            <w:tcW w:w="5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activities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21,100</w:t>
            </w:r>
          </w:p>
        </w:tc>
        <w:tc>
          <w:tcPr>
            <w:tcW w:w="280" w:type="dxa"/>
            <w:vAlign w:val="bottom"/>
          </w:tcPr>
          <w:p>
            <w:pPr>
              <w:spacing w:after="0"/>
              <w:rPr>
                <w:sz w:val="18"/>
                <w:szCs w:val="18"/>
                <w:color w:val="auto"/>
              </w:rPr>
            </w:pPr>
          </w:p>
        </w:tc>
      </w:tr>
      <w:tr>
        <w:trPr>
          <w:trHeight w:val="216"/>
        </w:trPr>
        <w:tc>
          <w:tcPr>
            <w:tcW w:w="5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Investing activities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280" w:type="dxa"/>
            <w:vAlign w:val="bottom"/>
            <w:shd w:val="clear" w:color="auto" w:fill="CCEEFF"/>
          </w:tcPr>
          <w:p>
            <w:pPr>
              <w:spacing w:after="0"/>
              <w:rPr>
                <w:sz w:val="18"/>
                <w:szCs w:val="18"/>
                <w:color w:val="auto"/>
              </w:rPr>
            </w:pPr>
          </w:p>
        </w:tc>
      </w:tr>
      <w:tr>
        <w:trPr>
          <w:trHeight w:val="216"/>
        </w:trPr>
        <w:tc>
          <w:tcPr>
            <w:tcW w:w="5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Financing activities</w:t>
            </w: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(15,444)</w:t>
            </w:r>
          </w:p>
        </w:tc>
        <w:tc>
          <w:tcPr>
            <w:tcW w:w="280" w:type="dxa"/>
            <w:vAlign w:val="bottom"/>
            <w:tcBorders>
              <w:bottom w:val="single" w:sz="8" w:color="CCEEFF"/>
            </w:tcBorders>
          </w:tcPr>
          <w:p>
            <w:pPr>
              <w:spacing w:after="0"/>
              <w:rPr>
                <w:sz w:val="18"/>
                <w:szCs w:val="18"/>
                <w:color w:val="auto"/>
              </w:rPr>
            </w:pPr>
          </w:p>
        </w:tc>
      </w:tr>
      <w:tr>
        <w:trPr>
          <w:trHeight w:val="209"/>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consists primarily of net loss adjusted for certain non-cash items, including depreciation, amortization, equity-based compensation, the effect of changes in working capital and other activities.</w:t>
      </w:r>
    </w:p>
    <w:p>
      <w:pPr>
        <w:spacing w:after="0" w:line="16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During the thirty-nine weeks ended September 29, 2024, net cash provided by operating activities decreased by $16.0 million, as compared to the same period in 2023. The decrease was largely due to an increase of $11.5 million in our net loss after adjusting for non-cash items, a $4.7 million increase in inventory purchases, a $3.8 million increase in prepaids and other current assets mainly due to an insurance receivable of $4.7 million partially offset by the write-off of our debt issuance costs pertaining to the 2021 Revolving Facility, prepaid marketing and prepaid software subscriptions, an increase of $2.3 million in income tax refund receivable, an increase of $1.4 million in accounts receivable pertaining to credit card and wholesale receivables, a decrease of $1.2 million in accounts payable primarily related to the timing of payments related to our credit card payables and a $0.4 million decrease related to operating lease liabilities. This was partially offset by a $7.5 million increase related to accrued expenses and other current liabilities mainly due to an increase in our non-routine legal reserve accrual of $4.6 million, an increase in stored value liabilities of $3.3 million due to lower redemption rates, a timing related increase in accrued inventory of $1.3 million, and an increase in miscellaneous accruals of $0.3 million offset by a decrease in accrued compensation and benefits of $0.7 million, a decrease in accrued freight of $0.4 million, a decrease in the return reserve of $0.4 million as a result of lower sales and a slight decrease in return rates, as well as a decrease in accrued marketing of $0.2 million. In addition, there was a $1.6 million increase related to other noncurrent liabilities and a $0.2 million increase related to assets for recovery.</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primary investing activities have consisted of purchases of equipment to support our overall business growth and internally developed software for the continued development of our proprietary technology infrastructure. Purchases of property and equipment may vary from period-to-period due to timing of the expansion of our operations. We have no material commitments for capital expenditures.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thirty-nine weeks ended September 29, 2024, as compared to the same period in 2023, net cash used in investing activities decreased by $0.6 million. This was attributable to $0.5 million less invested in capitalized software development costs and $0.1 million lower capital expenditures for furniture, leasehold improvements, equipment, and construction in progress for our general operations.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Financing activities consist primarily of borrowings and repayments related to our revolving line of credit.</w:t>
      </w:r>
    </w:p>
    <w:p>
      <w:pPr>
        <w:spacing w:after="0" w:line="22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During the thirty-nine weeks ended September 29, 2024, net cash provided by financing activities increased by $16.5 million compared to the same period in 2023. The increase was primarily due to higher net borrowings of $21.5 million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on our </w:t>
      </w:r>
      <w:r>
        <w:rPr>
          <w:rFonts w:ascii="Times New Roman" w:cs="Times New Roman" w:eastAsia="Times New Roman" w:hAnsi="Times New Roman"/>
          <w:sz w:val="18"/>
          <w:szCs w:val="18"/>
          <w:color w:val="212529"/>
        </w:rPr>
        <w:t>revolving line of credit and</w:t>
      </w:r>
      <w:r>
        <w:rPr>
          <w:rFonts w:ascii="Times New Roman" w:cs="Times New Roman" w:eastAsia="Times New Roman" w:hAnsi="Times New Roman"/>
          <w:sz w:val="18"/>
          <w:szCs w:val="18"/>
          <w:color w:val="auto"/>
        </w:rPr>
        <w:t xml:space="preserve"> a $0.2 million decrease in withheld tax payments related to vesting of RSUs, partially offset by $4.0 million of higher repayments on our revolving line of credit, $0.7 million increase in finance lease payments, $0.3 million decrease in proceeds received from issuance of common stock under our ESPP and $0.2 million increase related to the 2024 Repurchase Program.</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color w:val="auto"/>
        </w:rPr>
        <w:t xml:space="preserve">Other than the November 2024 Amended Credit Agreement discussed in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13, </w:t>
      </w:r>
      <w:r>
        <w:rPr>
          <w:rFonts w:ascii="Times New Roman" w:cs="Times New Roman" w:eastAsia="Times New Roman" w:hAnsi="Times New Roman"/>
          <w:sz w:val="18"/>
          <w:szCs w:val="18"/>
          <w:i w:val="1"/>
          <w:iCs w:val="1"/>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 there have been no other material changes to our contractual obligations and commitments as disclosed in our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10-K.</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383"/>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 - Critical Accounting Policies and Estimates” in our 2023 10-K and the notes to the audited consolidated financial statements appearing elsewhere in our 2023 10-K. There have been no significant changes to our critical accounting policies and estimates as disclosed in our 2023 10-K.</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See Note 2, “Significant Accounting Policies - Recently Issued Accounting Pronouncements,” in the Notes to the Condensed Consolidated Financial Statements included elsewhere in this Quarterly Report on Form 10-Q for more information about recent accounting pronouncements, the timing of their adoption, and our assessment, to the extent we have made one, of their potential impact on our financial position and our results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and our unaudited interim condensed consolidated financial statements may not be comparable to companies that comply with new or revised accounting pronouncements as of public company effective dates.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has been no material change in our exposure to market risk from that discussed in our 2023 10-K.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constraints and that management is required to apply judgment in evaluating the benefits of possible controls and procedures relative to their costs.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as of September 29, 2024, our disclosure controls and procedures were effective.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September 29, 2024 that have materially affected, or are reasonably likely to materially affect, our internal control over financial reporting.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may be a party to litigation and subject to claims, including employment claims, wage and hour claims, intellectual property claims, privacy claims, contractual and commercial disputes and other matters that arise in the ordinary course of our business. We accrue a liability when management believes information available prior to the issuance of the condensed consolidated financial statements indicates it is probable a loss has been incurred as of the date of the condensed consolidated financial statements and the amount of loss can be reasonably estimated. We adjust our accruals to reflect the impact of negotiations, settlements, rulings, advice of legal counsel, and other information and events pertaining to a particular case. Legal costs are expensed as incurred.</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disclosed in our Quarterly Report on Form 10-Q for the quarterly period ended June 30, 2024, we received a cease and desist letter alleging intellectual property infringement. This matter was resolved by the parties at a confidential mediation subsequent to the quarter ended September 29, 2024. As of September 29, 2024, the Company had accrued a liability net of anticipated insurance receivable related to resolution of this matter in an amount that was not material to the Company’s condensed consolidated financial statements.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Other than as discussed above, we are not presently a party to any legal proceedings that we believe would, if determined adversely to us, materially and adversely affect our future business, financial condition, cash flows, or results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detailed information about certain risk factors that could materially affect our business, financial condition or future results see “Risk Factors” in Part I, Item 1A of our 2023 10-K and in Part II, Item 1A of our Quarterly Report on Form 10-Q for the quarter ended June 30, 2024. Set forth below are material changes to an existing risk factor previously disclosed in the 2023 10-K. Other than the risk factor set forth below, there have been no material changes to the risk factors previously disclosed in the 2023 10-K and our Quarterly Report on Form 10-Q for the quarter ended June 30, 2024.</w:t>
      </w:r>
    </w:p>
    <w:p>
      <w:pPr>
        <w:spacing w:after="0" w:line="181"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We may require additional capital to support business growth and this capital might not be available or may be available only by diluting existing stockholders or by raising additional debt financing at restrictive terms.</w:t>
      </w:r>
    </w:p>
    <w:p>
      <w:pPr>
        <w:spacing w:after="0" w:line="16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may need to raise additional funds, and we may not be able to obtain additional debt or equity financing on favorable terms or at all. If we raise additional equity financing, stockholders may experience significant dilution of their ownership interests. If we raise additional debt financing, we may be required to accept terms that restrict our ability to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incur additional indebtedness, force us to maintain specified liquidity or other ratios or restrict our ability to pay dividends or make acquisitions.</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of November 12, 2024, we have no further access to funds under our 2021 Revolving Facility in accordance with the terms of the November 2024 Amended Credit Agreement, which, among other things, extends our reporting deadline for our financial statements and covenant compliance certificate for the third quarter 2024 to December 16, 2024. If we have not refinanced the 2021 Revolving Facility or obtained a further waiver or amendment of the November 2024 Amended Credit Agreement prior to December 16, 2024, we expect to be in default of our 2024 Amended Credit Agreement and as a result our lenders would have the right in such circumstances to terminate any commitments to provide further borrowings and to elect to declare all outstanding borrowings, together with accrued interest and other fees, to be immediately due and payable. For further information on the 2021 Revolving Facility, the 2024 Amended Credit Agreement, and the November 2024 Amended Credit Agreement, 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If we need additional capital and cannot raise it on acceptable terms, or at all, our ability to continue to support our business growth and to respond to business challenges could be significantly limited and our business and prospects could fail or be adversely affected.</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 summary of our common stock repurchases during the thirteen weeks ended September 29, 2024 is set forth in the table below.</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8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40" w:type="dxa"/>
            <w:vAlign w:val="bottom"/>
          </w:tcPr>
          <w:p>
            <w:pPr>
              <w:spacing w:after="0"/>
              <w:rPr>
                <w:sz w:val="13"/>
                <w:szCs w:val="13"/>
                <w:color w:val="auto"/>
              </w:rPr>
            </w:pPr>
          </w:p>
        </w:tc>
        <w:tc>
          <w:tcPr>
            <w:tcW w:w="1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Maximum Dollar Value</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4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that May Yet</w:t>
            </w:r>
          </w:p>
        </w:tc>
        <w:tc>
          <w:tcPr>
            <w:tcW w:w="0" w:type="dxa"/>
            <w:vAlign w:val="bottom"/>
          </w:tcPr>
          <w:p>
            <w:pPr>
              <w:spacing w:after="0"/>
              <w:rPr>
                <w:sz w:val="1"/>
                <w:szCs w:val="1"/>
                <w:color w:val="auto"/>
              </w:rPr>
            </w:pPr>
          </w:p>
        </w:tc>
      </w:tr>
      <w:tr>
        <w:trPr>
          <w:trHeight w:val="199"/>
        </w:trPr>
        <w:tc>
          <w:tcPr>
            <w:tcW w:w="278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the</w:t>
            </w:r>
          </w:p>
        </w:tc>
        <w:tc>
          <w:tcPr>
            <w:tcW w:w="34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75"/>
        </w:trPr>
        <w:tc>
          <w:tcPr>
            <w:tcW w:w="2780" w:type="dxa"/>
            <w:vAlign w:val="bottom"/>
            <w:gridSpan w:val="2"/>
            <w:vMerge w:val="continue"/>
          </w:tcPr>
          <w:p>
            <w:pPr>
              <w:spacing w:after="0"/>
              <w:rPr>
                <w:sz w:val="15"/>
                <w:szCs w:val="15"/>
                <w:color w:val="auto"/>
              </w:rPr>
            </w:pPr>
          </w:p>
        </w:tc>
        <w:tc>
          <w:tcPr>
            <w:tcW w:w="11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4"/>
                <w:szCs w:val="14"/>
                <w:b w:val="1"/>
                <w:bCs w:val="1"/>
                <w:color w:val="auto"/>
                <w:w w:val="97"/>
              </w:rPr>
              <w:t xml:space="preserve">Purchased </w:t>
            </w:r>
            <w:r>
              <w:rPr>
                <w:rFonts w:ascii="Times New Roman" w:cs="Times New Roman" w:eastAsia="Times New Roman" w:hAnsi="Times New Roman"/>
                <w:sz w:val="20"/>
                <w:szCs w:val="20"/>
                <w:b w:val="1"/>
                <w:bCs w:val="1"/>
                <w:color w:val="auto"/>
                <w:w w:val="97"/>
                <w:vertAlign w:val="superscript"/>
              </w:rPr>
              <w:t>(1)</w:t>
            </w:r>
          </w:p>
        </w:tc>
        <w:tc>
          <w:tcPr>
            <w:tcW w:w="8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 Plan</w:t>
            </w:r>
          </w:p>
        </w:tc>
        <w:tc>
          <w:tcPr>
            <w:tcW w:w="3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through July 31, 2024</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(21,889)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(21,889)</w:t>
            </w:r>
          </w:p>
        </w:tc>
        <w:tc>
          <w:tcPr>
            <w:tcW w:w="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2,374,008</w:t>
            </w:r>
          </w:p>
        </w:tc>
        <w:tc>
          <w:tcPr>
            <w:tcW w:w="0" w:type="dxa"/>
            <w:vAlign w:val="bottom"/>
          </w:tcPr>
          <w:p>
            <w:pPr>
              <w:spacing w:after="0"/>
              <w:rPr>
                <w:sz w:val="1"/>
                <w:szCs w:val="1"/>
                <w:color w:val="auto"/>
              </w:rPr>
            </w:pPr>
          </w:p>
        </w:tc>
      </w:tr>
      <w:tr>
        <w:trPr>
          <w:trHeight w:val="198"/>
        </w:trPr>
        <w:tc>
          <w:tcPr>
            <w:tcW w:w="27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August 1, 2024 through August 31,</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(59,479)</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20"/>
                <w:szCs w:val="20"/>
                <w:color w:val="auto"/>
              </w:rPr>
            </w:pPr>
          </w:p>
        </w:tc>
        <w:tc>
          <w:tcPr>
            <w:tcW w:w="1740" w:type="dxa"/>
            <w:vAlign w:val="bottom"/>
          </w:tcPr>
          <w:p>
            <w:pPr>
              <w:jc w:val="right"/>
              <w:ind w:right="380"/>
              <w:spacing w:after="0"/>
              <w:rPr>
                <w:sz w:val="20"/>
                <w:szCs w:val="20"/>
                <w:color w:val="auto"/>
              </w:rPr>
            </w:pPr>
            <w:r>
              <w:rPr>
                <w:rFonts w:ascii="Times New Roman" w:cs="Times New Roman" w:eastAsia="Times New Roman" w:hAnsi="Times New Roman"/>
                <w:sz w:val="18"/>
                <w:szCs w:val="18"/>
                <w:color w:val="auto"/>
              </w:rPr>
              <w:t>(59,479)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2,295,772</w:t>
            </w:r>
          </w:p>
        </w:tc>
        <w:tc>
          <w:tcPr>
            <w:tcW w:w="0" w:type="dxa"/>
            <w:vAlign w:val="bottom"/>
          </w:tcPr>
          <w:p>
            <w:pPr>
              <w:spacing w:after="0"/>
              <w:rPr>
                <w:sz w:val="1"/>
                <w:szCs w:val="1"/>
                <w:color w:val="auto"/>
              </w:rPr>
            </w:pPr>
          </w:p>
        </w:tc>
      </w:tr>
      <w:tr>
        <w:trPr>
          <w:trHeight w:val="198"/>
        </w:trPr>
        <w:tc>
          <w:tcPr>
            <w:tcW w:w="27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September 1, 2024 through</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29, 2024</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(48,925)</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(48,925)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2,224,305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20" w:right="159" w:hanging="319"/>
        <w:spacing w:after="0" w:line="25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8, 2024, the Company's Board of Directors announced that it authorized a stock repurchase program allowing the Company to repurchase up to an aggregate amount of $2.5 million of its shares of common stock (the "2024 Repurchase Program"). The 2024 Repurchase Program may be modified, suspended or terminated by the Company’s Board of Directors at any time. All shares repurchased during the thirteen and thirty-nine weeks ended September 29, 2024 were repurchased in open market transactions pursuant to a 10b5-1 purchase plan entered into by the Company.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November 2024 Amended Credit Agreement</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November 12, 2024, the Company entered into the November 2024 Amended Credit Agreement. The November 2024 Amended Credit Agreement extends the time period required by the 2024 Amended Credit Agreement to provide the lenders the financial statements and compliance certificate for the third quarter 2024 from November 13, 2024 to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December 16, 2024. It also requires that the consolidated total leverage ratio and consolidated fixed charge coverage ratio financial convenants for the third quarter 2024 be tested on the earlier of the date the Company delivers the financial statements and compliance certificate for the third quarter of 2024 or December 16, 2024. The November 2024 Amended Credit Agreement provides that the failure to deliver the financial statements and compliance certificate for the third quarter 2024 within the original time period required by the 2024 Amended Credit Agreement will not constitute an event of default. Further, the filing of this Form 10-Q with the SEC shall not be deemed to constitute delivery of the financial statements and compliance certificate for the third quarter 2024.</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November 2024 Amended Credit Agreement prohibits the Company from requesting any additional borrowing or letter of credit extension until the financial statements and the compliance certificate for the third quarter of 2024 have been delivered. The November 2024 Amended Credit Agreement also revised the applicable interest rates for borrowings for the period commencing on November 12, 2024 as follows: at the Company’s option, the base rate plus 2.75% (increased from 1.25%) or Term SOFR (subject to a credit spread adjustment of 10 basis points) plus 3.75% (increased from 2.25%). The November 2024 Amended Credit Agreement also added a requirement to deliver certain cash flow information on a weekly basis commencing November 22,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Times New Roman" w:cs="Times New Roman" w:eastAsia="Times New Roman" w:hAnsi="Times New Roman"/>
          <w:sz w:val="18"/>
          <w:szCs w:val="18"/>
          <w:color w:val="auto"/>
        </w:rPr>
        <w:t>On August 19, 2024, David McCreight, who was a director of the Company at the time, entered into an amendment to the Rule 10b5-1 trading plan dated June 13, 2024 intended to satisfy the affirmative defense of Rule 10b5-1(c) under the Exchange Act. The amendment, which was entered into during an open trading window under the Company’s insider trading policy, provides for the sale of up to 62,500 shares of common stock, amended from 633,000 shares of common stock. The trading plan is intended to permit the orderly disposition of a portion of the former director’s holdings as part of his long-term financial and tax plan. The amendment becomes effective on November 18, 2024 and will terminate on the earlier of November 18, 2025, the date all shares covered under the 10b5-1 sales plan are sold, or the date a termination event occurs as provided in the amended 10b5-1 sales plan. The 10b5-1 sales plan can be modified or amended by Mr. McCreight during any open trading window under the Company’s insider trading policy. No sales of shares have been made under the original or amended 10b5-1 sales plan.</w:t>
      </w:r>
    </w:p>
    <w:p>
      <w:pPr>
        <w:spacing w:after="0" w:line="16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August 19, 2024, Tiffany Smith, Chief Financial Officer of the Company, entered into a Rule 10b5-1 trading plan intended to satisfy the affirmative defense of Rule 10b5-1(c) under the Exchange Act. The trading plan, which was entered into during an open trading window under the Company’s insider trading policy, provides for the sale of up to 24,400 shares of common stock. The trading plan is intended to permit the orderly disposition of a portion of the officer’s holdings as part of her long-term financial and tax plan. The trading plan becomes effective on November 20, 2024 and will terminate on the earlier of November 21, 2025, the date all shares covered under the 10b5-1 sales plan are sold, or the date a termination event occurs as provided in the 10b5-1 sales plan. The 10b5-1 sales plan can be modified or amended by Ms. Smith during any open trading window under the Company’s insider trading policy. No sales of shares have been made under the 10b5-1 sales plan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187"/>
        </w:trPr>
        <w:tc>
          <w:tcPr>
            <w:tcW w:w="1200" w:type="dxa"/>
            <w:vAlign w:val="bottom"/>
            <w:tcBorders>
              <w:top w:val="single" w:sz="8" w:color="auto"/>
            </w:tcBorders>
          </w:tcPr>
          <w:p>
            <w:pPr>
              <w:ind w:left="3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Filing</w:t>
            </w:r>
          </w:p>
        </w:tc>
        <w:tc>
          <w:tcPr>
            <w:tcW w:w="120" w:type="dxa"/>
            <w:vAlign w:val="bottom"/>
          </w:tcPr>
          <w:p>
            <w:pPr>
              <w:spacing w:after="0"/>
              <w:rPr>
                <w:sz w:val="16"/>
                <w:szCs w:val="16"/>
                <w:color w:val="auto"/>
              </w:rPr>
            </w:pPr>
          </w:p>
        </w:tc>
        <w:tc>
          <w:tcPr>
            <w:tcW w:w="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Furnished</w:t>
            </w:r>
          </w:p>
        </w:tc>
      </w:tr>
      <w:tr>
        <w:trPr>
          <w:trHeight w:val="238"/>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360" w:type="dxa"/>
            <w:vAlign w:val="bottom"/>
            <w:gridSpan w:val="17"/>
          </w:tcPr>
          <w:p>
            <w:pPr>
              <w:ind w:left="8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69"/>
        </w:trPr>
        <w:tc>
          <w:tcPr>
            <w:tcW w:w="12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2860" w:type="dxa"/>
            <w:vAlign w:val="bottom"/>
            <w:tcBorders>
              <w:top w:val="single" w:sz="8" w:color="auto"/>
              <w:bottom w:val="single" w:sz="8" w:color="0000EE"/>
            </w:tcBorders>
            <w:gridSpan w:val="9"/>
          </w:tcPr>
          <w:p>
            <w:pPr>
              <w:spacing w:after="0" w:line="169"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First Amendment to Credit Agreement,</w:t>
              </w:r>
            </w:hyperlink>
          </w:p>
        </w:tc>
        <w:tc>
          <w:tcPr>
            <w:tcW w:w="400" w:type="dxa"/>
            <w:vAlign w:val="bottom"/>
            <w:tcBorders>
              <w:top w:val="single" w:sz="8" w:color="auto"/>
            </w:tcBorders>
            <w:gridSpan w:val="7"/>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4"/>
                <w:szCs w:val="14"/>
                <w:color w:val="auto"/>
              </w:rPr>
            </w:pPr>
          </w:p>
        </w:tc>
        <w:tc>
          <w:tcPr>
            <w:tcW w:w="780" w:type="dxa"/>
            <w:vAlign w:val="bottom"/>
            <w:tcBorders>
              <w:top w:val="single" w:sz="8" w:color="auto"/>
              <w:bottom w:val="single" w:sz="8" w:color="0000EE"/>
            </w:tcBorders>
          </w:tcPr>
          <w:p>
            <w:pPr>
              <w:jc w:val="center"/>
              <w:spacing w:after="0" w:line="169" w:lineRule="exact"/>
              <w:rPr>
                <w:rFonts w:ascii="Times New Roman" w:cs="Times New Roman" w:eastAsia="Times New Roman" w:hAnsi="Times New Roman"/>
                <w:sz w:val="18"/>
                <w:szCs w:val="18"/>
                <w:color w:val="0000EE"/>
                <w:w w:val="97"/>
              </w:rPr>
            </w:pPr>
            <w:hyperlink r:id="rId56">
              <w:r>
                <w:rPr>
                  <w:rFonts w:ascii="Times New Roman" w:cs="Times New Roman" w:eastAsia="Times New Roman" w:hAnsi="Times New Roman"/>
                  <w:sz w:val="18"/>
                  <w:szCs w:val="18"/>
                  <w:color w:val="0000EE"/>
                  <w:w w:val="97"/>
                </w:rPr>
                <w:t>001-41059</w:t>
              </w:r>
            </w:hyperlink>
          </w:p>
        </w:tc>
        <w:tc>
          <w:tcPr>
            <w:tcW w:w="120" w:type="dxa"/>
            <w:vAlign w:val="bottom"/>
          </w:tcPr>
          <w:p>
            <w:pPr>
              <w:spacing w:after="0"/>
              <w:rPr>
                <w:sz w:val="14"/>
                <w:szCs w:val="14"/>
                <w:color w:val="auto"/>
              </w:rPr>
            </w:pPr>
          </w:p>
        </w:tc>
        <w:tc>
          <w:tcPr>
            <w:tcW w:w="580" w:type="dxa"/>
            <w:vAlign w:val="bottom"/>
            <w:tcBorders>
              <w:top w:val="single" w:sz="8" w:color="auto"/>
            </w:tcBorders>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07/25/2024</w:t>
            </w: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dated as of July 22, 2024, among Lulu’s</w:t>
              </w:r>
            </w:hyperlink>
          </w:p>
        </w:tc>
        <w:tc>
          <w:tcPr>
            <w:tcW w:w="44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gridSpan w:val="17"/>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Fashion Lounge, LLC, Lulu’s Fashion</w:t>
              </w:r>
            </w:hyperlink>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gridSpan w:val="17"/>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Lounge Parent, LLC, certain subsidiaries</w:t>
              </w:r>
            </w:hyperlink>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and Bank of America, N.A.</w:t>
              </w:r>
            </w:hyperlink>
          </w:p>
        </w:tc>
        <w:tc>
          <w:tcPr>
            <w:tcW w:w="960" w:type="dxa"/>
            <w:vAlign w:val="bottom"/>
            <w:tcBorders>
              <w:top w:val="single" w:sz="8" w:color="0000EE"/>
            </w:tcBorders>
            <w:gridSpan w:val="11"/>
          </w:tcPr>
          <w:p>
            <w:pPr>
              <w:spacing w:after="0"/>
              <w:rPr>
                <w:sz w:val="17"/>
                <w:szCs w:val="17"/>
                <w:color w:val="auto"/>
              </w:rPr>
            </w:pPr>
          </w:p>
        </w:tc>
        <w:tc>
          <w:tcPr>
            <w:tcW w:w="40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30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Second Amendment to Credit Agreement,</w:t>
            </w:r>
          </w:p>
        </w:tc>
        <w:tc>
          <w:tcPr>
            <w:tcW w:w="32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dated as of November 12, 2024, among</w:t>
            </w:r>
          </w:p>
        </w:tc>
        <w:tc>
          <w:tcPr>
            <w:tcW w:w="500" w:type="dxa"/>
            <w:vAlign w:val="bottom"/>
            <w:gridSpan w:val="8"/>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Lulu’s Fashion Lounge, LLC, Lulu’s</w:t>
            </w:r>
          </w:p>
        </w:tc>
        <w:tc>
          <w:tcPr>
            <w:tcW w:w="700" w:type="dxa"/>
            <w:vAlign w:val="bottom"/>
            <w:gridSpan w:val="13"/>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Fashion Lounge Parent, LLC, certain</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subsidiaries and Bank of America, N.A.</w:t>
            </w:r>
          </w:p>
        </w:tc>
        <w:tc>
          <w:tcPr>
            <w:tcW w:w="460" w:type="dxa"/>
            <w:vAlign w:val="bottom"/>
            <w:gridSpan w:val="6"/>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32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Third Amendment to Lulu’s Fashion Lounge</w:t>
            </w:r>
          </w:p>
        </w:tc>
        <w:tc>
          <w:tcPr>
            <w:tcW w:w="12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Holdings, Inc. Non-Employee Director</w:t>
            </w:r>
          </w:p>
        </w:tc>
        <w:tc>
          <w:tcPr>
            <w:tcW w:w="540" w:type="dxa"/>
            <w:vAlign w:val="bottom"/>
            <w:gridSpan w:val="10"/>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Program</w:t>
            </w:r>
          </w:p>
        </w:tc>
        <w:tc>
          <w:tcPr>
            <w:tcW w:w="1640" w:type="dxa"/>
            <w:vAlign w:val="bottom"/>
            <w:gridSpan w:val="16"/>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3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 13a-14(a)/15d-14(a).</w:t>
            </w:r>
          </w:p>
        </w:tc>
        <w:tc>
          <w:tcPr>
            <w:tcW w:w="48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28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w:t>
            </w:r>
          </w:p>
        </w:tc>
        <w:tc>
          <w:tcPr>
            <w:tcW w:w="520" w:type="dxa"/>
            <w:vAlign w:val="bottom"/>
            <w:gridSpan w:val="9"/>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 13a-14(a)/15d-14(a).</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2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3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48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76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28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w:t>
            </w:r>
          </w:p>
        </w:tc>
        <w:tc>
          <w:tcPr>
            <w:tcW w:w="520" w:type="dxa"/>
            <w:vAlign w:val="bottom"/>
            <w:gridSpan w:val="9"/>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300" w:type="dxa"/>
            <w:vAlign w:val="bottom"/>
            <w:gridSpan w:val="2"/>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76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instance document does not appear in the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are embedded within the Inline XBRL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(as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formatted as Inline XBRL and contained in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Exhibit 101)</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28" w:lineRule="exact"/>
        <w:rPr>
          <w:sz w:val="20"/>
          <w:szCs w:val="20"/>
          <w:color w:val="auto"/>
        </w:rPr>
      </w:pPr>
    </w:p>
    <w:p>
      <w:pPr>
        <w:ind w:left="700" w:hanging="650"/>
        <w:spacing w:after="0"/>
        <w:tabs>
          <w:tab w:leader="none" w:pos="7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Filed herewith</w:t>
      </w:r>
      <w:r>
        <w:rPr>
          <w:rFonts w:ascii="Times New Roman" w:cs="Times New Roman" w:eastAsia="Times New Roman" w:hAnsi="Times New Roman"/>
          <w:sz w:val="21"/>
          <w:szCs w:val="21"/>
          <w:color w:val="auto"/>
        </w:rPr>
        <w:t>.</w:t>
      </w:r>
    </w:p>
    <w:p>
      <w:pPr>
        <w:spacing w:after="0" w:line="14" w:lineRule="exact"/>
        <w:rPr>
          <w:sz w:val="20"/>
          <w:szCs w:val="20"/>
          <w:color w:val="auto"/>
        </w:rPr>
      </w:pPr>
    </w:p>
    <w:p>
      <w:pPr>
        <w:ind w:left="700" w:hanging="650"/>
        <w:spacing w:after="0"/>
        <w:tabs>
          <w:tab w:leader="none" w:pos="7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Furnished herewith</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572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LULU’S FASHION LOUNGE HOLDINGS, INC.</w:t>
            </w:r>
          </w:p>
        </w:tc>
      </w:tr>
      <w:tr>
        <w:trPr>
          <w:trHeight w:val="45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2024</w:t>
            </w:r>
          </w:p>
        </w:tc>
        <w:tc>
          <w:tcPr>
            <w:tcW w:w="15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Crystal Landsem</w:t>
            </w:r>
          </w:p>
        </w:tc>
      </w:tr>
      <w:tr>
        <w:trPr>
          <w:trHeight w:val="214"/>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Crystal Landsem</w:t>
            </w:r>
          </w:p>
        </w:tc>
      </w:tr>
      <w:tr>
        <w:trPr>
          <w:trHeight w:val="232"/>
        </w:trPr>
        <w:tc>
          <w:tcPr>
            <w:tcW w:w="3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6"/>
        </w:trPr>
        <w:tc>
          <w:tcPr>
            <w:tcW w:w="3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68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2024</w:t>
            </w:r>
          </w:p>
        </w:tc>
        <w:tc>
          <w:tcPr>
            <w:tcW w:w="15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Tiffany R. Smith</w:t>
            </w:r>
          </w:p>
        </w:tc>
      </w:tr>
      <w:tr>
        <w:trPr>
          <w:trHeight w:val="232"/>
        </w:trPr>
        <w:tc>
          <w:tcPr>
            <w:tcW w:w="3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Tiffany R. Smith</w:t>
            </w:r>
          </w:p>
        </w:tc>
      </w:tr>
    </w:tbl>
    <w:p>
      <w:pPr>
        <w:jc w:val="center"/>
        <w:ind w:left="4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4"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SECOND AMENDMENT</w:t>
      </w:r>
    </w:p>
    <w:p>
      <w:pPr>
        <w:spacing w:after="0" w:line="229"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THIS SECOND AMENDMENT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November 12, 2024, is entered into among LULU’S FASHION LOUNGE, LLC, a Delaware limited liability company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LULU’S FASHION LOUNGE PARENT, LLC, a Delaware limited liability company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other Guarantors party hereto, the Lenders party hereto, and Bank of America, N.A.,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Swing Line Lender and an L/C Issuer.</w:t>
      </w:r>
    </w:p>
    <w:p>
      <w:pPr>
        <w:spacing w:after="0" w:line="1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RECITALS</w:t>
      </w:r>
    </w:p>
    <w:p>
      <w:pPr>
        <w:spacing w:after="0" w:line="21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WHEREAS, the Borrower, Holdings, the other Guarantors from time to time party thereto, the Lenders from time to time party thereto, and Bank of America, N.A., as Administrative Agent, Swing Line Lender and an L/C Issuer, are parties that that certain Credit Agreement dated as of November 15, 2021 (as amended, modified, supplemented, increased, extended, restated, renewed, refinanced and replaced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w:t>
      </w:r>
    </w:p>
    <w:p>
      <w:pPr>
        <w:spacing w:after="0" w:line="185"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WHEREAS, the Credit Parties have requested certain modifications to the Credit Agreement and Lenders constituting Required Lenders have agreed to the requested modifications on the terms and conditions herein.</w:t>
      </w:r>
    </w:p>
    <w:p>
      <w:pPr>
        <w:spacing w:after="0" w:line="174"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4" w:lineRule="exact"/>
        <w:rPr>
          <w:sz w:val="20"/>
          <w:szCs w:val="20"/>
          <w:color w:val="auto"/>
        </w:rPr>
      </w:pPr>
    </w:p>
    <w:p>
      <w:pPr>
        <w:ind w:left="200" w:right="219" w:firstLine="657"/>
        <w:spacing w:after="0" w:line="269" w:lineRule="auto"/>
        <w:tabs>
          <w:tab w:leader="none" w:pos="149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used herein but not otherwise defined herein shall have the meanings given to such terms in the Credit Agreement.</w:t>
      </w:r>
    </w:p>
    <w:p>
      <w:pPr>
        <w:spacing w:after="0" w:line="159"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Consent</w:t>
      </w:r>
      <w:r>
        <w:rPr>
          <w:rFonts w:ascii="Times New Roman" w:cs="Times New Roman" w:eastAsia="Times New Roman" w:hAnsi="Times New Roman"/>
          <w:sz w:val="19"/>
          <w:szCs w:val="19"/>
          <w:color w:val="auto"/>
        </w:rPr>
        <w:t>. The Credit Parties have requested that the Lenders extend the time period required by Sections 6.01(b), 6.02(a) and 6.02(b) of the Credit Agreement to deliver the financial statements due as of the Fiscal Quarter ended on or about September 30, 2024 (including the corresponding figures for the previous Fiscal Year) and the Compliance Certificate for such period (collectively, the “</w:t>
      </w:r>
      <w:r>
        <w:rPr>
          <w:rFonts w:ascii="Times New Roman" w:cs="Times New Roman" w:eastAsia="Times New Roman" w:hAnsi="Times New Roman"/>
          <w:sz w:val="19"/>
          <w:szCs w:val="19"/>
          <w:u w:val="single" w:color="auto"/>
          <w:color w:val="auto"/>
        </w:rPr>
        <w:t>Financial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The Required Lenders hereby agree that the Credit Parties shall have until December 16, 2024 (the “</w:t>
      </w:r>
      <w:r>
        <w:rPr>
          <w:rFonts w:ascii="Times New Roman" w:cs="Times New Roman" w:eastAsia="Times New Roman" w:hAnsi="Times New Roman"/>
          <w:sz w:val="19"/>
          <w:szCs w:val="19"/>
          <w:u w:val="single" w:color="auto"/>
          <w:color w:val="auto"/>
        </w:rPr>
        <w:t>Extension Date</w:t>
      </w:r>
      <w:r>
        <w:rPr>
          <w:rFonts w:ascii="Times New Roman" w:cs="Times New Roman" w:eastAsia="Times New Roman" w:hAnsi="Times New Roman"/>
          <w:sz w:val="19"/>
          <w:szCs w:val="19"/>
          <w:color w:val="auto"/>
        </w:rPr>
        <w:t>”) to deliver the Financial Information, and that the Credit Parties’ failure to deliver the Financial Information within the time period originally required by Sections 6.01(b), 6.02(a) and 6.02(b) of the Credit Agreement shall not constitute a Default or an Event of Default. Failure to deliver the Financial Information on or prior to the Extension Date shall constitute an Event of Default. Notwithstanding any provision of the Credit Agreement or any other Loan Document to the contrary, (a) compliance by the Credit Parties with the Financial Covenants in Section 7.16 of the Credit Agreement for the Fiscal Quarter ended on or about September 30, 2024 shall be tested on the earlier of the date the Credit Parties deliver the Financial Information to the Administrative Agent and the Extension Date and (b) the Borrower shall not be permitted to request, and the Lenders and the L/C Issuer shall not be obligated to honor, any Borrowing or L/C Credit Extension until the Financial Information has been delivered to the Administrative Agent. Notwithstanding anything herein or in the Credit Agreement to the contrary, solely for purposes of the Fiscal Quarter ended on or about September 30, 2024, the filing by the Credit Parties of a Form 10-Q with the SEC with respect to such Fiscal Quarter shall not be deemed to constitute delivery of the Financial Information in satisfaction of Section 6.01(b). The foregoing consent is a one-time consent and is expressly limited to the purposes and matters set forth herein. Nothing contained herein shall constitute a consent to the deviation from any other terms or conditions of any Loan Document or a waiver or modification of any other rights or remedies the Administrative Agent and the Lenders may have under any Loan Document or applicable Law. Other than as expressly set forth herein, nothing contained herein shall be construed as a waiver of any Default or Event of Default or a consent to any action or inaction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13872734v7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200" w:right="219"/>
        <w:spacing w:after="0" w:line="269" w:lineRule="auto"/>
        <w:rPr>
          <w:sz w:val="20"/>
          <w:szCs w:val="20"/>
          <w:color w:val="auto"/>
        </w:rPr>
      </w:pPr>
      <w:r>
        <w:rPr>
          <w:rFonts w:ascii="Times New Roman" w:cs="Times New Roman" w:eastAsia="Times New Roman" w:hAnsi="Times New Roman"/>
          <w:sz w:val="20"/>
          <w:szCs w:val="20"/>
          <w:color w:val="auto"/>
        </w:rPr>
        <w:t>any Credit Party, nor shall it be construed as a course of dealing or conduct on the part of the Administrative Agent or any Lender.</w:t>
      </w:r>
    </w:p>
    <w:p>
      <w:pPr>
        <w:spacing w:after="0" w:line="159" w:lineRule="exact"/>
        <w:rPr>
          <w:sz w:val="20"/>
          <w:szCs w:val="20"/>
          <w:color w:val="auto"/>
        </w:rPr>
      </w:pPr>
    </w:p>
    <w:p>
      <w:pPr>
        <w:ind w:left="1500" w:hanging="643"/>
        <w:spacing w:after="0"/>
        <w:tabs>
          <w:tab w:leader="none" w:pos="15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Credit Agreement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60" w:right="219"/>
        <w:spacing w:after="0" w:line="269" w:lineRule="auto"/>
        <w:rPr>
          <w:sz w:val="20"/>
          <w:szCs w:val="20"/>
          <w:color w:val="auto"/>
        </w:rPr>
      </w:pPr>
      <w:r>
        <w:rPr>
          <w:rFonts w:ascii="Times New Roman" w:cs="Times New Roman" w:eastAsia="Times New Roman" w:hAnsi="Times New Roman"/>
          <w:sz w:val="20"/>
          <w:szCs w:val="20"/>
          <w:color w:val="auto"/>
        </w:rPr>
        <w:t>3.1 The definition of Applicable Rate in Section 1.01 of the Credit Agreement is hereby amended to read as follows: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for any day, the rate per annum equal to:</w:t>
      </w:r>
    </w:p>
    <w:p>
      <w:pPr>
        <w:spacing w:after="0" w:line="216" w:lineRule="exact"/>
        <w:rPr>
          <w:sz w:val="20"/>
          <w:szCs w:val="20"/>
          <w:color w:val="auto"/>
        </w:rPr>
      </w:pPr>
    </w:p>
    <w:p>
      <w:pPr>
        <w:jc w:val="both"/>
        <w:ind w:left="1500" w:right="219" w:firstLine="653"/>
        <w:spacing w:after="0" w:line="249" w:lineRule="auto"/>
        <w:tabs>
          <w:tab w:leader="none" w:pos="279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commencing on the First Amendment Effective Date through (but excluding) November 12, 2024: (i) in the case of Base Rate Loans, 1.25%, (ii) in the case of Term SOFR Loans, 2.25%, (iii) in the case of the Letter of Credit Fee, 2.25% and (iv) in the case of the Commitment Fee, 0.375%; and</w:t>
      </w:r>
    </w:p>
    <w:p>
      <w:pPr>
        <w:spacing w:after="0" w:line="179" w:lineRule="exact"/>
        <w:rPr>
          <w:rFonts w:ascii="Times New Roman" w:cs="Times New Roman" w:eastAsia="Times New Roman" w:hAnsi="Times New Roman"/>
          <w:sz w:val="20"/>
          <w:szCs w:val="20"/>
          <w:color w:val="auto"/>
        </w:rPr>
      </w:pPr>
    </w:p>
    <w:p>
      <w:pPr>
        <w:jc w:val="both"/>
        <w:ind w:left="1500" w:right="219" w:firstLine="653"/>
        <w:spacing w:after="0" w:line="254" w:lineRule="auto"/>
        <w:tabs>
          <w:tab w:leader="none" w:pos="279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November 12, 2024: (i) in the case of Base Rate Loans, 2.75%, (ii) in the case of Term SOFR Loans, 3.75%, (iii) in the case of the Letter of Credit Fee, 3.75% and (iv) in the case of the Commitment Fee, 0.375%.</w:t>
      </w:r>
    </w:p>
    <w:p>
      <w:pPr>
        <w:spacing w:after="0" w:line="174" w:lineRule="exact"/>
        <w:rPr>
          <w:sz w:val="20"/>
          <w:szCs w:val="20"/>
          <w:color w:val="auto"/>
        </w:rPr>
      </w:pPr>
    </w:p>
    <w:p>
      <w:pPr>
        <w:ind w:left="860" w:right="239"/>
        <w:spacing w:after="0" w:line="269" w:lineRule="auto"/>
        <w:rPr>
          <w:sz w:val="20"/>
          <w:szCs w:val="20"/>
          <w:color w:val="auto"/>
        </w:rPr>
      </w:pPr>
      <w:r>
        <w:rPr>
          <w:rFonts w:ascii="Times New Roman" w:cs="Times New Roman" w:eastAsia="Times New Roman" w:hAnsi="Times New Roman"/>
          <w:sz w:val="20"/>
          <w:szCs w:val="20"/>
          <w:color w:val="auto"/>
        </w:rPr>
        <w:t>3.2 Section 6.01 of the Credit Agreement is hereby amended to add a new clause (c) to read as follows:</w:t>
      </w:r>
    </w:p>
    <w:p>
      <w:pPr>
        <w:spacing w:after="0" w:line="159" w:lineRule="exact"/>
        <w:rPr>
          <w:sz w:val="20"/>
          <w:szCs w:val="20"/>
          <w:color w:val="auto"/>
        </w:rPr>
      </w:pPr>
    </w:p>
    <w:p>
      <w:pPr>
        <w:jc w:val="both"/>
        <w:ind w:left="1500" w:right="219" w:firstLine="5"/>
        <w:spacing w:after="0" w:line="245" w:lineRule="auto"/>
        <w:tabs>
          <w:tab w:leader="none" w:pos="2148"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5:00 p.m. on each Friday commencing November 22, 2024, (A) a rolling 13-week forecast of cash flows for Holdings and its Subsidiaries on a consolidated basis as of the last day of the immediately preceding week (each a “</w:t>
      </w:r>
      <w:r>
        <w:rPr>
          <w:rFonts w:ascii="Times New Roman" w:cs="Times New Roman" w:eastAsia="Times New Roman" w:hAnsi="Times New Roman"/>
          <w:sz w:val="20"/>
          <w:szCs w:val="20"/>
          <w:u w:val="single" w:color="auto"/>
          <w:color w:val="auto"/>
        </w:rPr>
        <w:t>Cash Flow Forecast</w:t>
      </w:r>
      <w:r>
        <w:rPr>
          <w:rFonts w:ascii="Times New Roman" w:cs="Times New Roman" w:eastAsia="Times New Roman" w:hAnsi="Times New Roman"/>
          <w:sz w:val="20"/>
          <w:szCs w:val="20"/>
          <w:color w:val="auto"/>
        </w:rPr>
        <w:t>”) and (B) for each week after the first week, a variance report showing a comparison of the previous week’s actual cash flows for Holdings and its Subsidiaries to the most recent Cash Flow Forecast for such period.</w:t>
      </w:r>
    </w:p>
    <w:p>
      <w:pPr>
        <w:spacing w:after="0" w:line="184" w:lineRule="exact"/>
        <w:rPr>
          <w:rFonts w:ascii="Times New Roman" w:cs="Times New Roman" w:eastAsia="Times New Roman" w:hAnsi="Times New Roman"/>
          <w:sz w:val="20"/>
          <w:szCs w:val="20"/>
          <w:color w:val="auto"/>
        </w:rPr>
      </w:pPr>
    </w:p>
    <w:p>
      <w:pPr>
        <w:jc w:val="both"/>
        <w:ind w:left="200" w:right="219" w:firstLine="657"/>
        <w:spacing w:after="0" w:line="242" w:lineRule="auto"/>
        <w:tabs>
          <w:tab w:leader="none" w:pos="149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xml:space="preserve">. In consideration of the Administrative Agent’s and the Lenders’ willingness to enter into this Amendment and provide the limited consent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above, each Credit Party hereby releases and forever discharges the Administrative Agent, the Swing Line Lender, the L/C Issuer, each Lender, and each of their respective predecessors, successors, assigns, and Related Parties (each and every of the foregoing, a “</w:t>
      </w:r>
      <w:r>
        <w:rPr>
          <w:rFonts w:ascii="Times New Roman" w:cs="Times New Roman" w:eastAsia="Times New Roman" w:hAnsi="Times New Roman"/>
          <w:sz w:val="20"/>
          <w:szCs w:val="20"/>
          <w:u w:val="single" w:color="auto"/>
          <w:color w:val="auto"/>
        </w:rPr>
        <w:t>Released Party</w:t>
      </w:r>
      <w:r>
        <w:rPr>
          <w:rFonts w:ascii="Times New Roman" w:cs="Times New Roman" w:eastAsia="Times New Roman" w:hAnsi="Times New Roman"/>
          <w:sz w:val="20"/>
          <w:szCs w:val="20"/>
          <w:color w:val="auto"/>
        </w:rPr>
        <w:t>”) from any and all claims, counterclaims, demands, damages, debts, suits, liabilities, actions, and causes of action of any nature whatsoever, in each case through the date hereof, whether arising at law or in equity, whether known or unknown, whether liability be direct or indirect, whether liquidated or unliquidated, whether absolute or contingent, whether foreseen or unforeseen, and whether or not heretofore asserted, which any Credit Party may have or claim to have against any Released Party</w:t>
      </w:r>
    </w:p>
    <w:p>
      <w:pPr>
        <w:spacing w:after="0" w:line="192"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This Amendment shall be effective as of the date hereof upon receipt by the Administrative Agent of counterparts of this Amendment duly executed by a Responsible Officer of each Credit Party, Lenders constituting the Required Lenders and the Administrative Agent.</w:t>
      </w:r>
    </w:p>
    <w:p>
      <w:pPr>
        <w:spacing w:after="0" w:line="174"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60" w:right="219" w:firstLine="645"/>
        <w:spacing w:after="0" w:line="263" w:lineRule="auto"/>
        <w:tabs>
          <w:tab w:leader="none" w:pos="2156"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expressly modified hereby, all of the terms and provisions of the Loan Documents shall remain in full force and effect. The Credit Agreement (as amended hereby) and the obligations of the Credit Parties thereunder and under the other Loan Documents are hereby ratified and confirmed and shall remain in full force and effect according to their terms. This Amendment shall not be deemed or construed to be a satisfaction, reinstatement, novation or release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13872734v7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47" w:name="page48"/>
    <w:bookmarkEnd w:id="47"/>
    <w:p>
      <w:pPr>
        <w:ind w:left="860" w:right="239"/>
        <w:spacing w:after="0" w:line="269" w:lineRule="auto"/>
        <w:rPr>
          <w:sz w:val="20"/>
          <w:szCs w:val="20"/>
          <w:color w:val="auto"/>
        </w:rPr>
      </w:pPr>
      <w:r>
        <w:rPr>
          <w:rFonts w:ascii="Times New Roman" w:cs="Times New Roman" w:eastAsia="Times New Roman" w:hAnsi="Times New Roman"/>
          <w:sz w:val="20"/>
          <w:szCs w:val="20"/>
          <w:color w:val="auto"/>
        </w:rPr>
        <w:t>of any Loan Document or a waiver by the Administrative Agent or any Lender of any rights and remedies under the Loan Documents, at law or in equity.</w:t>
      </w:r>
    </w:p>
    <w:p>
      <w:pPr>
        <w:spacing w:after="0" w:line="159" w:lineRule="exact"/>
        <w:rPr>
          <w:sz w:val="20"/>
          <w:szCs w:val="20"/>
          <w:color w:val="auto"/>
        </w:rPr>
      </w:pPr>
    </w:p>
    <w:p>
      <w:pPr>
        <w:jc w:val="both"/>
        <w:ind w:left="860" w:right="219" w:firstLine="645"/>
        <w:spacing w:after="0" w:line="246" w:lineRule="auto"/>
        <w:tabs>
          <w:tab w:leader="none" w:pos="215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(i) acknowledges and consents to all of the terms and conditions of this Amendment and the transactions contemplated hereby, (ii) affirms all of its obligations under the Loan Documents to which it is a party, and (iii) agrees that this Amendment and all documents executed in connection herewith do not operate to reduce or discharge its obligations under the Loan Documents to which it is a party.</w:t>
      </w:r>
    </w:p>
    <w:p>
      <w:pPr>
        <w:spacing w:after="0" w:line="184" w:lineRule="exact"/>
        <w:rPr>
          <w:rFonts w:ascii="Times New Roman" w:cs="Times New Roman" w:eastAsia="Times New Roman" w:hAnsi="Times New Roman"/>
          <w:sz w:val="20"/>
          <w:szCs w:val="20"/>
          <w:color w:val="auto"/>
        </w:rPr>
      </w:pPr>
    </w:p>
    <w:p>
      <w:pPr>
        <w:jc w:val="both"/>
        <w:ind w:left="860" w:right="219" w:firstLine="645"/>
        <w:spacing w:after="0" w:line="249" w:lineRule="auto"/>
        <w:tabs>
          <w:tab w:leader="none" w:pos="215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(i) affirms that each of the Liens granted in or pursuant to the Loan Documents are valid and subsisting and continue in full force and effect and (ii) agrees that this Amendment does not in any manner impair or otherwise adversely affect, or constitute or establish a novation of, any of the Liens granted in or pursuant to the Loan Documents.</w:t>
      </w:r>
    </w:p>
    <w:p>
      <w:pPr>
        <w:spacing w:after="0" w:line="179" w:lineRule="exact"/>
        <w:rPr>
          <w:rFonts w:ascii="Times New Roman" w:cs="Times New Roman" w:eastAsia="Times New Roman" w:hAnsi="Times New Roman"/>
          <w:sz w:val="20"/>
          <w:szCs w:val="20"/>
          <w:color w:val="auto"/>
        </w:rPr>
      </w:pPr>
    </w:p>
    <w:p>
      <w:pPr>
        <w:jc w:val="both"/>
        <w:ind w:left="860" w:right="219" w:firstLine="645"/>
        <w:spacing w:after="0" w:line="244" w:lineRule="auto"/>
        <w:tabs>
          <w:tab w:leader="none" w:pos="215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hereby represents and warrants to the Administrative Agent and the Lenders as follows giving effect to this Amendment: (i) the representations and warranties of each Credit Party contained in the Credit Agreement or any other Loan Document are true and correct in all material respects on and as of the date hereof, except to the extent that such representations and warranties specifically refer to an earlier date, in which case such representations and warranties are true and correct in all material respects as of such earlier date, and (ii) no Default exists.</w:t>
      </w:r>
    </w:p>
    <w:p>
      <w:pPr>
        <w:spacing w:after="0" w:line="185" w:lineRule="exact"/>
        <w:rPr>
          <w:rFonts w:ascii="Times New Roman" w:cs="Times New Roman" w:eastAsia="Times New Roman" w:hAnsi="Times New Roman"/>
          <w:sz w:val="20"/>
          <w:szCs w:val="20"/>
          <w:color w:val="auto"/>
        </w:rPr>
      </w:pPr>
    </w:p>
    <w:p>
      <w:pPr>
        <w:jc w:val="both"/>
        <w:ind w:left="860" w:right="219" w:firstLine="645"/>
        <w:spacing w:after="0" w:line="242" w:lineRule="auto"/>
        <w:tabs>
          <w:tab w:leader="none" w:pos="215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may be executed in any number of counterparts and by the various parties hereto in separate counterparts, each of which when so executed and delivered shall be an original, but all of which shall constitute one and the same instrument. Delivery of an executed counterpart of this Amendment by telecopy or in any other electronic format (such as .pdf format) shall be effective as delivery of a manually executed original counterpart of this Amendment. Subject to Section 11.18 of the Credit Agreement, execution of this Amendment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 based recordkeeping system, as the case may be.</w:t>
      </w:r>
    </w:p>
    <w:p>
      <w:pPr>
        <w:spacing w:after="0" w:line="189" w:lineRule="exact"/>
        <w:rPr>
          <w:rFonts w:ascii="Times New Roman" w:cs="Times New Roman" w:eastAsia="Times New Roman" w:hAnsi="Times New Roman"/>
          <w:sz w:val="20"/>
          <w:szCs w:val="20"/>
          <w:color w:val="auto"/>
        </w:rPr>
      </w:pPr>
    </w:p>
    <w:p>
      <w:pPr>
        <w:jc w:val="both"/>
        <w:ind w:left="860" w:right="219" w:firstLine="645"/>
        <w:spacing w:after="0" w:line="246" w:lineRule="auto"/>
        <w:tabs>
          <w:tab w:leader="none" w:pos="215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is a Loan Document. The execution, delivery and effectiveness of this Amendment shall not, except as expressly provided herein, operate as a waiver of any right, power or remedy of any Lender or the Administrative Agent under any of the Loan Documents, nor, except as expressly provided herein, constitute a waiver or amendment of any provision of any of the Loan Documents.</w:t>
      </w:r>
    </w:p>
    <w:p>
      <w:pPr>
        <w:spacing w:after="0" w:line="180" w:lineRule="exact"/>
        <w:rPr>
          <w:rFonts w:ascii="Times New Roman" w:cs="Times New Roman" w:eastAsia="Times New Roman" w:hAnsi="Times New Roman"/>
          <w:sz w:val="20"/>
          <w:szCs w:val="20"/>
          <w:color w:val="auto"/>
        </w:rPr>
      </w:pPr>
    </w:p>
    <w:p>
      <w:pPr>
        <w:jc w:val="both"/>
        <w:ind w:left="860" w:right="219" w:firstLine="645"/>
        <w:spacing w:after="0" w:line="246" w:lineRule="auto"/>
        <w:tabs>
          <w:tab w:leader="none" w:pos="215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THIS AMENDMENT SHALL BE GOVERNED IN ALL RESPECTS BY THE LAWS OF THE STATE OF NEW YORK WITHOUT REGARD TO CONFLICTS OF LAWS. THIS AMENDMENT SHALL BE FURTHER SUBJECT TO THE TERMS AND CONDITIONS OF SECTIONS 11.14 AND 11.15 OF THE CREDIT AGREEMENT, THE TERMS OF WHICH ARE INCORPORATED HEREIN BY REFERENCE AS IF FULLY SET FORTH HEREIN.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13872734v7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48" w:name="page49"/>
    <w:bookmarkEnd w:id="48"/>
    <w:p>
      <w:pPr>
        <w:jc w:val="both"/>
        <w:ind w:left="200" w:right="219" w:firstLine="648"/>
        <w:spacing w:after="0" w:line="295" w:lineRule="auto"/>
        <w:rPr>
          <w:sz w:val="20"/>
          <w:szCs w:val="20"/>
          <w:color w:val="auto"/>
        </w:rPr>
      </w:pPr>
      <w:r>
        <w:rPr>
          <w:rFonts w:ascii="Times New Roman" w:cs="Times New Roman" w:eastAsia="Times New Roman" w:hAnsi="Times New Roman"/>
          <w:sz w:val="19"/>
          <w:szCs w:val="19"/>
          <w:color w:val="auto"/>
        </w:rPr>
        <w:t>IN WITNESS WHEREOF, each of the parties hereto has caused a counterpart of this Second Amendment to be duly executed and delivered by a duly authorized officer as of the date first above written.</w:t>
      </w:r>
    </w:p>
    <w:p>
      <w:pPr>
        <w:spacing w:after="0" w:line="13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BORROWER:</w:t>
            </w:r>
          </w:p>
        </w:tc>
        <w:tc>
          <w:tcPr>
            <w:tcW w:w="5780" w:type="dxa"/>
            <w:vAlign w:val="bottom"/>
            <w:gridSpan w:val="9"/>
          </w:tcPr>
          <w:p>
            <w:pPr>
              <w:ind w:left="420"/>
              <w:spacing w:after="0"/>
              <w:rPr>
                <w:sz w:val="20"/>
                <w:szCs w:val="20"/>
                <w:color w:val="auto"/>
              </w:rPr>
            </w:pPr>
            <w:r>
              <w:rPr>
                <w:rFonts w:ascii="Times New Roman" w:cs="Times New Roman" w:eastAsia="Times New Roman" w:hAnsi="Times New Roman"/>
                <w:sz w:val="20"/>
                <w:szCs w:val="20"/>
                <w:color w:val="auto"/>
              </w:rPr>
              <w:t>LULU’S FASHION LOUNGE, LLC,</w:t>
            </w:r>
          </w:p>
        </w:tc>
        <w:tc>
          <w:tcPr>
            <w:tcW w:w="0" w:type="dxa"/>
            <w:vAlign w:val="bottom"/>
          </w:tcPr>
          <w:p>
            <w:pPr>
              <w:spacing w:after="0"/>
              <w:rPr>
                <w:sz w:val="1"/>
                <w:szCs w:val="1"/>
                <w:color w:val="auto"/>
              </w:rPr>
            </w:pPr>
          </w:p>
        </w:tc>
      </w:tr>
      <w:tr>
        <w:trPr>
          <w:trHeight w:val="258"/>
        </w:trPr>
        <w:tc>
          <w:tcPr>
            <w:tcW w:w="2820" w:type="dxa"/>
            <w:vAlign w:val="bottom"/>
          </w:tcPr>
          <w:p>
            <w:pPr>
              <w:spacing w:after="0"/>
              <w:rPr>
                <w:sz w:val="22"/>
                <w:szCs w:val="22"/>
                <w:color w:val="auto"/>
              </w:rPr>
            </w:pPr>
          </w:p>
        </w:tc>
        <w:tc>
          <w:tcPr>
            <w:tcW w:w="5780" w:type="dxa"/>
            <w:vAlign w:val="bottom"/>
            <w:gridSpan w:val="9"/>
          </w:tcPr>
          <w:p>
            <w:pPr>
              <w:ind w:left="420"/>
              <w:spacing w:after="0"/>
              <w:rPr>
                <w:sz w:val="20"/>
                <w:szCs w:val="20"/>
                <w:color w:val="auto"/>
              </w:rPr>
            </w:pPr>
            <w:r>
              <w:rPr>
                <w:rFonts w:ascii="Times New Roman" w:cs="Times New Roman" w:eastAsia="Times New Roman" w:hAnsi="Times New Roman"/>
                <w:sz w:val="20"/>
                <w:szCs w:val="20"/>
                <w:color w:val="auto"/>
              </w:rPr>
              <w:t>a Delaware limited liability company</w:t>
            </w:r>
          </w:p>
        </w:tc>
        <w:tc>
          <w:tcPr>
            <w:tcW w:w="0" w:type="dxa"/>
            <w:vAlign w:val="bottom"/>
          </w:tcPr>
          <w:p>
            <w:pPr>
              <w:spacing w:after="0"/>
              <w:rPr>
                <w:sz w:val="1"/>
                <w:szCs w:val="1"/>
                <w:color w:val="auto"/>
              </w:rPr>
            </w:pPr>
          </w:p>
        </w:tc>
      </w:tr>
      <w:tr>
        <w:trPr>
          <w:trHeight w:val="642"/>
        </w:trPr>
        <w:tc>
          <w:tcPr>
            <w:tcW w:w="2820" w:type="dxa"/>
            <w:vAlign w:val="bottom"/>
          </w:tcPr>
          <w:p>
            <w:pPr>
              <w:spacing w:after="0"/>
              <w:rPr>
                <w:sz w:val="24"/>
                <w:szCs w:val="24"/>
                <w:color w:val="auto"/>
              </w:rPr>
            </w:pPr>
          </w:p>
        </w:tc>
        <w:tc>
          <w:tcPr>
            <w:tcW w:w="5780" w:type="dxa"/>
            <w:vAlign w:val="bottom"/>
            <w:gridSpan w:val="9"/>
          </w:tcPr>
          <w:p>
            <w:pPr>
              <w:ind w:left="420"/>
              <w:spacing w:after="0"/>
              <w:rPr>
                <w:sz w:val="20"/>
                <w:szCs w:val="20"/>
                <w:color w:val="auto"/>
              </w:rPr>
            </w:pPr>
            <w:r>
              <w:rPr>
                <w:rFonts w:ascii="Times New Roman" w:cs="Times New Roman" w:eastAsia="Times New Roman" w:hAnsi="Times New Roman"/>
                <w:sz w:val="20"/>
                <w:szCs w:val="20"/>
                <w:color w:val="auto"/>
              </w:rPr>
              <w:t>By: /s/ Crystal Landsem</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Pr>
          <w:p>
            <w:pPr>
              <w:spacing w:after="0"/>
              <w:rPr>
                <w:sz w:val="19"/>
                <w:szCs w:val="19"/>
                <w:color w:val="auto"/>
              </w:rPr>
            </w:pPr>
          </w:p>
        </w:tc>
        <w:tc>
          <w:tcPr>
            <w:tcW w:w="5780" w:type="dxa"/>
            <w:vAlign w:val="bottom"/>
            <w:gridSpan w:val="9"/>
          </w:tcPr>
          <w:p>
            <w:pPr>
              <w:ind w:left="420"/>
              <w:spacing w:after="0" w:line="223" w:lineRule="exact"/>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b w:val="1"/>
                <w:bCs w:val="1"/>
                <w:color w:val="auto"/>
              </w:rPr>
              <w:t>Crystal Landsem</w:t>
            </w: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2"/>
                <w:szCs w:val="22"/>
                <w:color w:val="auto"/>
              </w:rPr>
            </w:pPr>
          </w:p>
        </w:tc>
        <w:tc>
          <w:tcPr>
            <w:tcW w:w="5780" w:type="dxa"/>
            <w:vAlign w:val="bottom"/>
            <w:gridSpan w:val="9"/>
          </w:tcPr>
          <w:p>
            <w:pPr>
              <w:ind w:left="42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b w:val="1"/>
                <w:bCs w:val="1"/>
                <w:color w:val="auto"/>
              </w:rPr>
              <w:t>Chief Executive Officer</w:t>
            </w:r>
          </w:p>
        </w:tc>
        <w:tc>
          <w:tcPr>
            <w:tcW w:w="0" w:type="dxa"/>
            <w:vAlign w:val="bottom"/>
          </w:tcPr>
          <w:p>
            <w:pPr>
              <w:spacing w:after="0"/>
              <w:rPr>
                <w:sz w:val="1"/>
                <w:szCs w:val="1"/>
                <w:color w:val="auto"/>
              </w:rPr>
            </w:pPr>
          </w:p>
        </w:tc>
      </w:tr>
      <w:tr>
        <w:trPr>
          <w:trHeight w:val="4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HOLDINGS:</w:t>
            </w:r>
          </w:p>
        </w:tc>
        <w:tc>
          <w:tcPr>
            <w:tcW w:w="5780" w:type="dxa"/>
            <w:vAlign w:val="bottom"/>
            <w:gridSpan w:val="9"/>
          </w:tcPr>
          <w:p>
            <w:pPr>
              <w:ind w:left="420"/>
              <w:spacing w:after="0"/>
              <w:rPr>
                <w:sz w:val="20"/>
                <w:szCs w:val="20"/>
                <w:color w:val="auto"/>
              </w:rPr>
            </w:pPr>
            <w:r>
              <w:rPr>
                <w:rFonts w:ascii="Times New Roman" w:cs="Times New Roman" w:eastAsia="Times New Roman" w:hAnsi="Times New Roman"/>
                <w:sz w:val="20"/>
                <w:szCs w:val="20"/>
                <w:color w:val="auto"/>
              </w:rPr>
              <w:t>LULU’S FASHION LOUNGE PARENT, LLC,</w:t>
            </w:r>
          </w:p>
        </w:tc>
        <w:tc>
          <w:tcPr>
            <w:tcW w:w="0" w:type="dxa"/>
            <w:vAlign w:val="bottom"/>
          </w:tcPr>
          <w:p>
            <w:pPr>
              <w:spacing w:after="0"/>
              <w:rPr>
                <w:sz w:val="1"/>
                <w:szCs w:val="1"/>
                <w:color w:val="auto"/>
              </w:rPr>
            </w:pPr>
          </w:p>
        </w:tc>
      </w:tr>
      <w:tr>
        <w:trPr>
          <w:trHeight w:val="258"/>
        </w:trPr>
        <w:tc>
          <w:tcPr>
            <w:tcW w:w="2820" w:type="dxa"/>
            <w:vAlign w:val="bottom"/>
          </w:tcPr>
          <w:p>
            <w:pPr>
              <w:spacing w:after="0"/>
              <w:rPr>
                <w:sz w:val="22"/>
                <w:szCs w:val="22"/>
                <w:color w:val="auto"/>
              </w:rPr>
            </w:pPr>
          </w:p>
        </w:tc>
        <w:tc>
          <w:tcPr>
            <w:tcW w:w="5780" w:type="dxa"/>
            <w:vAlign w:val="bottom"/>
            <w:gridSpan w:val="9"/>
          </w:tcPr>
          <w:p>
            <w:pPr>
              <w:ind w:left="420"/>
              <w:spacing w:after="0"/>
              <w:rPr>
                <w:sz w:val="20"/>
                <w:szCs w:val="20"/>
                <w:color w:val="auto"/>
              </w:rPr>
            </w:pPr>
            <w:r>
              <w:rPr>
                <w:rFonts w:ascii="Times New Roman" w:cs="Times New Roman" w:eastAsia="Times New Roman" w:hAnsi="Times New Roman"/>
                <w:sz w:val="20"/>
                <w:szCs w:val="20"/>
                <w:color w:val="auto"/>
              </w:rPr>
              <w:t>a Delaware limited liability company</w:t>
            </w:r>
          </w:p>
        </w:tc>
        <w:tc>
          <w:tcPr>
            <w:tcW w:w="0" w:type="dxa"/>
            <w:vAlign w:val="bottom"/>
          </w:tcPr>
          <w:p>
            <w:pPr>
              <w:spacing w:after="0"/>
              <w:rPr>
                <w:sz w:val="1"/>
                <w:szCs w:val="1"/>
                <w:color w:val="auto"/>
              </w:rPr>
            </w:pPr>
          </w:p>
        </w:tc>
      </w:tr>
      <w:tr>
        <w:trPr>
          <w:trHeight w:val="642"/>
        </w:trPr>
        <w:tc>
          <w:tcPr>
            <w:tcW w:w="2820" w:type="dxa"/>
            <w:vAlign w:val="bottom"/>
          </w:tcPr>
          <w:p>
            <w:pPr>
              <w:spacing w:after="0"/>
              <w:rPr>
                <w:sz w:val="24"/>
                <w:szCs w:val="24"/>
                <w:color w:val="auto"/>
              </w:rPr>
            </w:pPr>
          </w:p>
        </w:tc>
        <w:tc>
          <w:tcPr>
            <w:tcW w:w="5780" w:type="dxa"/>
            <w:vAlign w:val="bottom"/>
            <w:gridSpan w:val="9"/>
          </w:tcPr>
          <w:p>
            <w:pPr>
              <w:ind w:left="420"/>
              <w:spacing w:after="0"/>
              <w:rPr>
                <w:sz w:val="20"/>
                <w:szCs w:val="20"/>
                <w:color w:val="auto"/>
              </w:rPr>
            </w:pPr>
            <w:r>
              <w:rPr>
                <w:rFonts w:ascii="Times New Roman" w:cs="Times New Roman" w:eastAsia="Times New Roman" w:hAnsi="Times New Roman"/>
                <w:sz w:val="20"/>
                <w:szCs w:val="20"/>
                <w:color w:val="auto"/>
              </w:rPr>
              <w:t>By: /s/ Crystal Landsem</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Pr>
          <w:p>
            <w:pPr>
              <w:spacing w:after="0"/>
              <w:rPr>
                <w:sz w:val="19"/>
                <w:szCs w:val="19"/>
                <w:color w:val="auto"/>
              </w:rPr>
            </w:pPr>
          </w:p>
        </w:tc>
        <w:tc>
          <w:tcPr>
            <w:tcW w:w="5780" w:type="dxa"/>
            <w:vAlign w:val="bottom"/>
            <w:gridSpan w:val="9"/>
          </w:tcPr>
          <w:p>
            <w:pPr>
              <w:ind w:left="420"/>
              <w:spacing w:after="0" w:line="223" w:lineRule="exact"/>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b w:val="1"/>
                <w:bCs w:val="1"/>
                <w:color w:val="auto"/>
              </w:rPr>
              <w:t>Crystal Landsem</w:t>
            </w: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2"/>
                <w:szCs w:val="22"/>
                <w:color w:val="auto"/>
              </w:rPr>
            </w:pPr>
          </w:p>
        </w:tc>
        <w:tc>
          <w:tcPr>
            <w:tcW w:w="5780" w:type="dxa"/>
            <w:vAlign w:val="bottom"/>
            <w:gridSpan w:val="9"/>
          </w:tcPr>
          <w:p>
            <w:pPr>
              <w:ind w:left="42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b w:val="1"/>
                <w:bCs w:val="1"/>
                <w:color w:val="auto"/>
              </w:rPr>
              <w:t>Chief Executive Officer</w:t>
            </w:r>
          </w:p>
        </w:tc>
        <w:tc>
          <w:tcPr>
            <w:tcW w:w="0" w:type="dxa"/>
            <w:vAlign w:val="bottom"/>
          </w:tcPr>
          <w:p>
            <w:pPr>
              <w:spacing w:after="0"/>
              <w:rPr>
                <w:sz w:val="1"/>
                <w:szCs w:val="1"/>
                <w:color w:val="auto"/>
              </w:rPr>
            </w:pPr>
          </w:p>
        </w:tc>
      </w:tr>
      <w:tr>
        <w:trPr>
          <w:trHeight w:val="688"/>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ADMINISTRATIVE AGENT:</w:t>
            </w:r>
          </w:p>
        </w:tc>
        <w:tc>
          <w:tcPr>
            <w:tcW w:w="578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BANK OF AMERICA, N.A., as Administrative Agent</w:t>
            </w:r>
          </w:p>
        </w:tc>
        <w:tc>
          <w:tcPr>
            <w:tcW w:w="0" w:type="dxa"/>
            <w:vAlign w:val="bottom"/>
          </w:tcPr>
          <w:p>
            <w:pPr>
              <w:spacing w:after="0"/>
              <w:rPr>
                <w:sz w:val="1"/>
                <w:szCs w:val="1"/>
                <w:color w:val="auto"/>
              </w:rPr>
            </w:pPr>
          </w:p>
        </w:tc>
      </w:tr>
      <w:tr>
        <w:trPr>
          <w:trHeight w:val="412"/>
        </w:trPr>
        <w:tc>
          <w:tcPr>
            <w:tcW w:w="2820" w:type="dxa"/>
            <w:vAlign w:val="bottom"/>
          </w:tcPr>
          <w:p>
            <w:pPr>
              <w:spacing w:after="0"/>
              <w:rPr>
                <w:sz w:val="24"/>
                <w:szCs w:val="24"/>
                <w:color w:val="auto"/>
              </w:rPr>
            </w:pPr>
          </w:p>
        </w:tc>
        <w:tc>
          <w:tcPr>
            <w:tcW w:w="5780" w:type="dxa"/>
            <w:vAlign w:val="bottom"/>
            <w:gridSpan w:val="9"/>
          </w:tcPr>
          <w:p>
            <w:pPr>
              <w:ind w:left="420"/>
              <w:spacing w:after="0"/>
              <w:rPr>
                <w:sz w:val="20"/>
                <w:szCs w:val="20"/>
                <w:color w:val="auto"/>
              </w:rPr>
            </w:pPr>
            <w:r>
              <w:rPr>
                <w:rFonts w:ascii="Times New Roman" w:cs="Times New Roman" w:eastAsia="Times New Roman" w:hAnsi="Times New Roman"/>
                <w:sz w:val="20"/>
                <w:szCs w:val="20"/>
                <w:color w:val="auto"/>
              </w:rPr>
              <w:t>By: /s/ Laurie Perper​</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Pr>
          <w:p>
            <w:pPr>
              <w:spacing w:after="0"/>
              <w:rPr>
                <w:sz w:val="19"/>
                <w:szCs w:val="19"/>
                <w:color w:val="auto"/>
              </w:rPr>
            </w:pPr>
          </w:p>
        </w:tc>
        <w:tc>
          <w:tcPr>
            <w:tcW w:w="5780" w:type="dxa"/>
            <w:vAlign w:val="bottom"/>
            <w:gridSpan w:val="9"/>
          </w:tcPr>
          <w:p>
            <w:pPr>
              <w:ind w:left="420"/>
              <w:spacing w:after="0" w:line="223" w:lineRule="exact"/>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b w:val="1"/>
                <w:bCs w:val="1"/>
                <w:color w:val="auto"/>
              </w:rPr>
              <w:t>Laurie Perper</w:t>
            </w: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2"/>
                <w:szCs w:val="22"/>
                <w:color w:val="auto"/>
              </w:rPr>
            </w:pPr>
          </w:p>
        </w:tc>
        <w:tc>
          <w:tcPr>
            <w:tcW w:w="5780" w:type="dxa"/>
            <w:vAlign w:val="bottom"/>
            <w:gridSpan w:val="9"/>
          </w:tcPr>
          <w:p>
            <w:pPr>
              <w:ind w:left="42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b w:val="1"/>
                <w:bCs w:val="1"/>
                <w:color w:val="auto"/>
              </w:rPr>
              <w:t>Director</w:t>
            </w:r>
          </w:p>
        </w:tc>
        <w:tc>
          <w:tcPr>
            <w:tcW w:w="0" w:type="dxa"/>
            <w:vAlign w:val="bottom"/>
          </w:tcPr>
          <w:p>
            <w:pPr>
              <w:spacing w:after="0"/>
              <w:rPr>
                <w:sz w:val="1"/>
                <w:szCs w:val="1"/>
                <w:color w:val="auto"/>
              </w:rPr>
            </w:pPr>
          </w:p>
        </w:tc>
      </w:tr>
      <w:tr>
        <w:trPr>
          <w:trHeight w:val="430"/>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LENDERS:</w:t>
            </w:r>
          </w:p>
        </w:tc>
        <w:tc>
          <w:tcPr>
            <w:tcW w:w="5780" w:type="dxa"/>
            <w:vAlign w:val="bottom"/>
            <w:gridSpan w:val="9"/>
          </w:tcPr>
          <w:p>
            <w:pPr>
              <w:ind w:left="420"/>
              <w:spacing w:after="0"/>
              <w:rPr>
                <w:sz w:val="20"/>
                <w:szCs w:val="20"/>
                <w:color w:val="auto"/>
              </w:rPr>
            </w:pPr>
            <w:r>
              <w:rPr>
                <w:rFonts w:ascii="Times New Roman" w:cs="Times New Roman" w:eastAsia="Times New Roman" w:hAnsi="Times New Roman"/>
                <w:sz w:val="20"/>
                <w:szCs w:val="20"/>
                <w:color w:val="auto"/>
              </w:rPr>
              <w:t>BANK OF AMERICA, N.A.,</w:t>
            </w:r>
          </w:p>
        </w:tc>
        <w:tc>
          <w:tcPr>
            <w:tcW w:w="0" w:type="dxa"/>
            <w:vAlign w:val="bottom"/>
          </w:tcPr>
          <w:p>
            <w:pPr>
              <w:spacing w:after="0"/>
              <w:rPr>
                <w:sz w:val="1"/>
                <w:szCs w:val="1"/>
                <w:color w:val="auto"/>
              </w:rPr>
            </w:pPr>
          </w:p>
        </w:tc>
      </w:tr>
      <w:tr>
        <w:trPr>
          <w:trHeight w:val="258"/>
        </w:trPr>
        <w:tc>
          <w:tcPr>
            <w:tcW w:w="2820" w:type="dxa"/>
            <w:vAlign w:val="bottom"/>
          </w:tcPr>
          <w:p>
            <w:pPr>
              <w:spacing w:after="0"/>
              <w:rPr>
                <w:sz w:val="22"/>
                <w:szCs w:val="22"/>
                <w:color w:val="auto"/>
              </w:rPr>
            </w:pPr>
          </w:p>
        </w:tc>
        <w:tc>
          <w:tcPr>
            <w:tcW w:w="5780" w:type="dxa"/>
            <w:vAlign w:val="bottom"/>
            <w:gridSpan w:val="9"/>
          </w:tcPr>
          <w:p>
            <w:pPr>
              <w:ind w:left="420"/>
              <w:spacing w:after="0"/>
              <w:rPr>
                <w:sz w:val="20"/>
                <w:szCs w:val="20"/>
                <w:color w:val="auto"/>
              </w:rPr>
            </w:pPr>
            <w:r>
              <w:rPr>
                <w:rFonts w:ascii="Times New Roman" w:cs="Times New Roman" w:eastAsia="Times New Roman" w:hAnsi="Times New Roman"/>
                <w:sz w:val="20"/>
                <w:szCs w:val="20"/>
                <w:color w:val="auto"/>
              </w:rPr>
              <w:t>as a Lender, L/C Issuer and Swing Line Lender</w:t>
            </w:r>
          </w:p>
        </w:tc>
        <w:tc>
          <w:tcPr>
            <w:tcW w:w="0" w:type="dxa"/>
            <w:vAlign w:val="bottom"/>
          </w:tcPr>
          <w:p>
            <w:pPr>
              <w:spacing w:after="0"/>
              <w:rPr>
                <w:sz w:val="1"/>
                <w:szCs w:val="1"/>
                <w:color w:val="auto"/>
              </w:rPr>
            </w:pPr>
          </w:p>
        </w:tc>
      </w:tr>
      <w:tr>
        <w:trPr>
          <w:trHeight w:val="413"/>
        </w:trPr>
        <w:tc>
          <w:tcPr>
            <w:tcW w:w="2820" w:type="dxa"/>
            <w:vAlign w:val="bottom"/>
          </w:tcPr>
          <w:p>
            <w:pPr>
              <w:spacing w:after="0"/>
              <w:rPr>
                <w:sz w:val="24"/>
                <w:szCs w:val="24"/>
                <w:color w:val="auto"/>
              </w:rPr>
            </w:pPr>
          </w:p>
        </w:tc>
        <w:tc>
          <w:tcPr>
            <w:tcW w:w="5780" w:type="dxa"/>
            <w:vAlign w:val="bottom"/>
            <w:gridSpan w:val="9"/>
          </w:tcPr>
          <w:p>
            <w:pPr>
              <w:ind w:left="420"/>
              <w:spacing w:after="0"/>
              <w:rPr>
                <w:sz w:val="20"/>
                <w:szCs w:val="20"/>
                <w:color w:val="auto"/>
              </w:rPr>
            </w:pPr>
            <w:r>
              <w:rPr>
                <w:rFonts w:ascii="Times New Roman" w:cs="Times New Roman" w:eastAsia="Times New Roman" w:hAnsi="Times New Roman"/>
                <w:sz w:val="20"/>
                <w:szCs w:val="20"/>
                <w:color w:val="auto"/>
              </w:rPr>
              <w:t>By: /s/ Laurie Perper​</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Pr>
          <w:p>
            <w:pPr>
              <w:spacing w:after="0"/>
              <w:rPr>
                <w:sz w:val="19"/>
                <w:szCs w:val="19"/>
                <w:color w:val="auto"/>
              </w:rPr>
            </w:pPr>
          </w:p>
        </w:tc>
        <w:tc>
          <w:tcPr>
            <w:tcW w:w="5780" w:type="dxa"/>
            <w:vAlign w:val="bottom"/>
            <w:gridSpan w:val="9"/>
          </w:tcPr>
          <w:p>
            <w:pPr>
              <w:ind w:left="420"/>
              <w:spacing w:after="0" w:line="223" w:lineRule="exact"/>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b w:val="1"/>
                <w:bCs w:val="1"/>
                <w:color w:val="auto"/>
              </w:rPr>
              <w:t>Laurie Perper</w:t>
            </w: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2"/>
                <w:szCs w:val="22"/>
                <w:color w:val="auto"/>
              </w:rPr>
            </w:pPr>
          </w:p>
        </w:tc>
        <w:tc>
          <w:tcPr>
            <w:tcW w:w="5780" w:type="dxa"/>
            <w:vAlign w:val="bottom"/>
            <w:gridSpan w:val="9"/>
          </w:tcPr>
          <w:p>
            <w:pPr>
              <w:ind w:left="42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b w:val="1"/>
                <w:bCs w:val="1"/>
                <w:color w:val="auto"/>
              </w:rPr>
              <w:t>Director</w:t>
            </w:r>
          </w:p>
        </w:tc>
        <w:tc>
          <w:tcPr>
            <w:tcW w:w="0" w:type="dxa"/>
            <w:vAlign w:val="bottom"/>
          </w:tcPr>
          <w:p>
            <w:pPr>
              <w:spacing w:after="0"/>
              <w:rPr>
                <w:sz w:val="1"/>
                <w:szCs w:val="1"/>
                <w:color w:val="auto"/>
              </w:rPr>
            </w:pPr>
          </w:p>
        </w:tc>
      </w:tr>
      <w:tr>
        <w:trPr>
          <w:trHeight w:val="259"/>
        </w:trPr>
        <w:tc>
          <w:tcPr>
            <w:tcW w:w="2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LULU’S FASHION LOUNGE, LLC</w:t>
            </w:r>
          </w:p>
        </w:tc>
        <w:tc>
          <w:tcPr>
            <w:tcW w:w="0" w:type="dxa"/>
            <w:vAlign w:val="bottom"/>
          </w:tcPr>
          <w:p>
            <w:pPr>
              <w:spacing w:after="0"/>
              <w:rPr>
                <w:sz w:val="1"/>
                <w:szCs w:val="1"/>
                <w:color w:val="auto"/>
              </w:rPr>
            </w:pPr>
          </w:p>
        </w:tc>
      </w:tr>
      <w:tr>
        <w:trPr>
          <w:trHeight w:val="234"/>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13872734v7</w:t>
            </w: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SECOND AMENDMENT</w:t>
            </w:r>
          </w:p>
        </w:tc>
        <w:tc>
          <w:tcPr>
            <w:tcW w:w="0" w:type="dxa"/>
            <w:vAlign w:val="bottom"/>
          </w:tcPr>
          <w:p>
            <w:pPr>
              <w:spacing w:after="0"/>
              <w:rPr>
                <w:sz w:val="1"/>
                <w:szCs w:val="1"/>
                <w:color w:val="auto"/>
              </w:rPr>
            </w:pPr>
          </w:p>
        </w:tc>
      </w:tr>
      <w:tr>
        <w:trPr>
          <w:trHeight w:val="165"/>
        </w:trPr>
        <w:tc>
          <w:tcPr>
            <w:tcW w:w="28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3"/>
        </w:trPr>
        <w:tc>
          <w:tcPr>
            <w:tcW w:w="2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86" w:right="1440" w:bottom="1440" w:gutter="0" w:footer="0" w:header="0"/>
        </w:sectPr>
      </w:pPr>
    </w:p>
    <w:bookmarkStart w:id="49" w:name="page50"/>
    <w:bookmarkEnd w:id="49"/>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268605</wp:posOffset>
            </wp:positionV>
            <wp:extent cx="1491615" cy="5657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4916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Non-Employee Director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both"/>
        <w:ind w:left="200" w:right="219"/>
        <w:spacing w:after="0" w:line="244" w:lineRule="auto"/>
        <w:rPr>
          <w:sz w:val="20"/>
          <w:szCs w:val="20"/>
          <w:color w:val="auto"/>
        </w:rPr>
      </w:pPr>
      <w:r>
        <w:rPr>
          <w:rFonts w:ascii="Arial" w:cs="Arial" w:eastAsia="Arial" w:hAnsi="Arial"/>
          <w:sz w:val="18"/>
          <w:szCs w:val="18"/>
          <w:color w:val="auto"/>
        </w:rPr>
        <w:t>This Lulu’s Fashion Lounge Holdings,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Non-Employee Director Compensation Program (this “</w:t>
      </w:r>
      <w:r>
        <w:rPr>
          <w:rFonts w:ascii="Arial" w:cs="Arial" w:eastAsia="Arial" w:hAnsi="Arial"/>
          <w:sz w:val="18"/>
          <w:szCs w:val="18"/>
          <w:b w:val="1"/>
          <w:bCs w:val="1"/>
          <w:i w:val="1"/>
          <w:iCs w:val="1"/>
          <w:color w:val="auto"/>
        </w:rPr>
        <w:t>Program</w:t>
      </w:r>
      <w:r>
        <w:rPr>
          <w:rFonts w:ascii="Arial" w:cs="Arial" w:eastAsia="Arial" w:hAnsi="Arial"/>
          <w:sz w:val="18"/>
          <w:szCs w:val="18"/>
          <w:color w:val="auto"/>
        </w:rPr>
        <w:t>”) has been adopted by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under the Company’s Omnibus Equity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effective as of January 30, 2022 and amended as of November 3, 2023, March 1, 2024 and November 1, 2024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Capitalized terms not otherwise defined herein shall have the meaning ascribed in the Plan.</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96" w:lineRule="exact"/>
        <w:rPr>
          <w:sz w:val="20"/>
          <w:szCs w:val="20"/>
          <w:color w:val="auto"/>
        </w:rPr>
      </w:pPr>
    </w:p>
    <w:p>
      <w:pPr>
        <w:ind w:left="200" w:right="459"/>
        <w:spacing w:after="0" w:line="271" w:lineRule="auto"/>
        <w:rPr>
          <w:sz w:val="20"/>
          <w:szCs w:val="20"/>
          <w:color w:val="auto"/>
        </w:rPr>
      </w:pPr>
      <w:r>
        <w:rPr>
          <w:rFonts w:ascii="Arial" w:cs="Arial" w:eastAsia="Arial" w:hAnsi="Arial"/>
          <w:sz w:val="18"/>
          <w:szCs w:val="18"/>
          <w:color w:val="auto"/>
        </w:rPr>
        <w:t>Effective upon the Effective Date, annual retainers will be paid in the following amounts to Non-Employee Directors: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Board Service</w:t>
      </w:r>
    </w:p>
    <w:p>
      <w:pPr>
        <w:spacing w:after="0" w:line="12" w:lineRule="exact"/>
        <w:rPr>
          <w:sz w:val="20"/>
          <w:szCs w:val="20"/>
          <w:color w:val="auto"/>
        </w:rPr>
      </w:pPr>
    </w:p>
    <w:tbl>
      <w:tblPr>
        <w:tblLayout w:type="fixed"/>
        <w:tblInd w:w="210" w:type="dxa"/>
        <w:tblCellMar>
          <w:top w:w="0" w:type="dxa"/>
          <w:left w:w="0" w:type="dxa"/>
          <w:bottom w:w="0" w:type="dxa"/>
          <w:right w:w="0" w:type="dxa"/>
        </w:tblCellMar>
      </w:tblPr>
      <w:tr>
        <w:trPr>
          <w:trHeight w:val="245"/>
        </w:trPr>
        <w:tc>
          <w:tcPr>
            <w:tcW w:w="554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Non-Employee Director</w:t>
            </w:r>
          </w:p>
        </w:tc>
        <w:tc>
          <w:tcPr>
            <w:tcW w:w="58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right w:val="single" w:sz="8" w:color="auto"/>
            </w:tcBorders>
          </w:tcPr>
          <w:p>
            <w:pPr>
              <w:spacing w:after="0"/>
              <w:rPr>
                <w:sz w:val="21"/>
                <w:szCs w:val="21"/>
                <w:color w:val="auto"/>
              </w:rPr>
            </w:pPr>
          </w:p>
        </w:tc>
        <w:tc>
          <w:tcPr>
            <w:tcW w:w="11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$50,000</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r>
      <w:tr>
        <w:trPr>
          <w:trHeight w:val="403"/>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Committee Service</w:t>
            </w: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196"/>
        </w:trPr>
        <w:tc>
          <w:tcPr>
            <w:tcW w:w="5540" w:type="dxa"/>
            <w:vAlign w:val="bottom"/>
            <w:tcBorders>
              <w:left w:val="single" w:sz="8" w:color="auto"/>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Borders>
              <w:right w:val="single" w:sz="8" w:color="auto"/>
            </w:tcBorders>
            <w:gridSpan w:val="2"/>
          </w:tcPr>
          <w:p>
            <w:pPr>
              <w:jc w:val="center"/>
              <w:ind w:right="600"/>
              <w:spacing w:after="0" w:line="196" w:lineRule="exact"/>
              <w:rPr>
                <w:sz w:val="20"/>
                <w:szCs w:val="20"/>
                <w:color w:val="auto"/>
              </w:rPr>
            </w:pPr>
            <w:r>
              <w:rPr>
                <w:rFonts w:ascii="Arial" w:cs="Arial" w:eastAsia="Arial" w:hAnsi="Arial"/>
                <w:sz w:val="18"/>
                <w:szCs w:val="18"/>
                <w:color w:val="auto"/>
                <w:w w:val="97"/>
              </w:rPr>
              <w:t>Chair</w:t>
            </w:r>
          </w:p>
        </w:tc>
        <w:tc>
          <w:tcPr>
            <w:tcW w:w="1460" w:type="dxa"/>
            <w:vAlign w:val="bottom"/>
            <w:tcBorders>
              <w:right w:val="single" w:sz="8" w:color="auto"/>
            </w:tcBorders>
            <w:gridSpan w:val="3"/>
          </w:tcPr>
          <w:p>
            <w:pPr>
              <w:jc w:val="center"/>
              <w:ind w:right="40"/>
              <w:spacing w:after="0" w:line="196" w:lineRule="exact"/>
              <w:rPr>
                <w:sz w:val="20"/>
                <w:szCs w:val="20"/>
                <w:color w:val="auto"/>
              </w:rPr>
            </w:pPr>
            <w:r>
              <w:rPr>
                <w:rFonts w:ascii="Arial" w:cs="Arial" w:eastAsia="Arial" w:hAnsi="Arial"/>
                <w:sz w:val="18"/>
                <w:szCs w:val="18"/>
                <w:color w:val="auto"/>
                <w:w w:val="99"/>
              </w:rPr>
              <w:t>Non-Chair</w:t>
            </w:r>
          </w:p>
        </w:tc>
      </w:tr>
      <w:tr>
        <w:trPr>
          <w:trHeight w:val="34"/>
        </w:trPr>
        <w:tc>
          <w:tcPr>
            <w:tcW w:w="554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45"/>
        </w:trPr>
        <w:tc>
          <w:tcPr>
            <w:tcW w:w="5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Audit Committee Member</w:t>
            </w:r>
          </w:p>
        </w:tc>
        <w:tc>
          <w:tcPr>
            <w:tcW w:w="16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$20,000</w:t>
            </w:r>
          </w:p>
        </w:tc>
        <w:tc>
          <w:tcPr>
            <w:tcW w:w="112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98"/>
              </w:rPr>
              <w:t>$10,000</w:t>
            </w:r>
          </w:p>
        </w:tc>
        <w:tc>
          <w:tcPr>
            <w:tcW w:w="340" w:type="dxa"/>
            <w:vAlign w:val="bottom"/>
            <w:tcBorders>
              <w:bottom w:val="single" w:sz="8" w:color="auto"/>
              <w:right w:val="single" w:sz="8" w:color="auto"/>
            </w:tcBorders>
          </w:tcPr>
          <w:p>
            <w:pPr>
              <w:spacing w:after="0"/>
              <w:rPr>
                <w:sz w:val="21"/>
                <w:szCs w:val="21"/>
                <w:color w:val="auto"/>
              </w:rPr>
            </w:pPr>
          </w:p>
        </w:tc>
      </w:tr>
      <w:tr>
        <w:trPr>
          <w:trHeight w:val="250"/>
        </w:trPr>
        <w:tc>
          <w:tcPr>
            <w:tcW w:w="5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Compensation Committee Member</w:t>
            </w:r>
          </w:p>
        </w:tc>
        <w:tc>
          <w:tcPr>
            <w:tcW w:w="16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$15,000</w:t>
            </w:r>
          </w:p>
        </w:tc>
        <w:tc>
          <w:tcPr>
            <w:tcW w:w="112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rPr>
              <w:t>$7,500</w:t>
            </w:r>
          </w:p>
        </w:tc>
        <w:tc>
          <w:tcPr>
            <w:tcW w:w="340" w:type="dxa"/>
            <w:vAlign w:val="bottom"/>
            <w:tcBorders>
              <w:bottom w:val="single" w:sz="8" w:color="auto"/>
              <w:right w:val="single" w:sz="8" w:color="auto"/>
            </w:tcBorders>
          </w:tcPr>
          <w:p>
            <w:pPr>
              <w:spacing w:after="0"/>
              <w:rPr>
                <w:sz w:val="21"/>
                <w:szCs w:val="21"/>
                <w:color w:val="auto"/>
              </w:rPr>
            </w:pPr>
          </w:p>
        </w:tc>
      </w:tr>
      <w:tr>
        <w:trPr>
          <w:trHeight w:val="250"/>
        </w:trPr>
        <w:tc>
          <w:tcPr>
            <w:tcW w:w="5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Nominating and Corporate Governance Committee Member</w:t>
            </w:r>
          </w:p>
        </w:tc>
        <w:tc>
          <w:tcPr>
            <w:tcW w:w="16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$15,000</w:t>
            </w:r>
          </w:p>
        </w:tc>
        <w:tc>
          <w:tcPr>
            <w:tcW w:w="112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rPr>
              <w:t>$7,500</w:t>
            </w:r>
          </w:p>
        </w:tc>
        <w:tc>
          <w:tcPr>
            <w:tcW w:w="340" w:type="dxa"/>
            <w:vAlign w:val="bottom"/>
            <w:tcBorders>
              <w:bottom w:val="single" w:sz="8" w:color="auto"/>
              <w:right w:val="single" w:sz="8" w:color="auto"/>
            </w:tcBorders>
          </w:tcPr>
          <w:p>
            <w:pPr>
              <w:spacing w:after="0"/>
              <w:rPr>
                <w:sz w:val="21"/>
                <w:szCs w:val="21"/>
                <w:color w:val="auto"/>
              </w:rPr>
            </w:pPr>
          </w:p>
        </w:tc>
      </w:tr>
    </w:tbl>
    <w:p>
      <w:pPr>
        <w:spacing w:after="0" w:line="386" w:lineRule="exact"/>
        <w:rPr>
          <w:sz w:val="20"/>
          <w:szCs w:val="20"/>
          <w:color w:val="auto"/>
        </w:rPr>
      </w:pPr>
    </w:p>
    <w:p>
      <w:pPr>
        <w:jc w:val="both"/>
        <w:ind w:left="200" w:right="219"/>
        <w:spacing w:after="0" w:line="244" w:lineRule="auto"/>
        <w:rPr>
          <w:sz w:val="20"/>
          <w:szCs w:val="20"/>
          <w:color w:val="auto"/>
        </w:rPr>
      </w:pPr>
      <w:r>
        <w:rPr>
          <w:rFonts w:ascii="Arial" w:cs="Arial" w:eastAsia="Arial" w:hAnsi="Arial"/>
          <w:sz w:val="18"/>
          <w:szCs w:val="18"/>
          <w:color w:val="auto"/>
        </w:rPr>
        <w:t>All annual retainers will be paid out in cash on a quarterly basis in arrears promptly following the end of the applicable fiscal quarter, but in no event more than 30 days after the end of such quarter. If a Non-Employee Director does not serve as a Non-Employee Director, or in the applicable positions described above, for an entire fiscal quarter, the retainer paid to such Non-Employee Director shall be prorated for the portion of such fiscal quarter actually served as a Non-Employee Director, or in such position, as applicable.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506095</wp:posOffset>
            </wp:positionV>
            <wp:extent cx="54521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0" w:name="page51"/>
    <w:bookmarkEnd w:id="50"/>
    <w:p>
      <w:pPr>
        <w:ind w:left="200"/>
        <w:spacing w:after="0"/>
        <w:rPr>
          <w:sz w:val="20"/>
          <w:szCs w:val="20"/>
          <w:color w:val="auto"/>
        </w:rPr>
      </w:pPr>
      <w:r>
        <w:rPr>
          <w:rFonts w:ascii="Arial" w:cs="Arial" w:eastAsia="Arial" w:hAnsi="Arial"/>
          <w:sz w:val="18"/>
          <w:szCs w:val="18"/>
          <w:b w:val="1"/>
          <w:bCs w:val="1"/>
          <w:i w:val="1"/>
          <w:iCs w:val="1"/>
          <w:color w:val="auto"/>
        </w:rPr>
        <w:t>Election to Receive Restricted Stock Units (“RSUs”) In Lieu of Annual Retainers</w:t>
      </w:r>
    </w:p>
    <w:p>
      <w:pPr>
        <w:spacing w:after="0" w:line="262" w:lineRule="exact"/>
        <w:rPr>
          <w:sz w:val="20"/>
          <w:szCs w:val="20"/>
          <w:color w:val="auto"/>
        </w:rPr>
      </w:pPr>
    </w:p>
    <w:tbl>
      <w:tblPr>
        <w:tblLayout w:type="fixed"/>
        <w:tblInd w:w="230" w:type="dxa"/>
        <w:tblCellMar>
          <w:top w:w="0" w:type="dxa"/>
          <w:left w:w="0" w:type="dxa"/>
          <w:bottom w:w="0" w:type="dxa"/>
          <w:right w:w="0" w:type="dxa"/>
        </w:tblCellMar>
      </w:tblPr>
      <w:tr>
        <w:trPr>
          <w:trHeight w:val="224"/>
        </w:trPr>
        <w:tc>
          <w:tcPr>
            <w:tcW w:w="28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General:</w:t>
            </w:r>
          </w:p>
        </w:tc>
        <w:tc>
          <w:tcPr>
            <w:tcW w:w="580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The Board or the Compensation Committee may, in its discretion,</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5800" w:type="dxa"/>
            <w:vAlign w:val="bottom"/>
            <w:tcBorders>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provide Non-Employee Directors with the opportunity to elect to</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5800" w:type="dxa"/>
            <w:vAlign w:val="bottom"/>
            <w:tcBorders>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convert all or a portion of their annual retainers into awards of RSUs</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5800" w:type="dxa"/>
            <w:vAlign w:val="bottom"/>
            <w:tcBorders>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Retainer RSU Awards</w:t>
            </w:r>
            <w:r>
              <w:rPr>
                <w:rFonts w:ascii="Arial" w:cs="Arial" w:eastAsia="Arial" w:hAnsi="Arial"/>
                <w:sz w:val="18"/>
                <w:szCs w:val="18"/>
                <w:color w:val="auto"/>
              </w:rPr>
              <w:t>”) granted under the Plan or any other</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5800" w:type="dxa"/>
            <w:vAlign w:val="bottom"/>
            <w:tcBorders>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applicable Company equity incentive plan then-maintained by the</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5800" w:type="dxa"/>
            <w:vAlign w:val="bottom"/>
            <w:tcBorders>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Company, with each such Retainer RSU Award covering a number of</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5800" w:type="dxa"/>
            <w:vAlign w:val="bottom"/>
            <w:tcBorders>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shares of Common Stock calculated by dividing (i) the amount of the</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5800" w:type="dxa"/>
            <w:vAlign w:val="bottom"/>
            <w:tcBorders>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annual retainer that would have otherwise been paid to such Non-</w:t>
            </w:r>
          </w:p>
        </w:tc>
      </w:tr>
      <w:tr>
        <w:trPr>
          <w:trHeight w:val="202"/>
        </w:trPr>
        <w:tc>
          <w:tcPr>
            <w:tcW w:w="2800" w:type="dxa"/>
            <w:vAlign w:val="bottom"/>
            <w:tcBorders>
              <w:left w:val="single" w:sz="8" w:color="auto"/>
              <w:right w:val="single" w:sz="8" w:color="auto"/>
            </w:tcBorders>
          </w:tcPr>
          <w:p>
            <w:pPr>
              <w:spacing w:after="0"/>
              <w:rPr>
                <w:sz w:val="17"/>
                <w:szCs w:val="17"/>
                <w:color w:val="auto"/>
              </w:rPr>
            </w:pPr>
          </w:p>
        </w:tc>
        <w:tc>
          <w:tcPr>
            <w:tcW w:w="5800" w:type="dxa"/>
            <w:vAlign w:val="bottom"/>
            <w:tcBorders>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Employee Director on the applicable payment date by (ii) the average</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5800" w:type="dxa"/>
            <w:vAlign w:val="bottom"/>
            <w:tcBorders>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closing trading price of the Common Stock over the 10 consecutive</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5800" w:type="dxa"/>
            <w:vAlign w:val="bottom"/>
            <w:tcBorders>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trading days ending with the trading day immediately preceding the</w:t>
            </w:r>
          </w:p>
        </w:tc>
      </w:tr>
      <w:tr>
        <w:trPr>
          <w:trHeight w:val="247"/>
        </w:trPr>
        <w:tc>
          <w:tcPr>
            <w:tcW w:w="2800" w:type="dxa"/>
            <w:vAlign w:val="bottom"/>
            <w:tcBorders>
              <w:left w:val="single" w:sz="8" w:color="auto"/>
              <w:right w:val="single" w:sz="8" w:color="auto"/>
            </w:tcBorders>
          </w:tcPr>
          <w:p>
            <w:pPr>
              <w:spacing w:after="0"/>
              <w:rPr>
                <w:sz w:val="21"/>
                <w:szCs w:val="21"/>
                <w:color w:val="auto"/>
              </w:rPr>
            </w:pPr>
          </w:p>
        </w:tc>
        <w:tc>
          <w:tcPr>
            <w:tcW w:w="5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grant date (such election, a “</w:t>
            </w:r>
            <w:r>
              <w:rPr>
                <w:rFonts w:ascii="Arial" w:cs="Arial" w:eastAsia="Arial" w:hAnsi="Arial"/>
                <w:sz w:val="18"/>
                <w:szCs w:val="18"/>
                <w:b w:val="1"/>
                <w:bCs w:val="1"/>
                <w:i w:val="1"/>
                <w:iCs w:val="1"/>
                <w:color w:val="auto"/>
              </w:rPr>
              <w:t>Retainer RSU Election</w:t>
            </w:r>
            <w:r>
              <w:rPr>
                <w:rFonts w:ascii="Arial" w:cs="Arial" w:eastAsia="Arial" w:hAnsi="Arial"/>
                <w:sz w:val="18"/>
                <w:szCs w:val="18"/>
                <w:color w:val="auto"/>
              </w:rPr>
              <w:t>”).</w:t>
            </w:r>
          </w:p>
        </w:tc>
      </w:tr>
      <w:tr>
        <w:trPr>
          <w:trHeight w:val="361"/>
        </w:trPr>
        <w:tc>
          <w:tcPr>
            <w:tcW w:w="2800" w:type="dxa"/>
            <w:vAlign w:val="bottom"/>
            <w:tcBorders>
              <w:left w:val="single" w:sz="8" w:color="auto"/>
              <w:right w:val="single" w:sz="8" w:color="auto"/>
            </w:tcBorders>
          </w:tcPr>
          <w:p>
            <w:pPr>
              <w:spacing w:after="0"/>
              <w:rPr>
                <w:sz w:val="24"/>
                <w:szCs w:val="24"/>
                <w:color w:val="auto"/>
              </w:rPr>
            </w:pPr>
          </w:p>
        </w:tc>
        <w:tc>
          <w:tcPr>
            <w:tcW w:w="5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Each Retainer RSU Award will be automatically granted five business</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5800" w:type="dxa"/>
            <w:vAlign w:val="bottom"/>
            <w:tcBorders>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days after the end of the fiscal quarter for which the corresponding</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5800" w:type="dxa"/>
            <w:vAlign w:val="bottom"/>
            <w:tcBorders>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portion of the annual retainer was earned. Each Retainer RSU Award</w:t>
            </w:r>
          </w:p>
        </w:tc>
      </w:tr>
      <w:tr>
        <w:trPr>
          <w:trHeight w:val="239"/>
        </w:trPr>
        <w:tc>
          <w:tcPr>
            <w:tcW w:w="2800" w:type="dxa"/>
            <w:vAlign w:val="bottom"/>
            <w:tcBorders>
              <w:left w:val="single" w:sz="8" w:color="auto"/>
              <w:right w:val="single" w:sz="8" w:color="auto"/>
            </w:tcBorders>
          </w:tcPr>
          <w:p>
            <w:pPr>
              <w:spacing w:after="0"/>
              <w:rPr>
                <w:sz w:val="20"/>
                <w:szCs w:val="20"/>
                <w:color w:val="auto"/>
              </w:rPr>
            </w:pPr>
          </w:p>
        </w:tc>
        <w:tc>
          <w:tcPr>
            <w:tcW w:w="5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will be fully vested on the grant date.</w:t>
            </w:r>
          </w:p>
        </w:tc>
      </w:tr>
      <w:tr>
        <w:trPr>
          <w:trHeight w:val="212"/>
        </w:trPr>
        <w:tc>
          <w:tcPr>
            <w:tcW w:w="2800" w:type="dxa"/>
            <w:vAlign w:val="bottom"/>
            <w:tcBorders>
              <w:left w:val="single" w:sz="8" w:color="auto"/>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4"/>
        </w:trPr>
        <w:tc>
          <w:tcPr>
            <w:tcW w:w="2800" w:type="dxa"/>
            <w:vAlign w:val="bottom"/>
            <w:tcBorders>
              <w:left w:val="single" w:sz="8" w:color="auto"/>
              <w:right w:val="single" w:sz="8" w:color="auto"/>
            </w:tcBorders>
          </w:tcPr>
          <w:p>
            <w:pPr>
              <w:ind w:left="100"/>
              <w:spacing w:after="0" w:line="204" w:lineRule="exact"/>
              <w:rPr>
                <w:sz w:val="20"/>
                <w:szCs w:val="20"/>
                <w:color w:val="auto"/>
              </w:rPr>
            </w:pPr>
            <w:r>
              <w:rPr>
                <w:rFonts w:ascii="Arial" w:cs="Arial" w:eastAsia="Arial" w:hAnsi="Arial"/>
                <w:sz w:val="18"/>
                <w:szCs w:val="18"/>
                <w:color w:val="auto"/>
              </w:rPr>
              <w:t>Election Method:</w:t>
            </w:r>
          </w:p>
        </w:tc>
        <w:tc>
          <w:tcPr>
            <w:tcW w:w="5800" w:type="dxa"/>
            <w:vAlign w:val="bottom"/>
            <w:tcBorders>
              <w:right w:val="single" w:sz="8" w:color="auto"/>
            </w:tcBorders>
            <w:gridSpan w:val="4"/>
          </w:tcPr>
          <w:p>
            <w:pPr>
              <w:ind w:left="100"/>
              <w:spacing w:after="0" w:line="204" w:lineRule="exact"/>
              <w:rPr>
                <w:sz w:val="20"/>
                <w:szCs w:val="20"/>
                <w:color w:val="auto"/>
              </w:rPr>
            </w:pPr>
            <w:r>
              <w:rPr>
                <w:rFonts w:ascii="Arial" w:cs="Arial" w:eastAsia="Arial" w:hAnsi="Arial"/>
                <w:sz w:val="18"/>
                <w:szCs w:val="18"/>
                <w:color w:val="auto"/>
              </w:rPr>
              <w:t>Each Retainer RSU Election must be submitted to the Company in</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5800" w:type="dxa"/>
            <w:vAlign w:val="bottom"/>
            <w:tcBorders>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the form and manner specified by the Board or its Compensation</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5800" w:type="dxa"/>
            <w:vAlign w:val="bottom"/>
            <w:tcBorders>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Committee. An individual who fails to make a timely Retainer RSU</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5800" w:type="dxa"/>
            <w:vAlign w:val="bottom"/>
            <w:tcBorders>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Election shall not receive a Retainer RSU Award and instead shall</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5800" w:type="dxa"/>
            <w:vAlign w:val="bottom"/>
            <w:tcBorders>
              <w:right w:val="single" w:sz="8" w:color="auto"/>
            </w:tcBorders>
            <w:gridSpan w:val="4"/>
          </w:tcPr>
          <w:p>
            <w:pPr>
              <w:ind w:left="100"/>
              <w:spacing w:after="0" w:line="202" w:lineRule="exact"/>
              <w:rPr>
                <w:sz w:val="20"/>
                <w:szCs w:val="20"/>
                <w:color w:val="auto"/>
              </w:rPr>
            </w:pPr>
            <w:r>
              <w:rPr>
                <w:rFonts w:ascii="Arial" w:cs="Arial" w:eastAsia="Arial" w:hAnsi="Arial"/>
                <w:sz w:val="18"/>
                <w:szCs w:val="18"/>
                <w:color w:val="auto"/>
              </w:rPr>
              <w:t>receive the applicable annual retainer in cash.   Retainer RSU</w:t>
            </w:r>
          </w:p>
        </w:tc>
      </w:tr>
      <w:tr>
        <w:trPr>
          <w:trHeight w:val="239"/>
        </w:trPr>
        <w:tc>
          <w:tcPr>
            <w:tcW w:w="2800" w:type="dxa"/>
            <w:vAlign w:val="bottom"/>
            <w:tcBorders>
              <w:left w:val="single" w:sz="8" w:color="auto"/>
              <w:right w:val="single" w:sz="8" w:color="auto"/>
            </w:tcBorders>
          </w:tcPr>
          <w:p>
            <w:pPr>
              <w:spacing w:after="0"/>
              <w:rPr>
                <w:sz w:val="20"/>
                <w:szCs w:val="20"/>
                <w:color w:val="auto"/>
              </w:rPr>
            </w:pPr>
          </w:p>
        </w:tc>
        <w:tc>
          <w:tcPr>
            <w:tcW w:w="58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Elections must comply with the following timing requirements:</w:t>
            </w:r>
          </w:p>
        </w:tc>
      </w:tr>
      <w:tr>
        <w:trPr>
          <w:trHeight w:val="374"/>
        </w:trPr>
        <w:tc>
          <w:tcPr>
            <w:tcW w:w="2800" w:type="dxa"/>
            <w:vAlign w:val="bottom"/>
            <w:tcBorders>
              <w:left w:val="single" w:sz="8" w:color="auto"/>
              <w:right w:val="single" w:sz="8" w:color="auto"/>
            </w:tcBorders>
          </w:tcPr>
          <w:p>
            <w:pPr>
              <w:spacing w:after="0"/>
              <w:rPr>
                <w:sz w:val="24"/>
                <w:szCs w:val="2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Initial Election After Effective Date. Each individual who is a</w:t>
            </w:r>
          </w:p>
        </w:tc>
      </w:tr>
      <w:tr>
        <w:trPr>
          <w:trHeight w:val="20"/>
        </w:trPr>
        <w:tc>
          <w:tcPr>
            <w:tcW w:w="2800" w:type="dxa"/>
            <w:vAlign w:val="bottom"/>
            <w:tcBorders>
              <w:left w:val="single" w:sz="8" w:color="auto"/>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r>
      <w:tr>
        <w:trPr>
          <w:trHeight w:val="191"/>
        </w:trPr>
        <w:tc>
          <w:tcPr>
            <w:tcW w:w="2800" w:type="dxa"/>
            <w:vAlign w:val="bottom"/>
            <w:tcBorders>
              <w:left w:val="single" w:sz="8" w:color="auto"/>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5020" w:type="dxa"/>
            <w:vAlign w:val="bottom"/>
            <w:tcBorders>
              <w:right w:val="single" w:sz="8" w:color="auto"/>
            </w:tcBorders>
            <w:gridSpan w:val="3"/>
          </w:tcPr>
          <w:p>
            <w:pPr>
              <w:spacing w:after="0" w:line="191" w:lineRule="exact"/>
              <w:rPr>
                <w:sz w:val="20"/>
                <w:szCs w:val="20"/>
                <w:color w:val="auto"/>
              </w:rPr>
            </w:pPr>
            <w:r>
              <w:rPr>
                <w:rFonts w:ascii="Arial" w:cs="Arial" w:eastAsia="Arial" w:hAnsi="Arial"/>
                <w:sz w:val="18"/>
                <w:szCs w:val="18"/>
                <w:color w:val="auto"/>
              </w:rPr>
              <w:t>Non-Employee Director as of the original Effective Date</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18"/>
                <w:szCs w:val="18"/>
                <w:color w:val="auto"/>
              </w:rPr>
              <w:t>may make a Retainer RSU Election with respect to annual</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18"/>
                <w:szCs w:val="18"/>
                <w:color w:val="auto"/>
              </w:rPr>
              <w:t>retainer payments scheduled to be paid in fiscal year 2022,</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18"/>
                <w:szCs w:val="18"/>
                <w:color w:val="auto"/>
              </w:rPr>
              <w:t>which election must be submitted to the Company no later</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16"/>
                <w:szCs w:val="16"/>
                <w:color w:val="auto"/>
              </w:rPr>
              <w:t>than the 30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following the Effective Date, and which</w:t>
            </w:r>
          </w:p>
        </w:tc>
      </w:tr>
      <w:tr>
        <w:trPr>
          <w:trHeight w:val="239"/>
        </w:trPr>
        <w:tc>
          <w:tcPr>
            <w:tcW w:w="2800" w:type="dxa"/>
            <w:vAlign w:val="bottom"/>
            <w:tcBorders>
              <w:left w:val="single" w:sz="8" w:color="auto"/>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50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election shall become final and irrevocable as of such date.</w:t>
            </w:r>
          </w:p>
        </w:tc>
      </w:tr>
      <w:tr>
        <w:trPr>
          <w:trHeight w:val="266"/>
        </w:trPr>
        <w:tc>
          <w:tcPr>
            <w:tcW w:w="2800" w:type="dxa"/>
            <w:vAlign w:val="bottom"/>
            <w:tcBorders>
              <w:left w:val="single" w:sz="8" w:color="auto"/>
              <w:right w:val="single" w:sz="8" w:color="auto"/>
            </w:tcBorders>
          </w:tcPr>
          <w:p>
            <w:pPr>
              <w:spacing w:after="0"/>
              <w:rPr>
                <w:sz w:val="23"/>
                <w:szCs w:val="23"/>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Initial  Election  for  New  Non-Employee  Directors.  Each</w:t>
            </w:r>
          </w:p>
        </w:tc>
      </w:tr>
      <w:tr>
        <w:trPr>
          <w:trHeight w:val="20"/>
        </w:trPr>
        <w:tc>
          <w:tcPr>
            <w:tcW w:w="2800" w:type="dxa"/>
            <w:vAlign w:val="bottom"/>
            <w:tcBorders>
              <w:left w:val="single" w:sz="8" w:color="auto"/>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180" w:type="dxa"/>
            <w:vAlign w:val="bottom"/>
            <w:gridSpan w:val="2"/>
            <w:shd w:val="clear" w:color="auto" w:fill="000000"/>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r>
      <w:tr>
        <w:trPr>
          <w:trHeight w:val="191"/>
        </w:trPr>
        <w:tc>
          <w:tcPr>
            <w:tcW w:w="2800" w:type="dxa"/>
            <w:vAlign w:val="bottom"/>
            <w:tcBorders>
              <w:left w:val="single" w:sz="8" w:color="auto"/>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5020" w:type="dxa"/>
            <w:vAlign w:val="bottom"/>
            <w:tcBorders>
              <w:right w:val="single" w:sz="8" w:color="auto"/>
            </w:tcBorders>
            <w:gridSpan w:val="3"/>
          </w:tcPr>
          <w:p>
            <w:pPr>
              <w:spacing w:after="0" w:line="191" w:lineRule="exact"/>
              <w:rPr>
                <w:sz w:val="20"/>
                <w:szCs w:val="20"/>
                <w:color w:val="auto"/>
              </w:rPr>
            </w:pPr>
            <w:r>
              <w:rPr>
                <w:rFonts w:ascii="Arial" w:cs="Arial" w:eastAsia="Arial" w:hAnsi="Arial"/>
                <w:sz w:val="18"/>
                <w:szCs w:val="18"/>
                <w:color w:val="auto"/>
              </w:rPr>
              <w:t>individual who first becomes a Non-Employee Director after</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18"/>
                <w:szCs w:val="18"/>
                <w:color w:val="auto"/>
              </w:rPr>
              <w:t>the Effective Date may make a Retainer RSU Election with</w:t>
            </w:r>
          </w:p>
        </w:tc>
      </w:tr>
      <w:tr>
        <w:trPr>
          <w:trHeight w:val="203"/>
        </w:trPr>
        <w:tc>
          <w:tcPr>
            <w:tcW w:w="2800" w:type="dxa"/>
            <w:vAlign w:val="bottom"/>
            <w:tcBorders>
              <w:left w:val="single" w:sz="8" w:color="auto"/>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18"/>
                <w:szCs w:val="18"/>
                <w:color w:val="auto"/>
              </w:rPr>
              <w:t>respect to annual retainer payments scheduled to be paid in</w:t>
            </w:r>
          </w:p>
        </w:tc>
      </w:tr>
      <w:tr>
        <w:trPr>
          <w:trHeight w:val="244"/>
        </w:trPr>
        <w:tc>
          <w:tcPr>
            <w:tcW w:w="2800" w:type="dxa"/>
            <w:vAlign w:val="bottom"/>
            <w:tcBorders>
              <w:left w:val="single" w:sz="8" w:color="auto"/>
              <w:bottom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0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the same fiscal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8" w:right="1440" w:bottom="1440" w:gutter="0" w:footer="0" w:header="0"/>
        </w:sectPr>
      </w:pPr>
    </w:p>
    <w:bookmarkStart w:id="51" w:name="page52"/>
    <w:bookmarkEnd w:id="51"/>
    <w:p>
      <w:pPr>
        <w:jc w:val="both"/>
        <w:ind w:left="3800" w:right="4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1048385</wp:posOffset>
            </wp:positionH>
            <wp:positionV relativeFrom="page">
              <wp:posOffset>740410</wp:posOffset>
            </wp:positionV>
            <wp:extent cx="5452110" cy="2940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452110" cy="2940050"/>
                    </a:xfrm>
                    <a:prstGeom prst="rect">
                      <a:avLst/>
                    </a:prstGeom>
                    <a:noFill/>
                  </pic:spPr>
                </pic:pic>
              </a:graphicData>
            </a:graphic>
          </wp:anchor>
        </w:drawing>
        <w:t>year as such individual first becomes a Non-Employee Director (the “</w:t>
      </w:r>
      <w:r>
        <w:rPr>
          <w:rFonts w:ascii="Arial" w:cs="Arial" w:eastAsia="Arial" w:hAnsi="Arial"/>
          <w:sz w:val="18"/>
          <w:szCs w:val="18"/>
          <w:b w:val="1"/>
          <w:bCs w:val="1"/>
          <w:i w:val="1"/>
          <w:iCs w:val="1"/>
          <w:color w:val="auto"/>
        </w:rPr>
        <w:t>Initial Retainer RSU Election</w:t>
      </w:r>
      <w:r>
        <w:rPr>
          <w:rFonts w:ascii="Arial" w:cs="Arial" w:eastAsia="Arial" w:hAnsi="Arial"/>
          <w:sz w:val="18"/>
          <w:szCs w:val="18"/>
          <w:color w:val="auto"/>
        </w:rPr>
        <w:t>”). The Initial Retainer RSU Election must be submitted to the Company on or before the date that the individual first becomes a Non -Employee Director (the “</w:t>
      </w:r>
      <w:r>
        <w:rPr>
          <w:rFonts w:ascii="Arial" w:cs="Arial" w:eastAsia="Arial" w:hAnsi="Arial"/>
          <w:sz w:val="18"/>
          <w:szCs w:val="18"/>
          <w:b w:val="1"/>
          <w:bCs w:val="1"/>
          <w:i w:val="1"/>
          <w:iCs w:val="1"/>
          <w:color w:val="auto"/>
        </w:rPr>
        <w:t>Initial Election Deadline</w:t>
      </w:r>
      <w:r>
        <w:rPr>
          <w:rFonts w:ascii="Arial" w:cs="Arial" w:eastAsia="Arial" w:hAnsi="Arial"/>
          <w:sz w:val="18"/>
          <w:szCs w:val="18"/>
          <w:color w:val="auto"/>
        </w:rPr>
        <w:t>”), and the Initial Retainer RSU Election shall become final and irrevocable as of the Initial Election Deadline.</w:t>
      </w:r>
    </w:p>
    <w:p>
      <w:pPr>
        <w:spacing w:after="0" w:line="252" w:lineRule="exact"/>
        <w:rPr>
          <w:sz w:val="20"/>
          <w:szCs w:val="20"/>
          <w:color w:val="auto"/>
        </w:rPr>
      </w:pPr>
    </w:p>
    <w:p>
      <w:pPr>
        <w:jc w:val="both"/>
        <w:ind w:left="3780" w:right="459" w:hanging="419"/>
        <w:spacing w:after="0" w:line="237" w:lineRule="auto"/>
        <w:tabs>
          <w:tab w:leader="none" w:pos="37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8"/>
          <w:szCs w:val="18"/>
          <w:u w:val="single" w:color="auto"/>
          <w:color w:val="auto"/>
        </w:rPr>
        <w:t>Annual Election</w:t>
      </w:r>
      <w:r>
        <w:rPr>
          <w:rFonts w:ascii="Arial" w:cs="Arial" w:eastAsia="Arial" w:hAnsi="Arial"/>
          <w:sz w:val="18"/>
          <w:szCs w:val="18"/>
          <w:color w:val="auto"/>
        </w:rPr>
        <w:t>. No later than December 31 of each calendar year, or such earlier deadline as may be established by the Board or the Compensation Committee, in its discretion (the “</w:t>
      </w:r>
      <w:r>
        <w:rPr>
          <w:rFonts w:ascii="Arial" w:cs="Arial" w:eastAsia="Arial" w:hAnsi="Arial"/>
          <w:sz w:val="18"/>
          <w:szCs w:val="18"/>
          <w:b w:val="1"/>
          <w:bCs w:val="1"/>
          <w:i w:val="1"/>
          <w:iCs w:val="1"/>
          <w:color w:val="auto"/>
        </w:rPr>
        <w:t>Annual Election Deadline</w:t>
      </w:r>
      <w:r>
        <w:rPr>
          <w:rFonts w:ascii="Arial" w:cs="Arial" w:eastAsia="Arial" w:hAnsi="Arial"/>
          <w:sz w:val="18"/>
          <w:szCs w:val="18"/>
          <w:color w:val="auto"/>
        </w:rPr>
        <w:t>”), each individual who is a Non-Employee Director as of immediately before the Annual Election Deadline may make a Retainer RSU Election with respect to the annual retainer relating to services to be performed in the following fiscal year (the “</w:t>
      </w:r>
      <w:r>
        <w:rPr>
          <w:rFonts w:ascii="Arial" w:cs="Arial" w:eastAsia="Arial" w:hAnsi="Arial"/>
          <w:sz w:val="18"/>
          <w:szCs w:val="18"/>
          <w:b w:val="1"/>
          <w:bCs w:val="1"/>
          <w:i w:val="1"/>
          <w:iCs w:val="1"/>
          <w:color w:val="auto"/>
        </w:rPr>
        <w:t>Annual Retainer RSU Election</w:t>
      </w:r>
      <w:r>
        <w:rPr>
          <w:rFonts w:ascii="Arial" w:cs="Arial" w:eastAsia="Arial" w:hAnsi="Arial"/>
          <w:sz w:val="18"/>
          <w:szCs w:val="18"/>
          <w:color w:val="auto"/>
        </w:rPr>
        <w:t>”). The Annual Retainer RSU Election must be submitted to the Company on or before the applicable Annual Election Deadline and shall become effective and irrevocable as of the Annual Election Deadline</w:t>
      </w: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62" w:lineRule="exact"/>
        <w:rPr>
          <w:sz w:val="20"/>
          <w:szCs w:val="20"/>
          <w:color w:val="auto"/>
        </w:rPr>
      </w:pPr>
    </w:p>
    <w:tbl>
      <w:tblPr>
        <w:tblLayout w:type="fixed"/>
        <w:tblInd w:w="230" w:type="dxa"/>
        <w:tblCellMar>
          <w:top w:w="0" w:type="dxa"/>
          <w:left w:w="0" w:type="dxa"/>
          <w:bottom w:w="0" w:type="dxa"/>
          <w:right w:w="0" w:type="dxa"/>
        </w:tblCellMar>
      </w:tblPr>
      <w:tr>
        <w:trPr>
          <w:trHeight w:val="224"/>
        </w:trPr>
        <w:tc>
          <w:tcPr>
            <w:tcW w:w="28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Initial RSU Award:</w:t>
            </w:r>
          </w:p>
        </w:tc>
        <w:tc>
          <w:tcPr>
            <w:tcW w:w="57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Each Non-Employee Director who is initially elected or appointed to</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serve on the Board on or after the Effective Date shall be granted an</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award of RSUs under the Plan, or any other applicable Company</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equity incentive plan then-maintained by the Company, covering a</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number  of  shares  of  Common  Stock  calculated  by  dividing  (i)</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$200,000 by (ii) the average closing trading price of the Common</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Stock over the 10 consecutive trading days ending with the trading</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day immediately preceding the grant (the “</w:t>
            </w:r>
            <w:r>
              <w:rPr>
                <w:rFonts w:ascii="Arial" w:cs="Arial" w:eastAsia="Arial" w:hAnsi="Arial"/>
                <w:sz w:val="18"/>
                <w:szCs w:val="18"/>
                <w:b w:val="1"/>
                <w:bCs w:val="1"/>
                <w:i w:val="1"/>
                <w:iCs w:val="1"/>
                <w:color w:val="auto"/>
              </w:rPr>
              <w:t>10-Day VWAP</w:t>
            </w:r>
            <w:r>
              <w:rPr>
                <w:rFonts w:ascii="Arial" w:cs="Arial" w:eastAsia="Arial" w:hAnsi="Arial"/>
                <w:sz w:val="18"/>
                <w:szCs w:val="18"/>
                <w:color w:val="auto"/>
              </w:rPr>
              <w:t>”) (the</w:t>
            </w:r>
          </w:p>
        </w:tc>
      </w:tr>
      <w:tr>
        <w:trPr>
          <w:trHeight w:val="247"/>
        </w:trPr>
        <w:tc>
          <w:tcPr>
            <w:tcW w:w="2820" w:type="dxa"/>
            <w:vAlign w:val="bottom"/>
            <w:tcBorders>
              <w:left w:val="single" w:sz="8" w:color="auto"/>
              <w:right w:val="single" w:sz="8" w:color="auto"/>
            </w:tcBorders>
          </w:tcPr>
          <w:p>
            <w:pPr>
              <w:spacing w:after="0"/>
              <w:rPr>
                <w:sz w:val="21"/>
                <w:szCs w:val="21"/>
                <w:color w:val="auto"/>
              </w:rPr>
            </w:pPr>
          </w:p>
        </w:tc>
        <w:tc>
          <w:tcPr>
            <w:tcW w:w="5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RSU Award</w:t>
            </w:r>
            <w:r>
              <w:rPr>
                <w:rFonts w:ascii="Arial" w:cs="Arial" w:eastAsia="Arial" w:hAnsi="Arial"/>
                <w:sz w:val="18"/>
                <w:szCs w:val="18"/>
                <w:color w:val="auto"/>
              </w:rPr>
              <w:t>”).</w:t>
            </w:r>
          </w:p>
        </w:tc>
      </w:tr>
      <w:tr>
        <w:trPr>
          <w:trHeight w:val="361"/>
        </w:trPr>
        <w:tc>
          <w:tcPr>
            <w:tcW w:w="2820" w:type="dxa"/>
            <w:vAlign w:val="bottom"/>
            <w:tcBorders>
              <w:left w:val="single" w:sz="8" w:color="auto"/>
              <w:right w:val="single" w:sz="8" w:color="auto"/>
            </w:tcBorders>
          </w:tcPr>
          <w:p>
            <w:pPr>
              <w:spacing w:after="0"/>
              <w:rPr>
                <w:sz w:val="24"/>
                <w:szCs w:val="24"/>
                <w:color w:val="auto"/>
              </w:rPr>
            </w:pPr>
          </w:p>
        </w:tc>
        <w:tc>
          <w:tcPr>
            <w:tcW w:w="5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Initial RSU Award will be automatically granted on the date on</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which  such  Non-Employee  Director  commences  service  on  the</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Board, and will vest as to one-third of the shares subject thereto on</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each anniversary of the applicable grant date such that the shares</w:t>
            </w:r>
          </w:p>
        </w:tc>
      </w:tr>
      <w:tr>
        <w:trPr>
          <w:trHeight w:val="244"/>
        </w:trPr>
        <w:tc>
          <w:tcPr>
            <w:tcW w:w="2820" w:type="dxa"/>
            <w:vAlign w:val="bottom"/>
            <w:tcBorders>
              <w:left w:val="single" w:sz="8" w:color="auto"/>
              <w:bottom w:val="single" w:sz="8" w:color="auto"/>
              <w:right w:val="single" w:sz="8" w:color="auto"/>
            </w:tcBorders>
          </w:tcPr>
          <w:p>
            <w:pPr>
              <w:spacing w:after="0"/>
              <w:rPr>
                <w:sz w:val="21"/>
                <w:szCs w:val="21"/>
                <w:color w:val="auto"/>
              </w:rPr>
            </w:pPr>
          </w:p>
        </w:tc>
        <w:tc>
          <w:tcPr>
            <w:tcW w:w="5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subject to the Initial RSU</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7" w:right="1440" w:bottom="1440" w:gutter="0" w:footer="0" w:header="0"/>
        </w:sectPr>
      </w:pPr>
    </w:p>
    <w:bookmarkStart w:id="52" w:name="page53"/>
    <w:bookmarkEnd w:id="52"/>
    <w:tbl>
      <w:tblPr>
        <w:tblLayout w:type="fixed"/>
        <w:tblInd w:w="230" w:type="dxa"/>
        <w:tblCellMar>
          <w:top w:w="0" w:type="dxa"/>
          <w:left w:w="0" w:type="dxa"/>
          <w:bottom w:w="0" w:type="dxa"/>
          <w:right w:w="0" w:type="dxa"/>
        </w:tblCellMar>
      </w:tblPr>
      <w:tr>
        <w:trPr>
          <w:trHeight w:val="224"/>
        </w:trPr>
        <w:tc>
          <w:tcPr>
            <w:tcW w:w="2820" w:type="dxa"/>
            <w:vAlign w:val="bottom"/>
            <w:tcBorders>
              <w:top w:val="single" w:sz="8" w:color="auto"/>
              <w:left w:val="single" w:sz="8" w:color="auto"/>
              <w:right w:val="single" w:sz="8" w:color="auto"/>
            </w:tcBorders>
          </w:tcPr>
          <w:p>
            <w:pPr>
              <w:spacing w:after="0"/>
              <w:rPr>
                <w:sz w:val="19"/>
                <w:szCs w:val="19"/>
                <w:color w:val="auto"/>
              </w:rPr>
            </w:pPr>
          </w:p>
        </w:tc>
        <w:tc>
          <w:tcPr>
            <w:tcW w:w="57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Award are fully vested on the third anniversary of the grant date,</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subject to the Non-Employee Director continuing in service on the</w:t>
            </w:r>
          </w:p>
        </w:tc>
      </w:tr>
      <w:tr>
        <w:trPr>
          <w:trHeight w:val="244"/>
        </w:trPr>
        <w:tc>
          <w:tcPr>
            <w:tcW w:w="2820" w:type="dxa"/>
            <w:vAlign w:val="bottom"/>
            <w:tcBorders>
              <w:left w:val="single" w:sz="8" w:color="auto"/>
              <w:bottom w:val="single" w:sz="8" w:color="auto"/>
              <w:right w:val="single" w:sz="8" w:color="auto"/>
            </w:tcBorders>
          </w:tcPr>
          <w:p>
            <w:pPr>
              <w:spacing w:after="0"/>
              <w:rPr>
                <w:sz w:val="21"/>
                <w:szCs w:val="21"/>
                <w:color w:val="auto"/>
              </w:rPr>
            </w:pPr>
          </w:p>
        </w:tc>
        <w:tc>
          <w:tcPr>
            <w:tcW w:w="5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Board through each such vesting date.</w:t>
            </w:r>
          </w:p>
        </w:tc>
      </w:tr>
      <w:tr>
        <w:trPr>
          <w:trHeight w:val="209"/>
        </w:trPr>
        <w:tc>
          <w:tcPr>
            <w:tcW w:w="28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Annual RSU Award:</w:t>
            </w:r>
          </w:p>
        </w:tc>
        <w:tc>
          <w:tcPr>
            <w:tcW w:w="57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Each Non-Employee Director who will continue to serve as a Non-</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Employee Director immediately following an annual meeting of the</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Company’s stockholders (an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shall be granted on</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date of such Annual Meeting an award of RSUs under the Plan,</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or  any  other  applicable  Company  equity  incentive  plan  then-</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maintained  by  the  Company,  covering  a  number  of  shares  of</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Common Stock calculated by dividing (i) $100,000 by (ii) the 10-Day</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VWAP (the “</w:t>
            </w:r>
            <w:r>
              <w:rPr>
                <w:rFonts w:ascii="Arial" w:cs="Arial" w:eastAsia="Arial" w:hAnsi="Arial"/>
                <w:sz w:val="18"/>
                <w:szCs w:val="18"/>
                <w:b w:val="1"/>
                <w:bCs w:val="1"/>
                <w:i w:val="1"/>
                <w:iCs w:val="1"/>
                <w:color w:val="auto"/>
              </w:rPr>
              <w:t>Annual RSU Award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if a Non-Employee</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Director is first appointed or elected on a date other than the date of</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  Annual  Meeting,  then  such  Non-Employee  Director  shall  be</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granted automatically on such date of appointment or election under</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Plan, or any other applicable Company equity incentive plan then-</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maintained by the Company, an award of that number of RSUs</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calculated by dividing (i) the product of $100,000 multiplied by a</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fraction, the numerator of which is the number of days from the date</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of such appointment or election through the anticipated date of the</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first Annual Meeting following such appointment or election, and the</w:t>
            </w:r>
          </w:p>
        </w:tc>
      </w:tr>
      <w:tr>
        <w:trPr>
          <w:trHeight w:val="239"/>
        </w:trPr>
        <w:tc>
          <w:tcPr>
            <w:tcW w:w="2820" w:type="dxa"/>
            <w:vAlign w:val="bottom"/>
            <w:tcBorders>
              <w:left w:val="single" w:sz="8" w:color="auto"/>
              <w:right w:val="single" w:sz="8" w:color="auto"/>
            </w:tcBorders>
          </w:tcPr>
          <w:p>
            <w:pPr>
              <w:spacing w:after="0"/>
              <w:rPr>
                <w:sz w:val="20"/>
                <w:szCs w:val="20"/>
                <w:color w:val="auto"/>
              </w:rPr>
            </w:pPr>
          </w:p>
        </w:tc>
        <w:tc>
          <w:tcPr>
            <w:tcW w:w="57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denominator of which is 365, by (ii) the 10-Day VWAP.</w:t>
            </w:r>
          </w:p>
        </w:tc>
      </w:tr>
      <w:tr>
        <w:trPr>
          <w:trHeight w:val="369"/>
        </w:trPr>
        <w:tc>
          <w:tcPr>
            <w:tcW w:w="2820" w:type="dxa"/>
            <w:vAlign w:val="bottom"/>
            <w:tcBorders>
              <w:left w:val="single" w:sz="8" w:color="auto"/>
              <w:right w:val="single" w:sz="8" w:color="auto"/>
            </w:tcBorders>
          </w:tcPr>
          <w:p>
            <w:pPr>
              <w:spacing w:after="0"/>
              <w:rPr>
                <w:sz w:val="24"/>
                <w:szCs w:val="24"/>
                <w:color w:val="auto"/>
              </w:rPr>
            </w:pPr>
          </w:p>
        </w:tc>
        <w:tc>
          <w:tcPr>
            <w:tcW w:w="57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award of RSUs will be automatically granted on the date of the</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applicable Annual Meeting, appointment or election, and will vest in</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full on the earlier of (i) the first anniversary of the grant date or (ii)</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immediately before the next Annual Meeting immediately following</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grant date, subject to the Non-Employee Director continuing in</w:t>
            </w:r>
          </w:p>
        </w:tc>
      </w:tr>
      <w:tr>
        <w:trPr>
          <w:trHeight w:val="244"/>
        </w:trPr>
        <w:tc>
          <w:tcPr>
            <w:tcW w:w="2820" w:type="dxa"/>
            <w:vAlign w:val="bottom"/>
            <w:tcBorders>
              <w:left w:val="single" w:sz="8" w:color="auto"/>
              <w:bottom w:val="single" w:sz="8" w:color="auto"/>
              <w:right w:val="single" w:sz="8" w:color="auto"/>
            </w:tcBorders>
          </w:tcPr>
          <w:p>
            <w:pPr>
              <w:spacing w:after="0"/>
              <w:rPr>
                <w:sz w:val="21"/>
                <w:szCs w:val="21"/>
                <w:color w:val="auto"/>
              </w:rPr>
            </w:pPr>
          </w:p>
        </w:tc>
        <w:tc>
          <w:tcPr>
            <w:tcW w:w="5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service on the Board through such vesting date.</w:t>
            </w:r>
          </w:p>
        </w:tc>
      </w:tr>
      <w:tr>
        <w:trPr>
          <w:trHeight w:val="209"/>
        </w:trPr>
        <w:tc>
          <w:tcPr>
            <w:tcW w:w="28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Additional Annual RSU Award</w:t>
            </w:r>
          </w:p>
        </w:tc>
        <w:tc>
          <w:tcPr>
            <w:tcW w:w="57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 Non-Employee Board Chair who will continue to serve as a Non-</w:t>
            </w:r>
          </w:p>
        </w:tc>
      </w:tr>
      <w:tr>
        <w:trPr>
          <w:trHeight w:val="203"/>
        </w:trPr>
        <w:tc>
          <w:tcPr>
            <w:tcW w:w="282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for Non-Employee Board Chair:</w:t>
            </w: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Employee Board Chair immediately following an Annual Meeting shall</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be granted on the date of such Annual Meeting an additional award of</w:t>
            </w:r>
          </w:p>
        </w:tc>
      </w:tr>
      <w:tr>
        <w:trPr>
          <w:trHeight w:val="202"/>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RSUs under the Plan, or any other applicable Company equity</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incentive plan then-maintained by the Company, covering a number</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of shares of Common Stock calculated by dividing (i) $50,000 by (ii)</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10-Day VWAP, provided that if the 10-day VWAP is less than</w:t>
            </w:r>
          </w:p>
        </w:tc>
      </w:tr>
      <w:tr>
        <w:trPr>
          <w:trHeight w:val="203"/>
        </w:trPr>
        <w:tc>
          <w:tcPr>
            <w:tcW w:w="2820" w:type="dxa"/>
            <w:vAlign w:val="bottom"/>
            <w:tcBorders>
              <w:left w:val="single" w:sz="8" w:color="auto"/>
              <w:right w:val="single" w:sz="8" w:color="auto"/>
            </w:tcBorders>
          </w:tcPr>
          <w:p>
            <w:pPr>
              <w:spacing w:after="0"/>
              <w:rPr>
                <w:sz w:val="17"/>
                <w:szCs w:val="17"/>
                <w:color w:val="auto"/>
              </w:rPr>
            </w:pPr>
          </w:p>
        </w:tc>
        <w:tc>
          <w:tcPr>
            <w:tcW w:w="5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$2.20, then the share price for purposes of calculating the number of</w:t>
            </w:r>
          </w:p>
        </w:tc>
      </w:tr>
      <w:tr>
        <w:trPr>
          <w:trHeight w:val="248"/>
        </w:trPr>
        <w:tc>
          <w:tcPr>
            <w:tcW w:w="2820" w:type="dxa"/>
            <w:vAlign w:val="bottom"/>
            <w:tcBorders>
              <w:left w:val="single" w:sz="8" w:color="auto"/>
              <w:bottom w:val="single" w:sz="8" w:color="auto"/>
              <w:right w:val="single" w:sz="8" w:color="auto"/>
            </w:tcBorders>
          </w:tcPr>
          <w:p>
            <w:pPr>
              <w:spacing w:after="0"/>
              <w:rPr>
                <w:sz w:val="21"/>
                <w:szCs w:val="21"/>
                <w:color w:val="auto"/>
              </w:rPr>
            </w:pPr>
          </w:p>
        </w:tc>
        <w:tc>
          <w:tcPr>
            <w:tcW w:w="57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RSUs shall be $2.20 (the “</w:t>
            </w:r>
            <w:r>
              <w:rPr>
                <w:rFonts w:ascii="Arial" w:cs="Arial" w:eastAsia="Arial" w:hAnsi="Arial"/>
                <w:sz w:val="18"/>
                <w:szCs w:val="18"/>
                <w:b w:val="1"/>
                <w:bCs w:val="1"/>
                <w:i w:val="1"/>
                <w:iCs w:val="1"/>
                <w:color w:val="auto"/>
              </w:rPr>
              <w:t>Annual Board Chair RSU Award</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6" w:right="1440" w:bottom="1440" w:gutter="0" w:footer="0" w:header="0"/>
        </w:sectPr>
      </w:pPr>
    </w:p>
    <w:bookmarkStart w:id="53" w:name="page54"/>
    <w:bookmarkEnd w:id="53"/>
    <w:p>
      <w:pPr>
        <w:jc w:val="both"/>
        <w:ind w:left="3120" w:right="339"/>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1048385</wp:posOffset>
            </wp:positionH>
            <wp:positionV relativeFrom="page">
              <wp:posOffset>740410</wp:posOffset>
            </wp:positionV>
            <wp:extent cx="5452110" cy="24085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452110" cy="2408555"/>
                    </a:xfrm>
                    <a:prstGeom prst="rect">
                      <a:avLst/>
                    </a:prstGeom>
                    <a:noFill/>
                  </pic:spPr>
                </pic:pic>
              </a:graphicData>
            </a:graphic>
          </wp:anchor>
        </w:drawing>
        <w:t>If a Non-Employee Board Chair is first appointed or elected on a date other than the date of an Annual Meeting, then such Non-Employee Board Chair shall be granted automatically on such date of appointment or election under the Plan, or any other applicable Company equity incentive plan then-maintained by the Company, an award of that number of RSUs calculated by dividing (i) the product of $50,000 multiplied by a fraction, the numerator of which is the number of days from the date of such appointment or election through the anticipated date of the first Annual Meeting following such appointment or election, and the denominator of which is 365, by (ii) the 10-day VWAP.</w:t>
      </w:r>
    </w:p>
    <w:p>
      <w:pPr>
        <w:spacing w:after="0" w:line="240" w:lineRule="exact"/>
        <w:rPr>
          <w:sz w:val="20"/>
          <w:szCs w:val="20"/>
          <w:color w:val="auto"/>
        </w:rPr>
      </w:pPr>
    </w:p>
    <w:p>
      <w:pPr>
        <w:jc w:val="both"/>
        <w:ind w:left="3120" w:right="339"/>
        <w:spacing w:after="0" w:line="242" w:lineRule="auto"/>
        <w:rPr>
          <w:sz w:val="20"/>
          <w:szCs w:val="20"/>
          <w:color w:val="auto"/>
        </w:rPr>
      </w:pPr>
      <w:r>
        <w:rPr>
          <w:rFonts w:ascii="Arial" w:cs="Arial" w:eastAsia="Arial" w:hAnsi="Arial"/>
          <w:sz w:val="18"/>
          <w:szCs w:val="18"/>
          <w:color w:val="auto"/>
        </w:rPr>
        <w:t>The Annual Board Chair RSU Award will be automatically granted on the date of the applicable Annual Meeting, appointment or election, and will vest in full on the earlier of (i) the first anniversary of the grant date or (ii) immediately before the next Annual Meeting immediately following the grant date, subject to the Non-Employee Board Chair continuing in service on the Board through such vesting date.</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Termination of Service</w:t>
      </w:r>
    </w:p>
    <w:p>
      <w:pPr>
        <w:spacing w:after="0" w:line="196" w:lineRule="exact"/>
        <w:rPr>
          <w:sz w:val="20"/>
          <w:szCs w:val="20"/>
          <w:color w:val="auto"/>
        </w:rPr>
      </w:pPr>
    </w:p>
    <w:p>
      <w:pPr>
        <w:jc w:val="both"/>
        <w:ind w:left="200" w:right="239"/>
        <w:spacing w:after="0" w:line="271" w:lineRule="auto"/>
        <w:rPr>
          <w:sz w:val="20"/>
          <w:szCs w:val="20"/>
          <w:color w:val="auto"/>
        </w:rPr>
      </w:pPr>
      <w:r>
        <w:rPr>
          <w:rFonts w:ascii="Arial" w:cs="Arial" w:eastAsia="Arial" w:hAnsi="Arial"/>
          <w:sz w:val="18"/>
          <w:szCs w:val="18"/>
          <w:color w:val="auto"/>
        </w:rPr>
        <w:t>No portion of an award of RSUs that is unvested at the time of a Non-Employee Director’s termination of service on the Board shall vest thereafter.</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96"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18"/>
          <w:szCs w:val="18"/>
          <w:color w:val="auto"/>
        </w:rPr>
        <w:t>Immediately before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Reimbursements</w:t>
      </w:r>
    </w:p>
    <w:p>
      <w:pPr>
        <w:spacing w:after="0" w:line="210"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18"/>
          <w:szCs w:val="18"/>
          <w:color w:val="auto"/>
        </w:rPr>
        <w:t>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7" w:right="1440" w:bottom="1440" w:gutter="0" w:footer="0" w:header="0"/>
        </w:sectPr>
      </w:pPr>
    </w:p>
    <w:bookmarkStart w:id="54" w:name="page55"/>
    <w:bookmarkEnd w:id="54"/>
    <w:p>
      <w:pPr>
        <w:ind w:left="200"/>
        <w:spacing w:after="0"/>
        <w:rPr>
          <w:sz w:val="20"/>
          <w:szCs w:val="20"/>
          <w:color w:val="auto"/>
        </w:rPr>
      </w:pPr>
      <w:r>
        <w:rPr>
          <w:rFonts w:ascii="Arial" w:cs="Arial" w:eastAsia="Arial" w:hAnsi="Arial"/>
          <w:sz w:val="18"/>
          <w:szCs w:val="18"/>
          <w:b w:val="1"/>
          <w:bCs w:val="1"/>
          <w:i w:val="1"/>
          <w:iCs w:val="1"/>
          <w:color w:val="auto"/>
        </w:rPr>
        <w:t>Declining Compensation</w:t>
      </w:r>
    </w:p>
    <w:p>
      <w:pPr>
        <w:spacing w:after="0" w:line="196"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18"/>
          <w:szCs w:val="18"/>
          <w:color w:val="auto"/>
        </w:rPr>
        <w:t>Notwithstanding anything to the contrary in this Program, any Non-Employee Director who indicates to the Board that they are waiving their right to receive compensation under this Program shall not receive any compensation under this Program.</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to the Program</w:t>
      </w:r>
    </w:p>
    <w:p>
      <w:pPr>
        <w:spacing w:after="0" w:line="196" w:lineRule="exact"/>
        <w:rPr>
          <w:sz w:val="20"/>
          <w:szCs w:val="20"/>
          <w:color w:val="auto"/>
        </w:rPr>
      </w:pPr>
    </w:p>
    <w:p>
      <w:pPr>
        <w:jc w:val="both"/>
        <w:ind w:left="200" w:right="219"/>
        <w:spacing w:after="0" w:line="271" w:lineRule="auto"/>
        <w:rPr>
          <w:sz w:val="20"/>
          <w:szCs w:val="20"/>
          <w:color w:val="auto"/>
        </w:rPr>
      </w:pPr>
      <w:r>
        <w:rPr>
          <w:rFonts w:ascii="Arial" w:cs="Arial" w:eastAsia="Arial" w:hAnsi="Arial"/>
          <w:sz w:val="18"/>
          <w:szCs w:val="18"/>
          <w:color w:val="auto"/>
        </w:rPr>
        <w:t>The Compensation Committee of the Board may amend, halt or resume any compensation payable under this Plan as it deems appropriate.</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Miscellaneous</w:t>
      </w:r>
    </w:p>
    <w:p>
      <w:pPr>
        <w:spacing w:after="0" w:line="196" w:lineRule="exact"/>
        <w:rPr>
          <w:sz w:val="20"/>
          <w:szCs w:val="20"/>
          <w:color w:val="auto"/>
        </w:rPr>
      </w:pPr>
    </w:p>
    <w:p>
      <w:pPr>
        <w:jc w:val="both"/>
        <w:ind w:left="200" w:right="219"/>
        <w:spacing w:after="0" w:line="242" w:lineRule="auto"/>
        <w:rPr>
          <w:sz w:val="20"/>
          <w:szCs w:val="20"/>
          <w:color w:val="auto"/>
        </w:rPr>
      </w:pPr>
      <w:r>
        <w:rPr>
          <w:rFonts w:ascii="Arial" w:cs="Arial" w:eastAsia="Arial" w:hAnsi="Arial"/>
          <w:sz w:val="18"/>
          <w:szCs w:val="18"/>
          <w:color w:val="auto"/>
        </w:rPr>
        <w:t>The other provisions of the Plan shall apply to the RSUs granted automatically under this Program, except to the extent such other provisions are inconsistent with this Program. All applicable terms of the Plan apply to this Program as if fully set forth herein, and all grants of RSUs hereby are subject in all respects to the terms of the Plan. The grant of RSUs under this Program shall be made solely by and subject to the terms set forth in an Award Agreement in a form approved by the Board and duly executed by an executive officer of the Company.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Last Updated: November 1, 2024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8" w:right="1440"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Crystal Landsem, certify that:</w:t>
      </w:r>
    </w:p>
    <w:p>
      <w:pPr>
        <w:spacing w:after="0" w:line="225" w:lineRule="exact"/>
        <w:rPr>
          <w:sz w:val="20"/>
          <w:szCs w:val="20"/>
          <w:color w:val="auto"/>
        </w:rPr>
      </w:pPr>
    </w:p>
    <w:p>
      <w:pPr>
        <w:ind w:left="440" w:hanging="432"/>
        <w:spacing w:after="0"/>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Lulu’s Fashion Lounge Holdings, Inc.;</w:t>
      </w:r>
    </w:p>
    <w:p>
      <w:pPr>
        <w:spacing w:after="0" w:line="225"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440" w:right="40" w:hanging="432"/>
        <w:spacing w:after="0" w:line="282"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880" w:right="60" w:hanging="440"/>
        <w:spacing w:after="0" w:line="266" w:lineRule="auto"/>
        <w:tabs>
          <w:tab w:leader="none" w:pos="8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640" w:val="left"/>
          <w:tab w:leader="none" w:pos="718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25203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Crystal Landsem</w:t>
      </w:r>
    </w:p>
    <w:p>
      <w:pPr>
        <w:spacing w:after="0" w:line="3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Tiffany R. Smith, certify that:</w:t>
      </w:r>
    </w:p>
    <w:p>
      <w:pPr>
        <w:spacing w:after="0" w:line="225" w:lineRule="exact"/>
        <w:rPr>
          <w:sz w:val="20"/>
          <w:szCs w:val="20"/>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Lulu’s Fashion Lounge Holdings, Inc.;</w:t>
      </w:r>
    </w:p>
    <w:p>
      <w:pPr>
        <w:spacing w:after="0" w:line="225"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440" w:right="40" w:hanging="432"/>
        <w:spacing w:after="0" w:line="282" w:lineRule="auto"/>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880" w:right="60" w:hanging="440"/>
        <w:spacing w:after="0" w:line="266" w:lineRule="auto"/>
        <w:tabs>
          <w:tab w:leader="none" w:pos="8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640" w:val="left"/>
          <w:tab w:leader="none" w:pos="720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Tiffany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25203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Tiffany R. Smith</w:t>
      </w:r>
    </w:p>
    <w:p>
      <w:pPr>
        <w:spacing w:after="0" w:line="3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Lulu’s Fashion Lounge Holdings, Inc. (the “Company”) for the period ended September 29,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640" w:val="left"/>
          <w:tab w:leader="none" w:pos="718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Crystal Landsem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25203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Crystal Landsem</w:t>
      </w:r>
    </w:p>
    <w:p>
      <w:pPr>
        <w:spacing w:after="0" w:line="3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Lulu’s Fashion Lounge Holdings, Inc. (the “Company”) for the period ended September 29,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880" w:hanging="440"/>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640" w:val="left"/>
          <w:tab w:leader="none" w:pos="720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Tiffany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25203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Tiffany R. Smith</w:t>
      </w:r>
    </w:p>
    <w:p>
      <w:pPr>
        <w:spacing w:after="0" w:line="3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3"/>
    </w:lvl>
  </w:abstractNum>
  <w:abstractNum w:abstractNumId="6">
    <w:nsid w:val="436C6125"/>
    <w:multiLevelType w:val="hybridMultilevel"/>
    <w:lvl w:ilvl="0">
      <w:lvlJc w:val="left"/>
      <w:lvlText w:val="%1."/>
      <w:numFmt w:val="decimal"/>
      <w:start w:val="4"/>
    </w:lvl>
  </w:abstractNum>
  <w:abstractNum w:abstractNumId="7">
    <w:nsid w:val="628C895D"/>
    <w:multiLevelType w:val="hybridMultilevel"/>
    <w:lvl w:ilvl="0">
      <w:lvlJc w:val="left"/>
      <w:lvlText w:val="%1."/>
      <w:numFmt w:val="decimal"/>
      <w:start w:val="5"/>
    </w:lvl>
  </w:abstractNum>
  <w:abstractNum w:abstractNumId="8">
    <w:nsid w:val="333AB105"/>
    <w:multiLevelType w:val="hybridMultilevel"/>
    <w:lvl w:ilvl="0">
      <w:lvlJc w:val="left"/>
      <w:lvlText w:val="%1."/>
      <w:numFmt w:val="decimal"/>
      <w:start w:val="6"/>
    </w:lvl>
  </w:abstractNum>
  <w:abstractNum w:abstractNumId="9">
    <w:nsid w:val="721DA317"/>
    <w:multiLevelType w:val="hybridMultilevel"/>
    <w:lvl w:ilvl="0">
      <w:lvlJc w:val="left"/>
      <w:lvlText w:val="%1."/>
      <w:numFmt w:val="decimal"/>
      <w:start w:val="7"/>
    </w:lvl>
  </w:abstractNum>
  <w:abstractNum w:abstractNumId="10">
    <w:nsid w:val="2443A858"/>
    <w:multiLevelType w:val="hybridMultilevel"/>
    <w:lvl w:ilvl="0">
      <w:lvlJc w:val="left"/>
      <w:lvlText w:val="%1."/>
      <w:numFmt w:val="decimal"/>
      <w:start w:val="8"/>
    </w:lvl>
  </w:abstractNum>
  <w:abstractNum w:abstractNumId="11">
    <w:nsid w:val="2D1D5AE9"/>
    <w:multiLevelType w:val="hybridMultilevel"/>
    <w:lvl w:ilvl="0">
      <w:lvlJc w:val="left"/>
      <w:lvlText w:val="%1."/>
      <w:numFmt w:val="decimal"/>
      <w:start w:val="9"/>
    </w:lvl>
  </w:abstractNum>
  <w:abstractNum w:abstractNumId="12">
    <w:nsid w:val="6763845E"/>
    <w:multiLevelType w:val="hybridMultilevel"/>
    <w:lvl w:ilvl="0">
      <w:lvlJc w:val="left"/>
      <w:lvlText w:val="%1."/>
      <w:numFmt w:val="decimal"/>
      <w:start w:val="10"/>
    </w:lvl>
  </w:abstractNum>
  <w:abstractNum w:abstractNumId="13">
    <w:nsid w:val="75A2A8D4"/>
    <w:multiLevelType w:val="hybridMultilevel"/>
    <w:lvl w:ilvl="0">
      <w:lvlJc w:val="left"/>
      <w:lvlText w:val="%1."/>
      <w:numFmt w:val="decimal"/>
      <w:start w:val="11"/>
    </w:lvl>
  </w:abstractNum>
  <w:abstractNum w:abstractNumId="14">
    <w:nsid w:val="8EDBDAB"/>
    <w:multiLevelType w:val="hybridMultilevel"/>
    <w:lvl w:ilvl="0">
      <w:lvlJc w:val="left"/>
      <w:lvlText w:val="%1."/>
      <w:numFmt w:val="decimal"/>
      <w:start w:val="12"/>
    </w:lvl>
  </w:abstractNum>
  <w:abstractNum w:abstractNumId="15">
    <w:nsid w:val="79838CB2"/>
    <w:multiLevelType w:val="hybridMultilevel"/>
    <w:lvl w:ilvl="0">
      <w:lvlJc w:val="left"/>
      <w:lvlText w:val="%1."/>
      <w:numFmt w:val="decimal"/>
      <w:start w:val="13"/>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2"/>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3"/>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decimal"/>
      <w:start w:val="1"/>
    </w:lvl>
    <w:lvl w:ilvl="1">
      <w:lvlJc w:val="left"/>
      <w:lvlText w:val="(%2)"/>
      <w:numFmt w:val="lowerLetter"/>
      <w:start w:val="3"/>
    </w:lvl>
  </w:abstractNum>
  <w:abstractNum w:abstractNumId="28">
    <w:nsid w:val="737B8DDC"/>
    <w:multiLevelType w:val="hybridMultilevel"/>
    <w:lvl w:ilvl="0">
      <w:lvlJc w:val="left"/>
      <w:lvlText w:val="%1."/>
      <w:numFmt w:val="decimal"/>
      <w:start w:val="4"/>
    </w:lvl>
    <w:lvl w:ilvl="1">
      <w:lvlJc w:val="left"/>
      <w:lvlText w:val="(%2)"/>
      <w:numFmt w:val="lowerLetter"/>
      <w:start w:val="1"/>
    </w:lvl>
  </w:abstractNum>
  <w:abstractNum w:abstractNumId="29">
    <w:nsid w:val="6CEAF087"/>
    <w:multiLevelType w:val="hybridMultilevel"/>
    <w:lvl w:ilvl="0">
      <w:lvlJc w:val="left"/>
      <w:lvlText w:val="(%1)"/>
      <w:numFmt w:val="lowerLetter"/>
      <w:start w:val="2"/>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56" Type="http://schemas.openxmlformats.org/officeDocument/2006/relationships/hyperlink" Target="https://www.sec.gov/Archives/edgar/data/1780201/000155837024010190/tmb-20240722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2024-11-13T15:15:50Z</dcterms:created>
  <dcterms:modified xsi:type="dcterms:W3CDTF">2024-11-13T15:15:50Z</dcterms:modified>
</cp:coreProperties>
</file>