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200"/>
        <w:ind w:left="0" w:right="0" w:hanging="0"/>
        <w:jc w:val="both"/>
        <w:rPr/>
      </w:pPr>
      <w:bookmarkStart w:id="0" w:name="lvlu-20260330x8k.htm"/>
      <w:bookmarkStart w:id="1" w:name="kslvlu20260330x8k"/>
      <w:bookmarkEnd w:id="0"/>
      <w:bookmarkEnd w:id="1"/>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UNITED STATES</w:t>
      </w:r>
    </w:p>
    <w:p>
      <w:pPr>
        <w:pStyle w:val="TextBody"/>
        <w:bidi w:val="0"/>
        <w:spacing w:before="0" w:after="6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60"/>
        <w:ind w:left="0" w:right="0" w:hanging="0"/>
        <w:jc w:val="center"/>
        <w:rPr>
          <w:rFonts w:ascii="Times New Roman;Times;serif" w:hAnsi="Times New Roman;Times;serif"/>
          <w:sz w:val="24"/>
        </w:rPr>
      </w:pPr>
      <w:r>
        <w:rPr>
          <w:rFonts w:ascii="Times New Roman;Times;serif" w:hAnsi="Times New Roman;Times;serif"/>
          <w:sz w:val="24"/>
        </w:rPr>
        <w:t>Washington, D.C. 20549</w:t>
      </w:r>
    </w:p>
    <w:p>
      <w:pPr>
        <w:pStyle w:val="TextBody"/>
        <w:bidi w:val="0"/>
        <w:spacing w:before="0" w:after="4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Current Report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Pursuant to Section 13 or 15(d)</w:t>
      </w:r>
    </w:p>
    <w:p>
      <w:pPr>
        <w:pStyle w:val="TextBody"/>
        <w:bidi w:val="0"/>
        <w:spacing w:before="0" w:after="60"/>
        <w:ind w:left="0" w:right="0" w:hanging="0"/>
        <w:jc w:val="center"/>
        <w:rPr>
          <w:rFonts w:ascii="Times New Roman;Times;serif" w:hAnsi="Times New Roman;Times;serif"/>
          <w:sz w:val="18"/>
        </w:rPr>
      </w:pPr>
      <w:r>
        <w:rPr>
          <w:rFonts w:ascii="Times New Roman;Times;serif" w:hAnsi="Times New Roman;Times;serif"/>
          <w:sz w:val="18"/>
        </w:rPr>
        <w:t>of the Securities Exchange Act of 1934</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March 30, 2026</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Date of Report (date of earliest event reported)</w:t>
      </w:r>
    </w:p>
    <w:p>
      <w:pPr>
        <w:pStyle w:val="TextBody"/>
        <w:bidi w:val="0"/>
        <w:spacing w:before="0" w:after="100"/>
        <w:ind w:left="0" w:right="0" w:hanging="0"/>
        <w:jc w:val="center"/>
        <w:rPr/>
      </w:pPr>
      <w:r>
        <w:rPr/>
        <w:drawing>
          <wp:inline distT="0" distB="0" distL="0" distR="0">
            <wp:extent cx="1234440" cy="4660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 cy="46609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Lulu’s Fashion Lounge Holdings, Inc.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200"/>
        <w:ind w:left="0" w:right="0" w:hanging="0"/>
        <w:jc w:val="both"/>
        <w:rPr/>
      </w:pPr>
      <w:r>
        <w:rPr/>
        <w:t>​</w:t>
      </w:r>
    </w:p>
    <w:p>
      <w:pPr>
        <w:pStyle w:val="Normal"/>
        <w:bidi w:val="0"/>
        <w:spacing w:before="0" w:after="0"/>
        <w:jc w:val="left"/>
        <w:rPr>
          <w:sz w:val="4"/>
          <w:szCs w:val="4"/>
        </w:rPr>
      </w:pPr>
      <w:r>
        <w:rPr>
          <w:sz w:val="4"/>
          <w:szCs w:val="4"/>
        </w:rPr>
      </w:r>
      <w:bookmarkStart w:id="2" w:name="Tc_p34CryCsPUa7TuALJRvfqw_2_2"/>
      <w:bookmarkStart w:id="3" w:name="Tc_su_ON14DKUy4lNtgQ9Uf2Q_2_1"/>
      <w:bookmarkStart w:id="4" w:name="Tc_2k8va1YT-0GEnzQy_wPchw_2_0"/>
      <w:bookmarkStart w:id="5" w:name="_69534dd3_8c92_4533_825d_5f7dfd0f1829"/>
      <w:bookmarkStart w:id="6" w:name="Tc_p34CryCsPUa7TuALJRvfqw_2_2"/>
      <w:bookmarkStart w:id="7" w:name="Tc_su_ON14DKUy4lNtgQ9Uf2Q_2_1"/>
      <w:bookmarkStart w:id="8" w:name="Tc_2k8va1YT-0GEnzQy_wPchw_2_0"/>
      <w:bookmarkStart w:id="9" w:name="_69534dd3_8c92_4533_825d_5f7dfd0f1829"/>
      <w:bookmarkEnd w:id="6"/>
      <w:bookmarkEnd w:id="7"/>
      <w:bookmarkEnd w:id="8"/>
      <w:bookmarkEnd w:id="9"/>
    </w:p>
    <w:tbl>
      <w:tblPr>
        <w:tblW w:w="4968" w:type="dxa"/>
        <w:jc w:val="left"/>
        <w:tblInd w:w="0" w:type="dxa"/>
        <w:tblLayout w:type="fixed"/>
        <w:tblCellMar>
          <w:top w:w="0" w:type="dxa"/>
          <w:left w:w="0" w:type="dxa"/>
          <w:bottom w:w="0" w:type="dxa"/>
          <w:right w:w="0" w:type="dxa"/>
        </w:tblCellMar>
      </w:tblPr>
      <w:tblGrid>
        <w:gridCol w:w="2176"/>
        <w:gridCol w:w="1036"/>
        <w:gridCol w:w="1756"/>
      </w:tblGrid>
      <w:tr>
        <w:trPr/>
        <w:tc>
          <w:tcPr>
            <w:tcW w:w="217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r>
      <w:tr>
        <w:trPr/>
        <w:tc>
          <w:tcPr>
            <w:tcW w:w="21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001-41059</w:t>
            </w:r>
          </w:p>
        </w:tc>
        <w:tc>
          <w:tcPr>
            <w:tcW w:w="17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20-8442468</w:t>
            </w:r>
          </w:p>
        </w:tc>
      </w:tr>
      <w:tr>
        <w:trPr/>
        <w:tc>
          <w:tcPr>
            <w:tcW w:w="217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br/>
              <w:t>Incorporation)</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(Commission</w:t>
              <w:br/>
              <w:t>File Number)</w:t>
            </w:r>
          </w:p>
        </w:tc>
        <w:tc>
          <w:tcPr>
            <w:tcW w:w="175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br/>
              <w:t>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195 Humboldt Avenue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Chico, California</w:t>
      </w:r>
      <w:r>
        <w:rPr>
          <w:rFonts w:ascii="Times New Roman;Times;serif" w:hAnsi="Times New Roman;Times;serif"/>
          <w:sz w:val="20"/>
        </w:rPr>
        <w:t xml:space="preserve"> </w:t>
      </w:r>
      <w:r>
        <w:rPr>
          <w:rFonts w:ascii="Times New Roman;Times;serif" w:hAnsi="Times New Roman;Times;serif"/>
          <w:b/>
          <w:sz w:val="20"/>
        </w:rPr>
        <w:t>95928</w:t>
      </w:r>
    </w:p>
    <w:p>
      <w:pPr>
        <w:pStyle w:val="TextBody"/>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 (Zip Code)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(530) 343-3545</w:t>
      </w:r>
    </w:p>
    <w:p>
      <w:pPr>
        <w:pStyle w:val="TextBody"/>
        <w:bidi w:val="0"/>
        <w:spacing w:before="0" w:after="6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4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sz w:val="16"/>
        </w:rPr>
        <w:t>Former Name or Former Address, if Changed Since Last Report)</w:t>
      </w:r>
    </w:p>
    <w:p>
      <w:pPr>
        <w:pStyle w:val="TextBody"/>
        <w:bidi w:val="0"/>
        <w:spacing w:before="0" w:after="4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40"/>
        <w:ind w:left="0" w:right="0" w:hanging="0"/>
        <w:jc w:val="left"/>
        <w:rPr/>
      </w:pPr>
      <w:r>
        <w:rPr>
          <w:caps w:val="false"/>
          <w:smallCaps w:val="false"/>
        </w:rPr>
        <w:t>☐</w:t>
      </w:r>
      <w:r>
        <w:rPr>
          <w:rFonts w:ascii="Times New Roman;Times;serif" w:hAnsi="Times New Roman;Times;serif"/>
          <w:sz w:val="20"/>
        </w:rPr>
        <w:t>Written communications pursuant to Rule 425 under the Securities Act (17 CFR 230.425)</w:t>
      </w:r>
    </w:p>
    <w:p>
      <w:pPr>
        <w:pStyle w:val="TextBody"/>
        <w:bidi w:val="0"/>
        <w:spacing w:before="0" w:after="40"/>
        <w:ind w:left="0" w:right="0" w:hanging="0"/>
        <w:jc w:val="left"/>
        <w:rPr/>
      </w:pPr>
      <w:r>
        <w:rPr>
          <w:caps w:val="false"/>
          <w:smallCaps w:val="false"/>
        </w:rPr>
        <w:t>☒</w:t>
      </w:r>
      <w:r>
        <w:rPr>
          <w:rFonts w:ascii="Times New Roman;Times;serif" w:hAnsi="Times New Roman;Times;serif"/>
          <w:sz w:val="20"/>
        </w:rPr>
        <w:t>Soliciting material pursuant to Rule 14a-12 under the Exchange Act (17 CFR 240.14a-12)</w:t>
      </w:r>
    </w:p>
    <w:p>
      <w:pPr>
        <w:pStyle w:val="TextBody"/>
        <w:bidi w:val="0"/>
        <w:spacing w:before="0" w:after="40"/>
        <w:ind w:left="0" w:right="0" w:hanging="0"/>
        <w:jc w:val="left"/>
        <w:rPr/>
      </w:pPr>
      <w:r>
        <w:rPr>
          <w:caps w:val="false"/>
          <w:smallCaps w:val="false"/>
        </w:rPr>
        <w:t>☐</w:t>
      </w:r>
      <w:r>
        <w:rPr>
          <w:rFonts w:ascii="Times New Roman;Times;serif" w:hAnsi="Times New Roman;Times;serif"/>
          <w:sz w:val="20"/>
        </w:rPr>
        <w:t>Pre-commencement communications pursuant to Rule 14d-2(b) under the Exchange Act (17 CFR 240.14d-2(b))</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Pre-commencement communications pursuant to Rule 13e-4(c) under the Exchange Act (17 CFR 240.13e-4(c))</w:t>
      </w:r>
    </w:p>
    <w:p>
      <w:pPr>
        <w:pStyle w:val="TextBody"/>
        <w:bidi w:val="0"/>
        <w:spacing w:before="0" w:after="2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00"/>
        <w:ind w:left="0" w:right="0" w:hanging="0"/>
        <w:jc w:val="both"/>
        <w:rPr/>
      </w:pPr>
      <w:r>
        <w:rPr/>
        <w:t>​</w:t>
      </w:r>
    </w:p>
    <w:p>
      <w:pPr>
        <w:pStyle w:val="Normal"/>
        <w:bidi w:val="0"/>
        <w:spacing w:before="0" w:after="0"/>
        <w:jc w:val="left"/>
        <w:rPr>
          <w:sz w:val="4"/>
          <w:szCs w:val="4"/>
        </w:rPr>
      </w:pPr>
      <w:r>
        <w:rPr>
          <w:sz w:val="4"/>
          <w:szCs w:val="4"/>
        </w:rPr>
      </w:r>
      <w:bookmarkStart w:id="10" w:name="Tc_4Pmfsn9FaEqmcspXLIaMHA_2_2"/>
      <w:bookmarkStart w:id="11" w:name="Tc_dlfvjFTCwEyICWRevSf6uA_2_1"/>
      <w:bookmarkStart w:id="12" w:name="Tc_N_fnl2s0DUyfBV2lz0iEjQ_2_0"/>
      <w:bookmarkStart w:id="13" w:name="_2c51b3db_fa7d_4cdb_b58c_cedc7fd9e894"/>
      <w:bookmarkStart w:id="14" w:name="Tc_4Pmfsn9FaEqmcspXLIaMHA_2_2"/>
      <w:bookmarkStart w:id="15" w:name="Tc_dlfvjFTCwEyICWRevSf6uA_2_1"/>
      <w:bookmarkStart w:id="16" w:name="Tc_N_fnl2s0DUyfBV2lz0iEjQ_2_0"/>
      <w:bookmarkStart w:id="17" w:name="_2c51b3db_fa7d_4cdb_b58c_cedc7fd9e894"/>
      <w:bookmarkEnd w:id="14"/>
      <w:bookmarkEnd w:id="15"/>
      <w:bookmarkEnd w:id="16"/>
      <w:bookmarkEnd w:id="17"/>
    </w:p>
    <w:tbl>
      <w:tblPr>
        <w:tblW w:w="8868" w:type="dxa"/>
        <w:jc w:val="left"/>
        <w:tblInd w:w="0" w:type="dxa"/>
        <w:tblLayout w:type="fixed"/>
        <w:tblCellMar>
          <w:top w:w="0" w:type="dxa"/>
          <w:left w:w="0" w:type="dxa"/>
          <w:bottom w:w="0" w:type="dxa"/>
          <w:right w:w="0" w:type="dxa"/>
        </w:tblCellMar>
      </w:tblPr>
      <w:tblGrid>
        <w:gridCol w:w="3151"/>
        <w:gridCol w:w="1696"/>
        <w:gridCol w:w="4021"/>
      </w:tblGrid>
      <w:tr>
        <w:trPr/>
        <w:tc>
          <w:tcPr>
            <w:tcW w:w="3151" w:type="dxa"/>
            <w:tcBorders/>
            <w:vAlign w:val="center"/>
          </w:tcPr>
          <w:p>
            <w:pPr>
              <w:pStyle w:val="TableContents"/>
              <w:bidi w:val="0"/>
              <w:spacing w:before="0" w:after="0"/>
              <w:ind w:left="0" w:right="0" w:hanging="0"/>
              <w:jc w:val="left"/>
              <w:rPr/>
            </w:pPr>
            <w:r>
              <w:rPr/>
              <w:t>​</w:t>
            </w:r>
          </w:p>
        </w:tc>
        <w:tc>
          <w:tcPr>
            <w:tcW w:w="1696" w:type="dxa"/>
            <w:tcBorders/>
            <w:vAlign w:val="center"/>
          </w:tcPr>
          <w:p>
            <w:pPr>
              <w:pStyle w:val="TableContents"/>
              <w:bidi w:val="0"/>
              <w:spacing w:before="0" w:after="0"/>
              <w:ind w:left="0" w:right="0" w:hanging="0"/>
              <w:jc w:val="left"/>
              <w:rPr/>
            </w:pPr>
            <w:r>
              <w:rPr/>
              <w:t>​</w:t>
            </w:r>
          </w:p>
        </w:tc>
        <w:tc>
          <w:tcPr>
            <w:tcW w:w="4021" w:type="dxa"/>
            <w:tcBorders/>
            <w:vAlign w:val="center"/>
          </w:tcPr>
          <w:p>
            <w:pPr>
              <w:pStyle w:val="TableContents"/>
              <w:bidi w:val="0"/>
              <w:spacing w:before="0" w:after="0"/>
              <w:ind w:left="0" w:right="0" w:hanging="0"/>
              <w:jc w:val="left"/>
              <w:rPr/>
            </w:pPr>
            <w:r>
              <w:rPr/>
              <w:t>​</w:t>
            </w:r>
          </w:p>
        </w:tc>
      </w:tr>
      <w:tr>
        <w:trPr/>
        <w:tc>
          <w:tcPr>
            <w:tcW w:w="8868" w:type="dxa"/>
            <w:gridSpan w:val="3"/>
            <w:tcBorders>
              <w:bottom w:val="single" w:sz="8" w:space="0" w:color="000000"/>
            </w:tcBorders>
            <w:tcMar>
              <w:bottom w:w="28" w:type="dxa"/>
            </w:tcMar>
            <w:vAlign w:val="center"/>
          </w:tcPr>
          <w:p>
            <w:pPr>
              <w:pStyle w:val="TableContents"/>
              <w:bidi w:val="0"/>
              <w:spacing w:before="0" w:after="200"/>
              <w:ind w:left="0" w:right="0" w:hanging="0"/>
              <w:jc w:val="center"/>
              <w:rPr/>
            </w:pPr>
            <w:r>
              <w:rPr/>
              <w:t>​</w:t>
            </w:r>
          </w:p>
        </w:tc>
      </w:tr>
      <w:tr>
        <w:trPr/>
        <w:tc>
          <w:tcPr>
            <w:tcW w:w="3151" w:type="dxa"/>
            <w:tcBorders>
              <w:left w:val="single" w:sz="8" w:space="0" w:color="000000"/>
              <w:bottom w:val="single" w:sz="8" w:space="0" w:color="000000"/>
            </w:tcBorders>
            <w:tcMar>
              <w:left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696" w:type="dxa"/>
            <w:tcBorders>
              <w:top w:val="single" w:sz="8" w:space="0" w:color="000000"/>
              <w:left w:val="single" w:sz="8" w:space="0" w:color="000000"/>
              <w:bottom w:val="single" w:sz="8" w:space="0" w:color="000000"/>
            </w:tcBorders>
            <w:tcMar>
              <w:top w:w="28" w:type="dxa"/>
              <w:left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402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151" w:type="dxa"/>
            <w:tcBorders>
              <w:top w:val="single" w:sz="8" w:space="0" w:color="000000"/>
              <w:left w:val="single" w:sz="8" w:space="0" w:color="000000"/>
              <w:bottom w:val="single" w:sz="8" w:space="0" w:color="000000"/>
            </w:tcBorders>
            <w:tcMar>
              <w:top w:w="28" w:type="dxa"/>
              <w:left w:w="28" w:type="dxa"/>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par value $0.001 per share</w:t>
            </w:r>
          </w:p>
        </w:tc>
        <w:tc>
          <w:tcPr>
            <w:tcW w:w="1696" w:type="dxa"/>
            <w:tcBorders>
              <w:top w:val="single" w:sz="8" w:space="0" w:color="000000"/>
              <w:left w:val="single" w:sz="8" w:space="0" w:color="000000"/>
              <w:bottom w:val="single" w:sz="8" w:space="0" w:color="000000"/>
            </w:tcBorders>
            <w:tcMar>
              <w:top w:w="28" w:type="dxa"/>
              <w:left w:w="28" w:type="dxa"/>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LVLU</w:t>
            </w:r>
          </w:p>
        </w:tc>
        <w:tc>
          <w:tcPr>
            <w:tcW w:w="402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NASDAQ Stock Market LLC</w:t>
            </w:r>
          </w:p>
        </w:tc>
      </w:tr>
    </w:tbl>
    <w:p>
      <w:pPr>
        <w:pStyle w:val="TextBody"/>
        <w:bidi w:val="0"/>
        <w:spacing w:before="0" w:after="0"/>
        <w:ind w:left="0" w:right="0" w:hanging="0"/>
        <w:jc w:val="left"/>
        <w:rPr/>
      </w:pPr>
      <w:r>
        <w:rPr/>
        <w:t>​</w:t>
      </w:r>
    </w:p>
    <w:p>
      <w:pPr>
        <w:pStyle w:val="TextBody"/>
        <w:bidi w:val="0"/>
        <w:spacing w:before="0" w:after="4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40"/>
        <w:ind w:left="0" w:right="0" w:hanging="0"/>
        <w:jc w:val="both"/>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Item 2.02 Results of Operations and Financial Condition.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On March 30, 2026, Lulu’s Fashion Lounge Holdings, Inc. (“Lulus”) issued a press release containing Lulus’ financial results for its fourth quarter and fiscal year ended December 28, 2025 and issued its financial outlook for the fiscal year ending January 3, 2027. A copy of Lulus’ press release is attached hereto as Exhibit 99.1.</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information contained in this Current Report shall not be deemed “filed” for purposes of Section 18 of the Securities Exchange Act of 1934, as amended (the “Exchange Act”), or incorporated by reference in any filing under the Securities Act of 1933, as amended (the “Securities Act”), or the Exchange Act, except as shall be expressly set forth by specific reference in such a filing.</w:t>
      </w:r>
    </w:p>
    <w:p>
      <w:pPr>
        <w:pStyle w:val="TextBody"/>
        <w:bidi w:val="0"/>
        <w:spacing w:before="0" w:after="200"/>
        <w:ind w:left="0" w:right="0" w:firstLine="72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7.01  Regulation FD Disclosure.</w:t>
      </w:r>
    </w:p>
    <w:p>
      <w:pPr>
        <w:pStyle w:val="TextBody"/>
        <w:bidi w:val="0"/>
        <w:spacing w:before="0" w:after="20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will be discussed in today’s conference call relating to Lulus’ fourth quarter and full year 2025 financial results, the Board of Directors has approved an amendment to Lulus’ Fourth Amended and Restated Certificate of Incorporation to decrease the number of authorized shares of common stock from 250 million to 15 million and the number of authorized shares of preferred stock from 10 million to 500 thousand (the “Charter Amendment Proposal”), contingent on stockholder approval at Lulus’ 2026 Annual Meeting of Stockholders (the “Annual Meeting”).</w:t>
      </w:r>
    </w:p>
    <w:p>
      <w:pPr>
        <w:pStyle w:val="TextBody"/>
        <w:bidi w:val="0"/>
        <w:spacing w:before="0" w:after="20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information contained in this Current Report shall not be deemed “filed” for purposes of Section 18 of the Exchange Act, or incorporated by reference in any filing under the Securities Act or the Exchange Act, except as shall be expressly set forth by specific reference in such a filing.</w:t>
      </w:r>
    </w:p>
    <w:p>
      <w:pPr>
        <w:pStyle w:val="TextBody"/>
        <w:bidi w:val="0"/>
        <w:spacing w:before="0" w:after="20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Additional Information and Where to Find It</w:t>
      </w:r>
    </w:p>
    <w:p>
      <w:pPr>
        <w:pStyle w:val="TextBody"/>
        <w:bidi w:val="0"/>
        <w:spacing w:before="0" w:after="200"/>
        <w:ind w:left="0" w:right="0" w:firstLine="720"/>
        <w:jc w:val="both"/>
        <w:rPr/>
      </w:pPr>
      <w:r>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This communication may be deemed to be solicitation material in connection with the Charter Amendment Proposal to be submitted to Lulus’ stockholders at the Annual Meeting. This Current Report does not contain all the information that should be considered by stockholders concerning the Charter Amendment Proposal and is not intended to form the basis of any voting decision in respect of the Charter Amendment Proposal. In connection with the Charter Amendment Proposal and the other matters to be considered at the Annual Meeting, Lulus plans to file a definitive proxy statement on Schedule 14A with the Securities and Exchange Commission (the “SEC”). Once available, stockholders and other interested persons are encouraged to read the definitive proxy statement and other relevant documents filed with the SEC. Investors and other interested parties will be able to obtain the proxy materials free of charge on Lulus’ investor relations website, investors.lulus.com, or on the SEC’s website, www.sec.gov.</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Participants in the Solicitation</w:t>
      </w:r>
    </w:p>
    <w:p>
      <w:pPr>
        <w:pStyle w:val="TextBody"/>
        <w:bidi w:val="0"/>
        <w:spacing w:before="0" w:after="200"/>
        <w:ind w:left="0" w:right="0" w:firstLine="720"/>
        <w:jc w:val="both"/>
        <w:rPr/>
      </w:pPr>
      <w:r>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Lulus and its directors and executive officers may be deemed participants in the solicitation of proxies from Lulus’ stockholders with respect to the Charter Amendment Proposal. Information regarding the directors and executive officers, including a description of their interests in Lulus, can be found in Lulus’ proxy materials to be filed in connection with the Annual Meeting, which will be available free of charge on the websites indicated above.</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Forward-Looking Statements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This Current Report contains “forward-looking statements” within the Private Securities Litigation Reform Act of 1995. All statements other than statements of historical or current fact included in this Current Report are forward-looking statements, including but not limited to statements regarding our Annual Meeting. These statements are neither promises nor guarantees, but involve known and unknown risks, uncertainties and other important factors that may cause  actual results to be materially different from those expressed or implied by the forward-looking statements, including, but not limited to, the risk factors discussed in Part I, Item 1A, “Risk Factors” in Lulus’ Annual Report on Form 10-K for the fiscal year ended December 29, 2024, Part II, Item IA, “Risk Factors” in Lulus’ Quarterly Reports on Form 10-Q for the fiscal quarters ended March 30, 2025 and June 29, 2025, and Lulus’ other filings with the SEC which could cause actual results to differ materially from those indicated by the forward-looking statements made in this Current Report. Any such forward-looking statements represent management’s estimates as of the date of this Current Report. While Lulus may elect to update such forward-looking statements at some point in the future, it disclaims any obligation to do so, except as required by law, even if subsequent events cause its views to change.</w:t>
      </w:r>
    </w:p>
    <w:p>
      <w:pPr>
        <w:pStyle w:val="TextBody"/>
        <w:bidi w:val="0"/>
        <w:spacing w:before="0" w:after="20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Item 9.01 Financial Statements and Exhibits.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(d)  Exhibits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exhibits are furnished herewith:</w:t>
      </w:r>
    </w:p>
    <w:tbl>
      <w:tblPr>
        <w:tblW w:w="6954" w:type="dxa"/>
        <w:jc w:val="left"/>
        <w:tblInd w:w="0" w:type="dxa"/>
        <w:tblLayout w:type="fixed"/>
        <w:tblCellMar>
          <w:top w:w="0" w:type="dxa"/>
          <w:left w:w="0" w:type="dxa"/>
          <w:bottom w:w="0" w:type="dxa"/>
          <w:right w:w="0" w:type="dxa"/>
        </w:tblCellMar>
      </w:tblPr>
      <w:tblGrid>
        <w:gridCol w:w="124"/>
        <w:gridCol w:w="109"/>
        <w:gridCol w:w="672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78740" cy="175260"/>
                      <wp:effectExtent l="0" t="0" r="0" b="0"/>
                      <wp:wrapNone/>
                      <wp:docPr id="2" name="Frame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175260"/>
                      <wp:effectExtent l="0" t="0" r="0" b="0"/>
                      <wp:wrapNone/>
                      <wp:docPr id="3"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267835" cy="175260"/>
                      <wp:effectExtent l="0" t="0" r="0" b="0"/>
                      <wp:wrapNone/>
                      <wp:docPr id="4" name="Frame3"/>
                      <a:graphic xmlns:a="http://schemas.openxmlformats.org/drawingml/2006/main">
                        <a:graphicData uri="http://schemas.microsoft.com/office/word/2010/wordprocessingShape">
                          <wps:wsp>
                            <wps:cNvSpPr txBox="1"/>
                            <wps:spPr>
                              <a:xfrm>
                                <a:off x="0" y="0"/>
                                <a:ext cx="426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78740" cy="304165"/>
                      <wp:effectExtent l="0" t="0" r="0" b="0"/>
                      <wp:wrapNone/>
                      <wp:docPr id="5" name="Frame4"/>
                      <a:graphic xmlns:a="http://schemas.openxmlformats.org/drawingml/2006/main">
                        <a:graphicData uri="http://schemas.microsoft.com/office/word/2010/wordprocessingShape">
                          <wps:wsp>
                            <wps:cNvSpPr txBox="1"/>
                            <wps:spPr>
                              <a:xfrm>
                                <a:off x="0" y="0"/>
                                <a:ext cx="78740" cy="30416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Exhibit 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Exhibit Number</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304165"/>
                      <wp:effectExtent l="0" t="0" r="0" b="0"/>
                      <wp:wrapNone/>
                      <wp:docPr id="6" name="Frame5"/>
                      <a:graphic xmlns:a="http://schemas.openxmlformats.org/drawingml/2006/main">
                        <a:graphicData uri="http://schemas.microsoft.com/office/word/2010/wordprocessingShape">
                          <wps:wsp>
                            <wps:cNvSpPr txBox="1"/>
                            <wps:spPr>
                              <a:xfrm>
                                <a:off x="0" y="0"/>
                                <a:ext cx="69215" cy="304165"/>
                              </a:xfrm>
                              <a:prstGeom prst="rect"/>
                              <a:solidFill>
                                <a:srgbClr val="FFFFFF"/>
                              </a:solidFill>
                            </wps:spPr>
                            <wps:txbx>
                              <w:txbxContent>
                                <w:p>
                                  <w:pPr>
                                    <w:pStyle w:val="TableContents"/>
                                    <w:bidi w:val="0"/>
                                    <w:spacing w:before="0" w:after="0"/>
                                    <w:ind w:left="0" w:right="0" w:hanging="0"/>
                                    <w:jc w:val="left"/>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 ​ ​</w:t>
                            </w:r>
                          </w:p>
                        </w:txbxContent>
                      </v:textbox>
                      <w10:wrap type="none"/>
                    </v:rect>
                  </w:pict>
                </mc:Fallback>
              </mc:AlternateContent>
            </w:r>
          </w:p>
        </w:tc>
        <w:tc>
          <w:tcPr>
            <w:tcW w:w="6721"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267835" cy="146685"/>
                      <wp:effectExtent l="0" t="0" r="0" b="0"/>
                      <wp:wrapNone/>
                      <wp:docPr id="7" name="Frame6"/>
                      <a:graphic xmlns:a="http://schemas.openxmlformats.org/drawingml/2006/main">
                        <a:graphicData uri="http://schemas.microsoft.com/office/word/2010/wordprocessingShape">
                          <wps:wsp>
                            <wps:cNvSpPr txBox="1"/>
                            <wps:spPr>
                              <a:xfrm>
                                <a:off x="0" y="0"/>
                                <a:ext cx="4267835" cy="14668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Description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0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Description</w:t>
                            </w:r>
                          </w:p>
                        </w:txbxContent>
                      </v:textbox>
                      <w10:wrap type="none"/>
                    </v:rect>
                  </w:pict>
                </mc:Fallback>
              </mc:AlternateContent>
            </w:r>
          </w:p>
        </w:tc>
      </w:tr>
      <w:tr>
        <w:trPr/>
        <w:tc>
          <w:tcPr>
            <w:tcW w:w="124"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78740" cy="586740"/>
                      <wp:effectExtent l="0" t="0" r="0" b="0"/>
                      <wp:wrapNone/>
                      <wp:docPr id="8" name="Frame7"/>
                      <a:graphic xmlns:a="http://schemas.openxmlformats.org/drawingml/2006/main">
                        <a:graphicData uri="http://schemas.microsoft.com/office/word/2010/wordprocessingShape">
                          <wps:wsp>
                            <wps:cNvSpPr txBox="1"/>
                            <wps:spPr>
                              <a:xfrm>
                                <a:off x="0" y="0"/>
                                <a:ext cx="78740" cy="58674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99.1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99.1</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9215" cy="175260"/>
                      <wp:effectExtent l="0" t="0" r="0" b="0"/>
                      <wp:wrapNone/>
                      <wp:docPr id="9" name="Frame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21" w:type="dxa"/>
            <w:tcBorders>
              <w:top w:val="single" w:sz="2" w:space="0" w:color="000000"/>
            </w:tcBorders>
            <w:tcMar>
              <w:top w:w="28" w:type="dxa"/>
            </w:tcMar>
            <w:vAlign w:val="center"/>
          </w:tcPr>
          <w:p>
            <w:pPr>
              <w:pStyle w:val="TableContents"/>
              <w:bidi w:val="0"/>
              <w:spacing w:before="0" w:after="30"/>
              <w:ind w:left="0" w:right="0" w:hanging="0"/>
              <w:jc w:val="left"/>
              <w:rPr/>
            </w:pPr>
            <w:hyperlink w:anchor="lvlu-20260330xex99d1.htm">
              <w:r>
                <w:rPr>
                  <w:rStyle w:val="InternetLink"/>
                  <w:rFonts w:ascii="Times New Roman;Times;serif" w:hAnsi="Times New Roman;Times;serif"/>
                  <w:b w:val="false"/>
                  <w:i w:val="false"/>
                  <w:caps w:val="false"/>
                  <w:smallCaps w:val="false"/>
                  <w:sz w:val="20"/>
                </w:rPr>
                <w:t>Press release issued by Lulu’s Fashion Lounge Holdings, Inc. on March 30, 2026.</w:t>
              </w:r>
            </w:hyperlink>
          </w:p>
          <w:p>
            <w:pPr>
              <w:pStyle w:val="TableContents"/>
              <w:bidi w:val="0"/>
              <w:spacing w:before="0" w:after="30"/>
              <w:ind w:left="0" w:right="0" w:hanging="0"/>
              <w:jc w:val="left"/>
              <w:rPr/>
            </w:pPr>
            <w:r>
              <w:rPr/>
              <w:t>​</w:t>
            </w:r>
          </w:p>
          <w:p>
            <w:pPr>
              <w:pStyle w:val="TableContents"/>
              <w:bidi w:val="0"/>
              <w:spacing w:before="0" w:after="3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78740" cy="440055"/>
                      <wp:effectExtent l="0" t="0" r="0" b="0"/>
                      <wp:wrapNone/>
                      <wp:docPr id="10" name="Frame9"/>
                      <a:graphic xmlns:a="http://schemas.openxmlformats.org/drawingml/2006/main">
                        <a:graphicData uri="http://schemas.microsoft.com/office/word/2010/wordprocessingShape">
                          <wps:wsp>
                            <wps:cNvSpPr txBox="1"/>
                            <wps:spPr>
                              <a:xfrm>
                                <a:off x="0" y="0"/>
                                <a:ext cx="78740" cy="44005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4.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104</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9215" cy="175260"/>
                      <wp:effectExtent l="0" t="0" r="0" b="0"/>
                      <wp:wrapNone/>
                      <wp:docPr id="11" name="Frame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21"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0"/>
        <w:ind w:left="0" w:right="0" w:hanging="0"/>
        <w:jc w:val="left"/>
        <w:rPr/>
      </w:pPr>
      <w:r>
        <w:rPr/>
        <w:t>​</w:t>
      </w:r>
    </w:p>
    <w:p>
      <w:pPr>
        <w:pStyle w:val="TextBody"/>
        <w:bidi w:val="0"/>
        <w:spacing w:before="0" w:after="200"/>
        <w:ind w:left="0" w:right="0" w:hanging="0"/>
        <w:jc w:val="both"/>
        <w:rPr/>
      </w:pPr>
      <w:r>
        <w:rPr/>
        <w:t>​</w:t>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200"/>
        <w:ind w:left="0" w:right="0" w:hanging="0"/>
        <w:jc w:val="center"/>
        <w:rPr/>
      </w:pPr>
      <w:r>
        <w:rPr/>
        <w:t>​</w:t>
      </w:r>
    </w:p>
    <w:tbl>
      <w:tblPr>
        <w:tblW w:w="5613" w:type="dxa"/>
        <w:jc w:val="left"/>
        <w:tblInd w:w="0" w:type="dxa"/>
        <w:tblLayout w:type="fixed"/>
        <w:tblCellMar>
          <w:top w:w="0" w:type="dxa"/>
          <w:left w:w="0" w:type="dxa"/>
          <w:bottom w:w="0" w:type="dxa"/>
          <w:right w:w="0" w:type="dxa"/>
        </w:tblCellMar>
      </w:tblPr>
      <w:tblGrid>
        <w:gridCol w:w="556"/>
        <w:gridCol w:w="1396"/>
        <w:gridCol w:w="346"/>
        <w:gridCol w:w="543"/>
        <w:gridCol w:w="2772"/>
      </w:tblGrid>
      <w:tr>
        <w:trPr/>
        <w:tc>
          <w:tcPr>
            <w:tcW w:w="55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left"/>
              <w:rPr/>
            </w:pPr>
            <w:r>
              <w:rPr/>
              <w:t>​</w:t>
            </w:r>
          </w:p>
        </w:tc>
        <w:tc>
          <w:tcPr>
            <w:tcW w:w="2772"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200"/>
              <w:ind w:left="0" w:right="0" w:hanging="0"/>
              <w:jc w:val="both"/>
              <w:rPr/>
            </w:pPr>
            <w:r>
              <w:rPr/>
              <w:t>​</w:t>
            </w:r>
          </w:p>
        </w:tc>
        <w:tc>
          <w:tcPr>
            <w:tcW w:w="1396" w:type="dxa"/>
            <w:tcBorders/>
            <w:vAlign w:val="center"/>
          </w:tcPr>
          <w:p>
            <w:pPr>
              <w:pStyle w:val="TableContents"/>
              <w:bidi w:val="0"/>
              <w:spacing w:before="0" w:after="200"/>
              <w:ind w:left="0" w:right="0" w:hanging="0"/>
              <w:jc w:val="both"/>
              <w:rPr/>
            </w:pPr>
            <w:r>
              <w:rPr/>
              <w:t>​</w:t>
            </w:r>
          </w:p>
        </w:tc>
        <w:tc>
          <w:tcPr>
            <w:tcW w:w="346" w:type="dxa"/>
            <w:tcBorders/>
            <w:vAlign w:val="center"/>
          </w:tcPr>
          <w:p>
            <w:pPr>
              <w:pStyle w:val="TableContents"/>
              <w:bidi w:val="0"/>
              <w:spacing w:before="0" w:after="0"/>
              <w:ind w:left="0" w:right="0" w:hanging="0"/>
              <w:jc w:val="both"/>
              <w:rPr/>
            </w:pPr>
            <w:r>
              <w:rPr/>
              <w:t>  ​ ​ ​</w:t>
            </w:r>
          </w:p>
        </w:tc>
        <w:tc>
          <w:tcPr>
            <w:tcW w:w="3315" w:type="dxa"/>
            <w:gridSpan w:val="2"/>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Lulu’s Fashion Lounge Holdings, Inc.</w:t>
            </w:r>
          </w:p>
        </w:tc>
      </w:tr>
      <w:tr>
        <w:trPr/>
        <w:tc>
          <w:tcPr>
            <w:tcW w:w="556" w:type="dxa"/>
            <w:tcBorders/>
            <w:vAlign w:val="center"/>
          </w:tcPr>
          <w:p>
            <w:pPr>
              <w:pStyle w:val="TableContents"/>
              <w:bidi w:val="0"/>
              <w:spacing w:before="0" w:after="200"/>
              <w:ind w:left="0" w:right="0" w:hanging="0"/>
              <w:jc w:val="both"/>
              <w:rPr/>
            </w:pPr>
            <w:r>
              <w:rPr/>
              <w:t>​</w:t>
            </w:r>
          </w:p>
        </w:tc>
        <w:tc>
          <w:tcPr>
            <w:tcW w:w="1396" w:type="dxa"/>
            <w:tcBorders/>
            <w:vAlign w:val="center"/>
          </w:tcPr>
          <w:p>
            <w:pPr>
              <w:pStyle w:val="TableContents"/>
              <w:bidi w:val="0"/>
              <w:spacing w:before="0" w:after="200"/>
              <w:ind w:left="0" w:right="0" w:hanging="0"/>
              <w:jc w:val="both"/>
              <w:rPr/>
            </w:pPr>
            <w:r>
              <w:rPr/>
              <w:t>​</w:t>
            </w:r>
          </w:p>
        </w:tc>
        <w:tc>
          <w:tcPr>
            <w:tcW w:w="346" w:type="dxa"/>
            <w:tcBorders/>
            <w:vAlign w:val="center"/>
          </w:tcPr>
          <w:p>
            <w:pPr>
              <w:pStyle w:val="TableContents"/>
              <w:bidi w:val="0"/>
              <w:spacing w:before="0" w:after="200"/>
              <w:ind w:left="0" w:right="0" w:hanging="0"/>
              <w:jc w:val="both"/>
              <w:rPr/>
            </w:pPr>
            <w:r>
              <w:rPr/>
              <w:t>​</w:t>
            </w:r>
          </w:p>
        </w:tc>
        <w:tc>
          <w:tcPr>
            <w:tcW w:w="3315" w:type="dxa"/>
            <w:gridSpan w:val="2"/>
            <w:tcBorders/>
            <w:vAlign w:val="center"/>
          </w:tcPr>
          <w:p>
            <w:pPr>
              <w:pStyle w:val="TableContents"/>
              <w:bidi w:val="0"/>
              <w:spacing w:before="0" w:after="200"/>
              <w:ind w:left="0" w:right="0" w:hanging="0"/>
              <w:jc w:val="both"/>
              <w:rPr/>
            </w:pPr>
            <w:r>
              <w:rPr/>
              <w:t>​</w:t>
            </w:r>
          </w:p>
        </w:tc>
      </w:tr>
      <w:tr>
        <w:trPr/>
        <w:tc>
          <w:tcPr>
            <w:tcW w:w="5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13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March 30, 2026</w:t>
            </w:r>
          </w:p>
        </w:tc>
        <w:tc>
          <w:tcPr>
            <w:tcW w:w="346" w:type="dxa"/>
            <w:tcBorders/>
            <w:vAlign w:val="center"/>
          </w:tcPr>
          <w:p>
            <w:pPr>
              <w:pStyle w:val="TableContents"/>
              <w:bidi w:val="0"/>
              <w:spacing w:before="0" w:after="200"/>
              <w:ind w:left="0" w:right="0" w:hanging="0"/>
              <w:jc w:val="both"/>
              <w:rPr/>
            </w:pPr>
            <w:r>
              <w:rPr/>
              <w:t>​</w:t>
            </w:r>
          </w:p>
        </w:tc>
        <w:tc>
          <w:tcPr>
            <w:tcW w:w="54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2772"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Crystal Landsem</w:t>
            </w:r>
          </w:p>
        </w:tc>
      </w:tr>
      <w:tr>
        <w:trPr/>
        <w:tc>
          <w:tcPr>
            <w:tcW w:w="556" w:type="dxa"/>
            <w:tcBorders/>
            <w:vAlign w:val="center"/>
          </w:tcPr>
          <w:p>
            <w:pPr>
              <w:pStyle w:val="TableContents"/>
              <w:bidi w:val="0"/>
              <w:spacing w:before="0" w:after="200"/>
              <w:ind w:left="0" w:right="0" w:hanging="0"/>
              <w:jc w:val="both"/>
              <w:rPr/>
            </w:pPr>
            <w:r>
              <w:rPr/>
              <w:t>​</w:t>
            </w:r>
          </w:p>
        </w:tc>
        <w:tc>
          <w:tcPr>
            <w:tcW w:w="1396" w:type="dxa"/>
            <w:tcBorders/>
            <w:vAlign w:val="center"/>
          </w:tcPr>
          <w:p>
            <w:pPr>
              <w:pStyle w:val="TableContents"/>
              <w:bidi w:val="0"/>
              <w:spacing w:before="0" w:after="200"/>
              <w:ind w:left="0" w:right="0" w:hanging="0"/>
              <w:jc w:val="both"/>
              <w:rPr/>
            </w:pPr>
            <w:r>
              <w:rPr/>
              <w:t>​</w:t>
            </w:r>
          </w:p>
        </w:tc>
        <w:tc>
          <w:tcPr>
            <w:tcW w:w="346" w:type="dxa"/>
            <w:tcBorders/>
            <w:vAlign w:val="center"/>
          </w:tcPr>
          <w:p>
            <w:pPr>
              <w:pStyle w:val="TableContents"/>
              <w:bidi w:val="0"/>
              <w:spacing w:before="0" w:after="200"/>
              <w:ind w:left="0" w:right="0" w:hanging="0"/>
              <w:jc w:val="both"/>
              <w:rPr/>
            </w:pPr>
            <w:r>
              <w:rPr/>
              <w:t>​</w:t>
            </w:r>
          </w:p>
        </w:tc>
        <w:tc>
          <w:tcPr>
            <w:tcW w:w="543" w:type="dxa"/>
            <w:tcBorders/>
            <w:vAlign w:val="center"/>
          </w:tcPr>
          <w:p>
            <w:pPr>
              <w:pStyle w:val="TableContents"/>
              <w:bidi w:val="0"/>
              <w:spacing w:before="0" w:after="200"/>
              <w:ind w:left="0" w:right="0" w:hanging="0"/>
              <w:jc w:val="both"/>
              <w:rPr/>
            </w:pPr>
            <w:r>
              <w:rPr/>
              <w:t>​</w:t>
            </w:r>
          </w:p>
        </w:tc>
        <w:tc>
          <w:tcPr>
            <w:tcW w:w="2772" w:type="dxa"/>
            <w:tcBorders>
              <w:top w:val="single" w:sz="8"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Crystal Landsem</w:t>
            </w:r>
          </w:p>
        </w:tc>
      </w:tr>
      <w:tr>
        <w:trPr/>
        <w:tc>
          <w:tcPr>
            <w:tcW w:w="556" w:type="dxa"/>
            <w:tcBorders/>
            <w:vAlign w:val="center"/>
          </w:tcPr>
          <w:p>
            <w:pPr>
              <w:pStyle w:val="TableContents"/>
              <w:bidi w:val="0"/>
              <w:spacing w:before="0" w:after="200"/>
              <w:ind w:left="0" w:right="0" w:hanging="0"/>
              <w:jc w:val="both"/>
              <w:rPr/>
            </w:pPr>
            <w:r>
              <w:rPr/>
              <w:t>​</w:t>
            </w:r>
          </w:p>
        </w:tc>
        <w:tc>
          <w:tcPr>
            <w:tcW w:w="1396" w:type="dxa"/>
            <w:tcBorders/>
            <w:vAlign w:val="center"/>
          </w:tcPr>
          <w:p>
            <w:pPr>
              <w:pStyle w:val="TableContents"/>
              <w:bidi w:val="0"/>
              <w:spacing w:before="0" w:after="200"/>
              <w:ind w:left="0" w:right="0" w:hanging="0"/>
              <w:jc w:val="both"/>
              <w:rPr/>
            </w:pPr>
            <w:r>
              <w:rPr/>
              <w:t>​</w:t>
            </w:r>
          </w:p>
        </w:tc>
        <w:tc>
          <w:tcPr>
            <w:tcW w:w="346" w:type="dxa"/>
            <w:tcBorders/>
            <w:vAlign w:val="center"/>
          </w:tcPr>
          <w:p>
            <w:pPr>
              <w:pStyle w:val="TableContents"/>
              <w:bidi w:val="0"/>
              <w:spacing w:before="0" w:after="200"/>
              <w:ind w:left="0" w:right="0" w:hanging="0"/>
              <w:jc w:val="both"/>
              <w:rPr/>
            </w:pPr>
            <w:r>
              <w:rPr/>
              <w:t>​</w:t>
            </w:r>
          </w:p>
        </w:tc>
        <w:tc>
          <w:tcPr>
            <w:tcW w:w="543" w:type="dxa"/>
            <w:tcBorders/>
            <w:vAlign w:val="center"/>
          </w:tcPr>
          <w:p>
            <w:pPr>
              <w:pStyle w:val="TableContents"/>
              <w:bidi w:val="0"/>
              <w:spacing w:before="0" w:after="200"/>
              <w:ind w:left="0" w:right="0" w:hanging="0"/>
              <w:jc w:val="both"/>
              <w:rPr/>
            </w:pPr>
            <w:r>
              <w:rPr/>
              <w:t>​</w:t>
            </w:r>
          </w:p>
        </w:tc>
        <w:tc>
          <w:tcPr>
            <w:tcW w:w="277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right"/>
        <w:rPr>
          <w:rFonts w:ascii="Times New Roman;Times;serif" w:hAnsi="Times New Roman;Times;serif"/>
          <w:b/>
          <w:sz w:val="20"/>
        </w:rPr>
      </w:pPr>
      <w:bookmarkStart w:id="18" w:name="lvlu-20260330xex99d1.htm"/>
      <w:bookmarkStart w:id="19" w:name="kslvlu20260330xex99d1"/>
      <w:bookmarkEnd w:id="18"/>
      <w:bookmarkEnd w:id="19"/>
      <w:r>
        <w:rPr>
          <w:rFonts w:ascii="Times New Roman;Times;serif" w:hAnsi="Times New Roman;Times;serif"/>
          <w:b/>
          <w:sz w:val="20"/>
        </w:rPr>
        <w:t>Exhibit 99.1</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Lulus Reports Fourth Quarter and Fiscal Year 2025 Results</w:t>
      </w:r>
    </w:p>
    <w:p>
      <w:pPr>
        <w:pStyle w:val="TextBody"/>
        <w:bidi w:val="0"/>
        <w:spacing w:lineRule="auto" w:line="304" w:before="0" w:after="0"/>
        <w:ind w:left="0" w:right="0" w:hanging="0"/>
        <w:jc w:val="center"/>
        <w:rPr>
          <w:rFonts w:ascii="Times New Roman;Times;serif" w:hAnsi="Times New Roman;Times;serif"/>
          <w:b/>
          <w:i/>
          <w:sz w:val="18"/>
        </w:rPr>
      </w:pPr>
      <w:r>
        <w:rPr>
          <w:rFonts w:ascii="Times New Roman;Times;serif" w:hAnsi="Times New Roman;Times;serif"/>
          <w:b/>
          <w:i/>
          <w:sz w:val="18"/>
        </w:rPr>
        <w:t>Gross profit increased 11% in Q4’25 vs Q4’24</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CHICO, Calif., March 30, 2026 -- Lulu’s Fashion Lounge Holdings, Inc. (“Lulus” or the “Company”) (Nasdaq: LVLU) today reported financial results for the fourth quarter and fiscal year ended December 28, 2025 and issued its financial outlook for the fiscal year ending January 3, 2027.</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Crystal Landsem, CEO of Lulus, said:</w:t>
      </w:r>
    </w:p>
    <w:p>
      <w:pPr>
        <w:pStyle w:val="TextBody"/>
        <w:bidi w:val="0"/>
        <w:spacing w:before="0" w:after="0"/>
        <w:ind w:left="0" w:right="0" w:hanging="0"/>
        <w:jc w:val="both"/>
        <w:rPr/>
      </w:pPr>
      <w:r>
        <w:rPr/>
        <w:t>“</w:t>
      </w:r>
      <w:r>
        <w:rPr>
          <w:rFonts w:ascii="Times New Roman;Times;serif" w:hAnsi="Times New Roman;Times;serif"/>
          <w:sz w:val="20"/>
        </w:rPr>
        <w:t>Our fourth quarter results highlight the significant, steady progress we delivered in 2025, and represent another proof point of the momentum building across the business. Throughout the year, we saw sequential quarterly improvement in our year-over-year net revenue comparisons. In 2025, we made substantial progress towards profitability, including four consecutive quarters of product margin expansion resulting in a 200-basis-point gross margin improvement for the year. These results reinforce the impact of our focused assortment strategy, ongoing optimization efforts, and higher margin event-driven mix. </w:t>
      </w:r>
    </w:p>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Importantly, we delivered our third consecutive quarter of positive Adjusted EBITDA, supported by our leaner cost structure and product margin gains. As we continue to reposition our casual wear and footwear categories, the measurable progress we’ve made each quarter gives us strong conviction in our strategy and key priorities. We believe we entered 2026 well positioned to extend our positive momentum through disciplined execution and capitalizing on our strengths in event dressing. We remain committed to fueling our core business and broadening and enhancing customer engagement to unlock sustainable, long-term profitability.”</w:t>
      </w:r>
    </w:p>
    <w:p>
      <w:pPr>
        <w:pStyle w:val="TextBody"/>
        <w:bidi w:val="0"/>
        <w:spacing w:before="100" w:after="10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Fourth Quarter 2025 Highlights: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increased 11% to $27.9 million and Gross Margin increased 640 basis points to 44.3%, in each case compared to the same period last year.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revenue of $63.0 million, a 5% decrease compared to the same period last year, driven by an 11% decrease in Total Orders Placed, partially offset by a 6% increase in Average Order Value (“AOV”) from $129 to $137, compared to the same period last year.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loss of $0.4 million, compared to net loss of $31.9 million, or net loss of $3.4 million excluding a non-cash goodwill impairment charge of $28.4 million, in the same period last year. </w:t>
            </w:r>
          </w:p>
        </w:tc>
      </w:tr>
    </w:tbl>
    <w:tbl>
      <w:tblPr>
        <w:tblW w:w="7623" w:type="dxa"/>
        <w:jc w:val="left"/>
        <w:tblInd w:w="0" w:type="dxa"/>
        <w:tblLayout w:type="fixed"/>
        <w:tblCellMar>
          <w:top w:w="0" w:type="dxa"/>
          <w:left w:w="0" w:type="dxa"/>
          <w:bottom w:w="0" w:type="dxa"/>
          <w:right w:w="0" w:type="dxa"/>
        </w:tblCellMar>
      </w:tblPr>
      <w:tblGrid>
        <w:gridCol w:w="23"/>
        <w:gridCol w:w="170"/>
        <w:gridCol w:w="74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of $2.6 million, compared to $(3.3) million in the same period last year.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of $3.8 million, compared to net cash used in operating activities of $2.5 million in the same period last year.</w:t>
            </w:r>
          </w:p>
        </w:tc>
      </w:tr>
    </w:tbl>
    <w:tbl>
      <w:tblPr>
        <w:tblW w:w="7503" w:type="dxa"/>
        <w:jc w:val="left"/>
        <w:tblInd w:w="0" w:type="dxa"/>
        <w:tblLayout w:type="fixed"/>
        <w:tblCellMar>
          <w:top w:w="0" w:type="dxa"/>
          <w:left w:w="0" w:type="dxa"/>
          <w:bottom w:w="0" w:type="dxa"/>
          <w:right w:w="0" w:type="dxa"/>
        </w:tblCellMar>
      </w:tblPr>
      <w:tblGrid>
        <w:gridCol w:w="23"/>
        <w:gridCol w:w="170"/>
        <w:gridCol w:w="73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Cash Flow* of $(4.3) million, compared to $(3.0) million in the same period last year.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 represents a non-GAAP financial measure. See “Use of Non-GAAP Financial Measures and Other Operating Metrics” section below for definitions of these metrics.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Fiscal Year 2025 Highlights: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decreased 6% to $122.1 million but Gross Margin increased 200 basis points to 43.2%, in each case compared to 2024.</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revenue of $282.3 million, an 11% decrease compared to 2024, driven by a 15% decrease in Total Orders Placed, partially offset by a 2% increase in AOV from $137 to $140, compared to 2024. </w:t>
            </w:r>
          </w:p>
        </w:tc>
      </w:tr>
    </w:tbl>
    <w:tbl>
      <w:tblPr>
        <w:tblW w:w="6858" w:type="dxa"/>
        <w:jc w:val="left"/>
        <w:tblInd w:w="0" w:type="dxa"/>
        <w:tblLayout w:type="fixed"/>
        <w:tblCellMar>
          <w:top w:w="0" w:type="dxa"/>
          <w:left w:w="0" w:type="dxa"/>
          <w:bottom w:w="0" w:type="dxa"/>
          <w:right w:w="0" w:type="dxa"/>
        </w:tblCellMar>
      </w:tblPr>
      <w:tblGrid>
        <w:gridCol w:w="23"/>
        <w:gridCol w:w="170"/>
        <w:gridCol w:w="66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Active Customers of 2.3 million, a 11% decrease compared to 2.6 million in 2024.</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of $13.7 million, compared to net loss of $55.3 million in 2024. Included in net loss for 2024 was a non-cash goodwill impairment charge of $28.4 million.  Excluding the non-cash goodwill impairment charge, our net loss in 2024 was $26.9 million.</w:t>
            </w:r>
          </w:p>
        </w:tc>
      </w:tr>
    </w:tbl>
    <w:tbl>
      <w:tblPr>
        <w:tblW w:w="6168" w:type="dxa"/>
        <w:jc w:val="left"/>
        <w:tblInd w:w="0" w:type="dxa"/>
        <w:tblLayout w:type="fixed"/>
        <w:tblCellMar>
          <w:top w:w="0" w:type="dxa"/>
          <w:left w:w="0" w:type="dxa"/>
          <w:bottom w:w="0" w:type="dxa"/>
          <w:right w:w="0" w:type="dxa"/>
        </w:tblCellMar>
      </w:tblPr>
      <w:tblGrid>
        <w:gridCol w:w="23"/>
        <w:gridCol w:w="170"/>
        <w:gridCol w:w="59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of $(1.2) million, compared to $(9.7) million in 2024.</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tbl>
      <w:tblPr>
        <w:tblW w:w="7683" w:type="dxa"/>
        <w:jc w:val="left"/>
        <w:tblInd w:w="0" w:type="dxa"/>
        <w:tblLayout w:type="fixed"/>
        <w:tblCellMar>
          <w:top w:w="0" w:type="dxa"/>
          <w:left w:w="0" w:type="dxa"/>
          <w:bottom w:w="0" w:type="dxa"/>
          <w:right w:w="0" w:type="dxa"/>
        </w:tblCellMar>
      </w:tblPr>
      <w:tblGrid>
        <w:gridCol w:w="23"/>
        <w:gridCol w:w="170"/>
        <w:gridCol w:w="74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of $1.4 million, compared to $2.6 million in 2024.</w:t>
            </w:r>
          </w:p>
        </w:tc>
      </w:tr>
    </w:tbl>
    <w:tbl>
      <w:tblPr>
        <w:tblW w:w="5928" w:type="dxa"/>
        <w:jc w:val="left"/>
        <w:tblInd w:w="0" w:type="dxa"/>
        <w:tblLayout w:type="fixed"/>
        <w:tblCellMar>
          <w:top w:w="0" w:type="dxa"/>
          <w:left w:w="0" w:type="dxa"/>
          <w:bottom w:w="0" w:type="dxa"/>
          <w:right w:w="0" w:type="dxa"/>
        </w:tblCellMar>
      </w:tblPr>
      <w:tblGrid>
        <w:gridCol w:w="23"/>
        <w:gridCol w:w="170"/>
        <w:gridCol w:w="57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Cash Flow* of ($0.8) million, compared to $(0.3) million in 2024.</w:t>
            </w:r>
          </w:p>
        </w:tc>
      </w:tr>
    </w:tbl>
    <w:tbl>
      <w:tblPr>
        <w:tblW w:w="8523" w:type="dxa"/>
        <w:jc w:val="left"/>
        <w:tblInd w:w="0" w:type="dxa"/>
        <w:tblLayout w:type="fixed"/>
        <w:tblCellMar>
          <w:top w:w="0" w:type="dxa"/>
          <w:left w:w="0" w:type="dxa"/>
          <w:bottom w:w="0" w:type="dxa"/>
          <w:right w:w="0" w:type="dxa"/>
        </w:tblCellMar>
      </w:tblPr>
      <w:tblGrid>
        <w:gridCol w:w="23"/>
        <w:gridCol w:w="170"/>
        <w:gridCol w:w="83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debt and Net Debt* was $14.4 million and $11.7 million, respectively, as of December 28, 2025. </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Note: “*” represents a non-GAAP financial measure. See “Use of Non-GAAP Financial Measures and Other Operating Metrics” section below for definitions of these metrics.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Heidi Crane, CFO of Lulus, said:</w:t>
      </w:r>
    </w:p>
    <w:p>
      <w:pPr>
        <w:pStyle w:val="TextBody"/>
        <w:bidi w:val="0"/>
        <w:spacing w:before="0" w:after="0"/>
        <w:ind w:left="0" w:right="0" w:hanging="0"/>
        <w:jc w:val="both"/>
        <w:rPr/>
      </w:pPr>
      <w:r>
        <w:rPr/>
        <w:t>“</w:t>
      </w:r>
      <w:r>
        <w:rPr>
          <w:rFonts w:ascii="Times New Roman;Times;serif" w:hAnsi="Times New Roman;Times;serif"/>
          <w:b w:val="false"/>
          <w:sz w:val="20"/>
        </w:rPr>
        <w:t>Our financial performance throughout 2025 gives us confidence in the strength of our fundamentals and the resilience of our model. Over the course of the year, we delivered meaningful progress across our key profitability drivers — including sustained product margin expansion, improved gross margins, favorable return behavior, and a more efficient cost structure — all supported by disciplined inventory management and ongoing operational rigor. These achievements, combined with the completion of our new asset</w:t>
      </w:r>
      <w:r>
        <w:rPr>
          <w:rFonts w:ascii="Times New Roman;Times;serif" w:hAnsi="Times New Roman;Times;serif"/>
          <w:b/>
          <w:sz w:val="20"/>
        </w:rPr>
        <w:t>-</w:t>
      </w:r>
      <w:r>
        <w:rPr>
          <w:rFonts w:ascii="Times New Roman;Times;serif" w:hAnsi="Times New Roman;Times;serif"/>
          <w:b w:val="false"/>
          <w:sz w:val="20"/>
        </w:rPr>
        <w:t>based credit facility, have strengthened our liquidity position and enhanced our financial flexibility heading into the new year.</w:t>
      </w:r>
      <w:r>
        <w:rPr>
          <w:rFonts w:ascii="Times New Roman;Times;serif" w:hAnsi="Times New Roman;Times;serif"/>
          <w:b/>
          <w:sz w:val="20"/>
        </w:rPr>
        <w:t xml:space="preserve"> </w:t>
      </w:r>
    </w:p>
    <w:p>
      <w:pPr>
        <w:pStyle w:val="TextBody"/>
        <w:bidi w:val="0"/>
        <w:spacing w:before="0" w:after="20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val="false"/>
          <w:sz w:val="20"/>
        </w:rPr>
        <w:t>In 2026, we remain focused on driving profitability through continued margin optimization, a more curated and higher margin assortment mix, and the ongoing benefits of our sourcing, SKU rationalization, and cost reduction initiatives. We expect the steady improvements made throughout 2025 — including stronger event</w:t>
      </w:r>
      <w:r>
        <w:rPr>
          <w:rFonts w:ascii="Times New Roman;Times;serif" w:hAnsi="Times New Roman;Times;serif"/>
          <w:b/>
          <w:sz w:val="20"/>
        </w:rPr>
        <w:t>-</w:t>
      </w:r>
      <w:r>
        <w:rPr>
          <w:rFonts w:ascii="Times New Roman;Times;serif" w:hAnsi="Times New Roman;Times;serif"/>
          <w:b w:val="false"/>
          <w:sz w:val="20"/>
        </w:rPr>
        <w:t xml:space="preserve">driven demand, increasing wholesale contribution, and healthier unit economics — to carry forward, positioning us to deliver further EBITDA expansion and improved cash generation year-over-year.” </w:t>
      </w:r>
    </w:p>
    <w:p>
      <w:pPr>
        <w:pStyle w:val="TextBody"/>
        <w:bidi w:val="0"/>
        <w:spacing w:before="0" w:after="20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2026 Financial Outlook:</w:t>
      </w:r>
    </w:p>
    <w:p>
      <w:pPr>
        <w:pStyle w:val="TextBody"/>
        <w:bidi w:val="0"/>
        <w:spacing w:before="210" w:after="210"/>
        <w:ind w:left="0" w:right="0" w:hanging="0"/>
        <w:jc w:val="both"/>
        <w:rPr>
          <w:rFonts w:ascii="Times New Roman;Times;serif" w:hAnsi="Times New Roman;Times;serif"/>
          <w:sz w:val="20"/>
        </w:rPr>
      </w:pPr>
      <w:r>
        <w:rPr>
          <w:rFonts w:ascii="Times New Roman;Times;serif" w:hAnsi="Times New Roman;Times;serif"/>
          <w:sz w:val="20"/>
        </w:rPr>
        <w:t>As we enter 2026, our focus is on driving profitability while continuing to strengthen the business. In the first quarter, we are prioritizing higher quality demand and disciplined order economics while actively and more aggressively resetting the assortment of our casual apparel and footwear categories. As a result of these actions, we expect first quarter 2026 revenue trends to be sequentially lower than the fourth quarter 2025. We expect Adjusted EBITDA to be negative for the first quarter of 2026, which can be typical for first quarters, however we expect meaningful improvement in year-over-year Adjusted EBITDA. We believe these steps will better align our assortment with customer demand and position the business for improved profitability during our upcoming peak selling periods, typically in the second and third quarters, and deliver stronger cash flows for the full year. We also continue to strengthen our financial position, with net debt expected to be between $7.5 and $8.0 million at the end of the first quarter of 2026.</w:t>
      </w:r>
    </w:p>
    <w:p>
      <w:pPr>
        <w:pStyle w:val="TextBody"/>
        <w:bidi w:val="0"/>
        <w:spacing w:before="210" w:after="210"/>
        <w:ind w:left="0" w:right="0" w:hanging="0"/>
        <w:jc w:val="both"/>
        <w:rPr>
          <w:rFonts w:ascii="Times New Roman;Times;serif" w:hAnsi="Times New Roman;Times;serif"/>
          <w:sz w:val="20"/>
        </w:rPr>
      </w:pPr>
      <w:r>
        <w:rPr>
          <w:rFonts w:ascii="Times New Roman;Times;serif" w:hAnsi="Times New Roman;Times;serif"/>
          <w:sz w:val="20"/>
        </w:rPr>
        <w:t>For the full year fiscal 2026:</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Adjusted EBITDA to inflect to positive, compared to $(1.2) million in 2025, and the net revenue growth trend to improve year-over-year, compared to negative 11% in 2025.</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capital expenditures to be between $2.0 million and $2.5 million, inclusive of capitalized software, comparable to 2025 levels.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Forecasting future results or trends is inherently difficult for any business, and actual results or trends may differ materially from those forecasted. Lulus’ outlook is based on current indications for its business. Lulus’ outlook factors in our current best estimates for anticipated headwinds, including those related to the level of tariffs, consumer demand, spending and returns by our customers, macroeconomic uncertainties, inflation, supply chain pressures, shipping and fuel costs, and the intended impact of our business initiatives in 2026 and cost-reduction measures. Given the volatile nature of current consumer demand and potential for further impacts to consumer behavior due to macroeconomic factors, including continued inflation, higher interest rates, the federal government shutdown, student loan repayment resumption, global political changes, including as a result of tariffs or bans, existing and future laws, regulations, and directives (including executive orders), as well as other world events, wars, and domestic and international conflicts that affect overall consumer confidence and the predictability of consumer purchasing behavior, Lulus’ financial outlook is subject to change.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p>
      <w:pPr>
        <w:pStyle w:val="TextBody"/>
        <w:bidi w:val="0"/>
        <w:spacing w:before="0" w:after="20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CONDENSED CONSOLIDATED STATEMENTS OF OPERATIONS AND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tbl>
      <w:tblPr>
        <w:tblW w:w="10205" w:type="dxa"/>
        <w:jc w:val="center"/>
        <w:tblInd w:w="0" w:type="dxa"/>
        <w:tblLayout w:type="fixed"/>
        <w:tblCellMar>
          <w:top w:w="0" w:type="dxa"/>
          <w:left w:w="0" w:type="dxa"/>
          <w:bottom w:w="0" w:type="dxa"/>
          <w:right w:w="0" w:type="dxa"/>
        </w:tblCellMar>
      </w:tblPr>
      <w:tblGrid>
        <w:gridCol w:w="3862"/>
        <w:gridCol w:w="346"/>
        <w:gridCol w:w="211"/>
        <w:gridCol w:w="931"/>
        <w:gridCol w:w="346"/>
        <w:gridCol w:w="211"/>
        <w:gridCol w:w="931"/>
        <w:gridCol w:w="346"/>
        <w:gridCol w:w="211"/>
        <w:gridCol w:w="931"/>
        <w:gridCol w:w="346"/>
        <w:gridCol w:w="211"/>
        <w:gridCol w:w="931"/>
        <w:gridCol w:w="391"/>
      </w:tblGrid>
      <w:tr>
        <w:trPr/>
        <w:tc>
          <w:tcPr>
            <w:tcW w:w="3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452370" cy="175260"/>
                      <wp:effectExtent l="0" t="0" r="0" b="0"/>
                      <wp:wrapNone/>
                      <wp:docPr id="12" name="Frame11"/>
                      <a:graphic xmlns:a="http://schemas.openxmlformats.org/drawingml/2006/main">
                        <a:graphicData uri="http://schemas.microsoft.com/office/word/2010/wordprocessingShape">
                          <wps:wsp>
                            <wps:cNvSpPr txBox="1"/>
                            <wps:spPr>
                              <a:xfrm>
                                <a:off x="0" y="0"/>
                                <a:ext cx="2452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91185" cy="175260"/>
                      <wp:effectExtent l="0" t="0" r="0" b="0"/>
                      <wp:wrapNone/>
                      <wp:docPr id="15" name="Frame1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91185" cy="175260"/>
                      <wp:effectExtent l="0" t="0" r="0" b="0"/>
                      <wp:wrapNone/>
                      <wp:docPr id="18" name="Frame1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91185" cy="175260"/>
                      <wp:effectExtent l="0" t="0" r="0" b="0"/>
                      <wp:wrapNone/>
                      <wp:docPr id="21" name="Frame2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91185" cy="175260"/>
                      <wp:effectExtent l="0" t="0" r="0" b="0"/>
                      <wp:wrapNone/>
                      <wp:docPr id="24" name="Frame2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48285" cy="175260"/>
                      <wp:effectExtent l="0" t="0" r="0" b="0"/>
                      <wp:wrapNone/>
                      <wp:docPr id="25" name="Frame24"/>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Quarters Ended</w:t>
            </w:r>
          </w:p>
        </w:tc>
        <w:tc>
          <w:tcPr>
            <w:tcW w:w="346" w:type="dxa"/>
            <w:tcBorders/>
            <w:vAlign w:val="center"/>
          </w:tcPr>
          <w:p>
            <w:pPr>
              <w:pStyle w:val="TableContents"/>
              <w:bidi w:val="0"/>
              <w:spacing w:before="0" w:after="0"/>
              <w:ind w:left="0" w:right="0" w:hanging="0"/>
              <w:jc w:val="left"/>
              <w:rPr/>
            </w:pPr>
            <w:r>
              <w:rPr/>
              <w:t>​</w:t>
            </w:r>
          </w:p>
        </w:tc>
        <w:tc>
          <w:tcPr>
            <w:tcW w:w="26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Years Ended</w:t>
            </w:r>
          </w:p>
        </w:tc>
        <w:tc>
          <w:tcPr>
            <w:tcW w:w="391" w:type="dxa"/>
            <w:tcBorders/>
            <w:vAlign w:val="center"/>
          </w:tcPr>
          <w:p>
            <w:pPr>
              <w:pStyle w:val="TableContents"/>
              <w:bidi w:val="0"/>
              <w:spacing w:before="0" w:after="0"/>
              <w:ind w:left="0" w:right="0" w:hanging="0"/>
              <w:jc w:val="left"/>
              <w:rPr/>
            </w:pPr>
            <w:r>
              <w:rPr/>
              <w:t>​</w:t>
            </w:r>
          </w:p>
        </w:tc>
      </w:tr>
      <w:tr>
        <w:trPr/>
        <w:tc>
          <w:tcPr>
            <w:tcW w:w="38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w:t>
            </w:r>
          </w:p>
        </w:tc>
        <w:tc>
          <w:tcPr>
            <w:tcW w:w="391" w:type="dxa"/>
            <w:tcBorders/>
            <w:vAlign w:val="center"/>
          </w:tcPr>
          <w:p>
            <w:pPr>
              <w:pStyle w:val="TableContents"/>
              <w:bidi w:val="0"/>
              <w:spacing w:before="0" w:after="0"/>
              <w:ind w:left="0" w:right="0" w:hanging="0"/>
              <w:jc w:val="left"/>
              <w:rPr/>
            </w:pPr>
            <w:r>
              <w:rPr/>
              <w:t>  ​ ​ ​</w:t>
            </w:r>
          </w:p>
        </w:tc>
      </w:tr>
      <w:tr>
        <w:trPr/>
        <w:tc>
          <w:tcPr>
            <w:tcW w:w="38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1" w:type="dxa"/>
            <w:tcBorders/>
            <w:vAlign w:val="center"/>
          </w:tcPr>
          <w:p>
            <w:pPr>
              <w:pStyle w:val="TableContents"/>
              <w:bidi w:val="0"/>
              <w:spacing w:before="0" w:after="0"/>
              <w:ind w:left="0" w:right="0" w:hanging="0"/>
              <w:jc w:val="left"/>
              <w:rPr/>
            </w:pPr>
            <w:r>
              <w:rPr/>
              <w:t>​</w:t>
            </w:r>
          </w:p>
        </w:tc>
      </w:tr>
      <w:tr>
        <w:trPr/>
        <w:tc>
          <w:tcPr>
            <w:tcW w:w="38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(13 weeks)</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(13 weeks)</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(52 weeks)</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(52 weeks)</w:t>
            </w:r>
          </w:p>
        </w:tc>
        <w:tc>
          <w:tcPr>
            <w:tcW w:w="391" w:type="dxa"/>
            <w:tcBorders/>
            <w:vAlign w:val="center"/>
          </w:tcPr>
          <w:p>
            <w:pPr>
              <w:pStyle w:val="TableContents"/>
              <w:bidi w:val="0"/>
              <w:spacing w:before="0" w:after="0"/>
              <w:ind w:left="0" w:right="0" w:hanging="0"/>
              <w:jc w:val="left"/>
              <w:rPr/>
            </w:pPr>
            <w:r>
              <w:rPr/>
              <w:t>​</w:t>
            </w:r>
          </w:p>
        </w:tc>
      </w:tr>
      <w:tr>
        <w:trPr/>
        <w:tc>
          <w:tcPr>
            <w:tcW w:w="38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282,284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315,887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86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Cost of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35,097</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41,077</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160,230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185,639</w:t>
            </w:r>
          </w:p>
        </w:tc>
        <w:tc>
          <w:tcPr>
            <w:tcW w:w="391" w:type="dxa"/>
            <w:tcBorders/>
            <w:vAlign w:val="center"/>
          </w:tcPr>
          <w:p>
            <w:pPr>
              <w:pStyle w:val="TableContents"/>
              <w:bidi w:val="0"/>
              <w:spacing w:before="0" w:after="0"/>
              <w:ind w:left="0" w:right="0" w:hanging="0"/>
              <w:jc w:val="left"/>
              <w:rPr/>
            </w:pPr>
            <w:r>
              <w:rPr/>
              <w:t>​</w:t>
            </w:r>
          </w:p>
        </w:tc>
      </w:tr>
      <w:tr>
        <w:trPr/>
        <w:tc>
          <w:tcPr>
            <w:tcW w:w="38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130,248</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8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11,758</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72,927</w:t>
            </w:r>
          </w:p>
        </w:tc>
        <w:tc>
          <w:tcPr>
            <w:tcW w:w="391" w:type="dxa"/>
            <w:tcBorders/>
            <w:vAlign w:val="center"/>
          </w:tcPr>
          <w:p>
            <w:pPr>
              <w:pStyle w:val="TableContents"/>
              <w:bidi w:val="0"/>
              <w:spacing w:before="0" w:after="0"/>
              <w:ind w:left="0" w:right="0" w:hanging="0"/>
              <w:jc w:val="left"/>
              <w:rPr/>
            </w:pPr>
            <w:r>
              <w:rPr/>
              <w:t>​</w:t>
            </w:r>
          </w:p>
        </w:tc>
      </w:tr>
      <w:tr>
        <w:trPr/>
        <w:tc>
          <w:tcPr>
            <w:tcW w:w="38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81,334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8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impairment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28,374</w:t>
            </w:r>
          </w:p>
        </w:tc>
        <w:tc>
          <w:tcPr>
            <w:tcW w:w="391" w:type="dxa"/>
            <w:tcBorders/>
            <w:vAlign w:val="center"/>
          </w:tcPr>
          <w:p>
            <w:pPr>
              <w:pStyle w:val="TableContents"/>
              <w:bidi w:val="0"/>
              <w:spacing w:before="0" w:after="0"/>
              <w:ind w:left="0" w:right="0" w:hanging="0"/>
              <w:jc w:val="left"/>
              <w:rPr/>
            </w:pPr>
            <w:r>
              <w:rPr/>
              <w:t>​</w:t>
            </w:r>
          </w:p>
        </w:tc>
      </w:tr>
      <w:tr>
        <w:trPr/>
        <w:tc>
          <w:tcPr>
            <w:tcW w:w="38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(52,387)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8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(1,271)</w:t>
            </w:r>
          </w:p>
        </w:tc>
        <w:tc>
          <w:tcPr>
            <w:tcW w:w="391" w:type="dxa"/>
            <w:tcBorders/>
            <w:vAlign w:val="center"/>
          </w:tcPr>
          <w:p>
            <w:pPr>
              <w:pStyle w:val="TableContents"/>
              <w:bidi w:val="0"/>
              <w:spacing w:before="0" w:after="0"/>
              <w:ind w:left="0" w:right="0" w:hanging="0"/>
              <w:jc w:val="left"/>
              <w:rPr/>
            </w:pPr>
            <w:r>
              <w:rPr/>
              <w:t>​</w:t>
            </w:r>
          </w:p>
        </w:tc>
      </w:tr>
      <w:tr>
        <w:trPr/>
        <w:tc>
          <w:tcPr>
            <w:tcW w:w="38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86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before provision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(52,953)</w:t>
            </w:r>
          </w:p>
        </w:tc>
        <w:tc>
          <w:tcPr>
            <w:tcW w:w="391" w:type="dxa"/>
            <w:tcBorders/>
            <w:vAlign w:val="center"/>
          </w:tcPr>
          <w:p>
            <w:pPr>
              <w:pStyle w:val="TableContents"/>
              <w:bidi w:val="0"/>
              <w:spacing w:before="0" w:after="0"/>
              <w:ind w:left="0" w:right="0" w:hanging="0"/>
              <w:jc w:val="left"/>
              <w:rPr/>
            </w:pPr>
            <w:r>
              <w:rPr/>
              <w:t>​</w:t>
            </w:r>
          </w:p>
        </w:tc>
      </w:tr>
      <w:tr>
        <w:trPr/>
        <w:tc>
          <w:tcPr>
            <w:tcW w:w="3862"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Income tax benefit (provision)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(2,333)</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86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loss and comprehensive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(55,286)</w:t>
            </w:r>
          </w:p>
        </w:tc>
        <w:tc>
          <w:tcPr>
            <w:tcW w:w="391" w:type="dxa"/>
            <w:tcBorders/>
            <w:vAlign w:val="center"/>
          </w:tcPr>
          <w:p>
            <w:pPr>
              <w:pStyle w:val="TableContents"/>
              <w:bidi w:val="0"/>
              <w:spacing w:before="0" w:after="0"/>
              <w:ind w:left="0" w:right="0" w:hanging="0"/>
              <w:jc w:val="left"/>
              <w:rPr/>
            </w:pPr>
            <w:r>
              <w:rPr/>
              <w:t>​</w:t>
            </w:r>
          </w:p>
        </w:tc>
      </w:tr>
      <w:tr>
        <w:trPr/>
        <w:tc>
          <w:tcPr>
            <w:tcW w:w="386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8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loss per share</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c>
          <w:tcPr>
            <w:tcW w:w="391" w:type="dxa"/>
            <w:tcBorders/>
            <w:vAlign w:val="center"/>
          </w:tcPr>
          <w:p>
            <w:pPr>
              <w:pStyle w:val="TableContents"/>
              <w:bidi w:val="0"/>
              <w:spacing w:before="0" w:after="0"/>
              <w:ind w:left="0" w:right="0" w:hanging="0"/>
              <w:jc w:val="left"/>
              <w:rPr/>
            </w:pPr>
            <w:r>
              <w:rPr/>
              <w:t>​</w:t>
            </w:r>
          </w:p>
        </w:tc>
      </w:tr>
      <w:tr>
        <w:trPr/>
        <w:tc>
          <w:tcPr>
            <w:tcW w:w="38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loss per share</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8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weighted-average shares outstanding</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2,823,697</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2,786,620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2,799,732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2,764,594</w:t>
            </w:r>
          </w:p>
        </w:tc>
        <w:tc>
          <w:tcPr>
            <w:tcW w:w="391" w:type="dxa"/>
            <w:tcBorders/>
            <w:vAlign w:val="center"/>
          </w:tcPr>
          <w:p>
            <w:pPr>
              <w:pStyle w:val="TableContents"/>
              <w:bidi w:val="0"/>
              <w:spacing w:before="0" w:after="0"/>
              <w:ind w:left="0" w:right="0" w:hanging="0"/>
              <w:jc w:val="left"/>
              <w:rPr/>
            </w:pPr>
            <w:r>
              <w:rPr/>
              <w:t>​</w:t>
            </w:r>
          </w:p>
        </w:tc>
      </w:tr>
      <w:tr>
        <w:trPr/>
        <w:tc>
          <w:tcPr>
            <w:tcW w:w="3862"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Diluted weighted-average shares outstanding</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2,823,697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2,786,620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2,799,732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2,764,594</w:t>
            </w:r>
          </w:p>
        </w:tc>
        <w:tc>
          <w:tcPr>
            <w:tcW w:w="3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0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Amounts have been adjusted to reflect the 1-for-15 reverse stock split that became effective as of the opening of business on July 7, 2025. Refer to Note 2, “Significant Accounting Policies”, in the Notes to the Condensed Consolidated Financial Statements included in the Annual Report on Form 10-K for the period ended December 28, 2025, for more information</w:t>
            </w:r>
            <w:r>
              <w:rPr>
                <w:rFonts w:ascii="Times New Roman;Times;serif" w:hAnsi="Times New Roman;Times;serif"/>
                <w:b w:val="false"/>
                <w:i w:val="false"/>
                <w:caps w:val="false"/>
                <w:smallCaps w:val="false"/>
                <w:sz w:val="20"/>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36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tbl>
      <w:tblPr>
        <w:tblW w:w="10205" w:type="dxa"/>
        <w:jc w:val="center"/>
        <w:tblInd w:w="0" w:type="dxa"/>
        <w:tblLayout w:type="fixed"/>
        <w:tblCellMar>
          <w:top w:w="0" w:type="dxa"/>
          <w:left w:w="0" w:type="dxa"/>
          <w:bottom w:w="0" w:type="dxa"/>
          <w:right w:w="0" w:type="dxa"/>
        </w:tblCellMar>
      </w:tblPr>
      <w:tblGrid>
        <w:gridCol w:w="7021"/>
        <w:gridCol w:w="346"/>
        <w:gridCol w:w="196"/>
        <w:gridCol w:w="954"/>
        <w:gridCol w:w="346"/>
        <w:gridCol w:w="196"/>
        <w:gridCol w:w="954"/>
        <w:gridCol w:w="192"/>
      </w:tblGrid>
      <w:tr>
        <w:trPr/>
        <w:tc>
          <w:tcPr>
            <w:tcW w:w="7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458335" cy="175260"/>
                      <wp:effectExtent l="0" t="0" r="0" b="0"/>
                      <wp:wrapNone/>
                      <wp:docPr id="26" name="Frame25"/>
                      <a:graphic xmlns:a="http://schemas.openxmlformats.org/drawingml/2006/main">
                        <a:graphicData uri="http://schemas.microsoft.com/office/word/2010/wordprocessingShape">
                          <wps:wsp>
                            <wps:cNvSpPr txBox="1"/>
                            <wps:spPr>
                              <a:xfrm>
                                <a:off x="0" y="0"/>
                                <a:ext cx="445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24460" cy="175260"/>
                      <wp:effectExtent l="0" t="0" r="0" b="0"/>
                      <wp:wrapNone/>
                      <wp:docPr id="28" name="Frame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05790" cy="175260"/>
                      <wp:effectExtent l="0" t="0" r="0" b="0"/>
                      <wp:wrapNone/>
                      <wp:docPr id="29" name="Frame28"/>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24460" cy="175260"/>
                      <wp:effectExtent l="0" t="0" r="0" b="0"/>
                      <wp:wrapNone/>
                      <wp:docPr id="31" name="Frame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05790" cy="175260"/>
                      <wp:effectExtent l="0" t="0" r="0" b="0"/>
                      <wp:wrapNone/>
                      <wp:docPr id="32" name="Frame31"/>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21920" cy="175260"/>
                      <wp:effectExtent l="0" t="0" r="0" b="0"/>
                      <wp:wrapNone/>
                      <wp:docPr id="33" name="Frame32"/>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95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w:t>
            </w:r>
          </w:p>
        </w:tc>
        <w:tc>
          <w:tcPr>
            <w:tcW w:w="192" w:type="dxa"/>
            <w:tcBorders/>
            <w:vAlign w:val="center"/>
          </w:tcPr>
          <w:p>
            <w:pPr>
              <w:pStyle w:val="TableContents"/>
              <w:bidi w:val="0"/>
              <w:spacing w:before="0" w:after="0"/>
              <w:ind w:left="0" w:right="0" w:hanging="0"/>
              <w:jc w:val="left"/>
              <w:rPr/>
            </w:pPr>
            <w:r>
              <w:rPr/>
              <w:t>​</w:t>
            </w:r>
          </w:p>
        </w:tc>
      </w:tr>
      <w:tr>
        <w:trPr/>
        <w:tc>
          <w:tcPr>
            <w:tcW w:w="7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center"/>
              <w:rPr/>
            </w:pPr>
            <w:r>
              <w:rPr/>
              <w:t>​</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center"/>
              <w:rPr/>
            </w:pPr>
            <w:r>
              <w:rPr/>
              <w:t>​</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92" w:type="dxa"/>
            <w:tcBorders/>
            <w:vAlign w:val="center"/>
          </w:tcPr>
          <w:p>
            <w:pPr>
              <w:pStyle w:val="TableContents"/>
              <w:bidi w:val="0"/>
              <w:spacing w:before="0" w:after="0"/>
              <w:ind w:left="0" w:right="0" w:hanging="0"/>
              <w:jc w:val="center"/>
              <w:rPr/>
            </w:pPr>
            <w:r>
              <w:rPr/>
              <w:t> </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pPr>
            <w:r>
              <w:rPr/>
              <w:t>  ​</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pPr>
            <w:r>
              <w:rPr/>
              <w:t>  ​</w:t>
            </w:r>
          </w:p>
        </w:tc>
        <w:tc>
          <w:tcPr>
            <w:tcW w:w="192" w:type="dxa"/>
            <w:tcBorders/>
            <w:vAlign w:val="center"/>
          </w:tcPr>
          <w:p>
            <w:pPr>
              <w:pStyle w:val="TableContents"/>
              <w:bidi w:val="0"/>
              <w:spacing w:before="0" w:after="0"/>
              <w:ind w:left="0" w:right="0" w:hanging="0"/>
              <w:jc w:val="left"/>
              <w:rPr/>
            </w:pPr>
            <w:r>
              <w:rPr/>
              <w:t>​</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4,460</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2,158</w:t>
            </w:r>
          </w:p>
        </w:tc>
        <w:tc>
          <w:tcPr>
            <w:tcW w:w="192" w:type="dxa"/>
            <w:tcBorders/>
            <w:vAlign w:val="center"/>
          </w:tcPr>
          <w:p>
            <w:pPr>
              <w:pStyle w:val="TableContents"/>
              <w:bidi w:val="0"/>
              <w:spacing w:before="0" w:after="0"/>
              <w:ind w:left="0" w:right="0" w:hanging="0"/>
              <w:jc w:val="left"/>
              <w:rPr/>
            </w:pPr>
            <w:r>
              <w:rPr/>
              <w:t>​</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Inventory,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32,444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34,036</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Assets for recovery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2,383</w:t>
            </w:r>
          </w:p>
        </w:tc>
        <w:tc>
          <w:tcPr>
            <w:tcW w:w="192" w:type="dxa"/>
            <w:tcBorders/>
            <w:vAlign w:val="center"/>
          </w:tcPr>
          <w:p>
            <w:pPr>
              <w:pStyle w:val="TableContents"/>
              <w:bidi w:val="0"/>
              <w:spacing w:before="0" w:after="0"/>
              <w:ind w:left="0" w:right="0" w:hanging="0"/>
              <w:jc w:val="left"/>
              <w:rPr/>
            </w:pPr>
            <w:r>
              <w:rPr/>
              <w:t>​</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refund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4,177</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Prepaids and other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4,287</w:t>
            </w:r>
          </w:p>
        </w:tc>
        <w:tc>
          <w:tcPr>
            <w:tcW w:w="192" w:type="dxa"/>
            <w:tcBorders/>
            <w:vAlign w:val="center"/>
          </w:tcPr>
          <w:p>
            <w:pPr>
              <w:pStyle w:val="TableContents"/>
              <w:bidi w:val="0"/>
              <w:spacing w:before="0" w:after="0"/>
              <w:ind w:left="0" w:right="0" w:hanging="0"/>
              <w:jc w:val="left"/>
              <w:rPr/>
            </w:pPr>
            <w:r>
              <w:rPr/>
              <w:t>​</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43,648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51,501</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3,642</w:t>
            </w:r>
          </w:p>
        </w:tc>
        <w:tc>
          <w:tcPr>
            <w:tcW w:w="192" w:type="dxa"/>
            <w:tcBorders/>
            <w:vAlign w:val="center"/>
          </w:tcPr>
          <w:p>
            <w:pPr>
              <w:pStyle w:val="TableContents"/>
              <w:bidi w:val="0"/>
              <w:spacing w:before="0" w:after="0"/>
              <w:ind w:left="0" w:right="0" w:hanging="0"/>
              <w:jc w:val="left"/>
              <w:rPr/>
            </w:pPr>
            <w:r>
              <w:rPr/>
              <w:t>​</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7,056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7,056</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Tradename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18,509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18,509</w:t>
            </w:r>
          </w:p>
        </w:tc>
        <w:tc>
          <w:tcPr>
            <w:tcW w:w="192" w:type="dxa"/>
            <w:tcBorders/>
            <w:vAlign w:val="center"/>
          </w:tcPr>
          <w:p>
            <w:pPr>
              <w:pStyle w:val="TableContents"/>
              <w:bidi w:val="0"/>
              <w:spacing w:before="0" w:after="0"/>
              <w:ind w:left="0" w:right="0" w:hanging="0"/>
              <w:jc w:val="left"/>
              <w:rPr/>
            </w:pPr>
            <w:r>
              <w:rPr/>
              <w:t>​</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Intangible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2,762</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Lease right-of-use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14,521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24,030</w:t>
            </w:r>
          </w:p>
        </w:tc>
        <w:tc>
          <w:tcPr>
            <w:tcW w:w="192" w:type="dxa"/>
            <w:tcBorders/>
            <w:vAlign w:val="center"/>
          </w:tcPr>
          <w:p>
            <w:pPr>
              <w:pStyle w:val="TableContents"/>
              <w:bidi w:val="0"/>
              <w:spacing w:before="0" w:after="0"/>
              <w:ind w:left="0" w:right="0" w:hanging="0"/>
              <w:jc w:val="left"/>
              <w:rPr/>
            </w:pPr>
            <w:r>
              <w:rPr/>
              <w:t>​</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698</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89,364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108,198</w:t>
            </w:r>
          </w:p>
        </w:tc>
        <w:tc>
          <w:tcPr>
            <w:tcW w:w="192" w:type="dxa"/>
            <w:tcBorders/>
            <w:vAlign w:val="center"/>
          </w:tcPr>
          <w:p>
            <w:pPr>
              <w:pStyle w:val="TableContents"/>
              <w:bidi w:val="0"/>
              <w:spacing w:before="0" w:after="0"/>
              <w:ind w:left="0" w:right="0" w:hanging="0"/>
              <w:jc w:val="left"/>
              <w:rPr/>
            </w:pPr>
            <w:r>
              <w:rPr/>
              <w:t>​</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pPr>
            <w:r>
              <w:rPr/>
              <w:t>  ​</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pPr>
            <w:r>
              <w:rPr/>
              <w:t>  ​</w:t>
            </w:r>
          </w:p>
        </w:tc>
        <w:tc>
          <w:tcPr>
            <w:tcW w:w="192" w:type="dxa"/>
            <w:tcBorders/>
            <w:vAlign w:val="center"/>
          </w:tcPr>
          <w:p>
            <w:pPr>
              <w:pStyle w:val="TableContents"/>
              <w:bidi w:val="0"/>
              <w:spacing w:before="0" w:after="0"/>
              <w:ind w:left="0" w:right="0" w:hanging="0"/>
              <w:jc w:val="left"/>
              <w:rPr/>
            </w:pPr>
            <w:r>
              <w:rPr/>
              <w:t>​</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8,340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10,991</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expenses and other 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17,411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15,985</w:t>
            </w:r>
          </w:p>
        </w:tc>
        <w:tc>
          <w:tcPr>
            <w:tcW w:w="192" w:type="dxa"/>
            <w:tcBorders/>
            <w:vAlign w:val="center"/>
          </w:tcPr>
          <w:p>
            <w:pPr>
              <w:pStyle w:val="TableContents"/>
              <w:bidi w:val="0"/>
              <w:spacing w:before="0" w:after="0"/>
              <w:ind w:left="0" w:right="0" w:hanging="0"/>
              <w:jc w:val="left"/>
              <w:rPr/>
            </w:pPr>
            <w:r>
              <w:rPr/>
              <w:t>​</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Returns reserve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10,289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9,765</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Stored-value card liability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18,231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17,883</w:t>
            </w:r>
          </w:p>
        </w:tc>
        <w:tc>
          <w:tcPr>
            <w:tcW w:w="192" w:type="dxa"/>
            <w:tcBorders/>
            <w:vAlign w:val="center"/>
          </w:tcPr>
          <w:p>
            <w:pPr>
              <w:pStyle w:val="TableContents"/>
              <w:bidi w:val="0"/>
              <w:spacing w:before="0" w:after="0"/>
              <w:ind w:left="0" w:right="0" w:hanging="0"/>
              <w:jc w:val="left"/>
              <w:rPr/>
            </w:pPr>
            <w:r>
              <w:rPr/>
              <w:t>​</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Asset based revolving credit facility – current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Revolving line of credit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13,090</w:t>
            </w:r>
          </w:p>
        </w:tc>
        <w:tc>
          <w:tcPr>
            <w:tcW w:w="192" w:type="dxa"/>
            <w:tcBorders/>
            <w:vAlign w:val="center"/>
          </w:tcPr>
          <w:p>
            <w:pPr>
              <w:pStyle w:val="TableContents"/>
              <w:bidi w:val="0"/>
              <w:spacing w:before="0" w:after="0"/>
              <w:ind w:left="0" w:right="0" w:hanging="0"/>
              <w:jc w:val="left"/>
              <w:rPr/>
            </w:pPr>
            <w:r>
              <w:rPr/>
              <w:t>​</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Lease liabilities, current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6,402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6,611</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75,063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74,325</w:t>
            </w:r>
          </w:p>
        </w:tc>
        <w:tc>
          <w:tcPr>
            <w:tcW w:w="192" w:type="dxa"/>
            <w:tcBorders/>
            <w:vAlign w:val="center"/>
          </w:tcPr>
          <w:p>
            <w:pPr>
              <w:pStyle w:val="TableContents"/>
              <w:bidi w:val="0"/>
              <w:spacing w:before="0" w:after="0"/>
              <w:ind w:left="0" w:right="0" w:hanging="0"/>
              <w:jc w:val="left"/>
              <w:rPr/>
            </w:pPr>
            <w:r>
              <w:rPr/>
              <w:t>​</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Lease liabilities, noncurrent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10,389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19,653</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852</w:t>
            </w:r>
          </w:p>
        </w:tc>
        <w:tc>
          <w:tcPr>
            <w:tcW w:w="192" w:type="dxa"/>
            <w:tcBorders/>
            <w:vAlign w:val="center"/>
          </w:tcPr>
          <w:p>
            <w:pPr>
              <w:pStyle w:val="TableContents"/>
              <w:bidi w:val="0"/>
              <w:spacing w:before="0" w:after="0"/>
              <w:ind w:left="0" w:right="0" w:hanging="0"/>
              <w:jc w:val="left"/>
              <w:rPr/>
            </w:pPr>
            <w:r>
              <w:rPr/>
              <w:t>​</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86,350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94,830</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pPr>
            <w:r>
              <w:rPr/>
              <w:t>  ​</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Preferred stock: $0.001 par value, 10,000,000 shares authorized, and no shares issued or outstanding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$0.001 par value, 250,000,000 shares authorized; 2,971,729 and 2,804,542 shares issued and outstanding as of December 28, 2025 and December 29, 2024, respectively(1)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266,557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262,313</w:t>
            </w:r>
          </w:p>
        </w:tc>
        <w:tc>
          <w:tcPr>
            <w:tcW w:w="192" w:type="dxa"/>
            <w:tcBorders/>
            <w:vAlign w:val="center"/>
          </w:tcPr>
          <w:p>
            <w:pPr>
              <w:pStyle w:val="TableContents"/>
              <w:bidi w:val="0"/>
              <w:spacing w:before="0" w:after="0"/>
              <w:ind w:left="0" w:right="0" w:hanging="0"/>
              <w:jc w:val="left"/>
              <w:rPr/>
            </w:pPr>
            <w:r>
              <w:rPr/>
              <w:t>​</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(262,204)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(248,491)</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Treasury stock, at cost, 146,555 shares and 22,621 shares as of December 28, 2025 and December 29, 2024, respectively(1)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(496)</w:t>
            </w:r>
          </w:p>
        </w:tc>
        <w:tc>
          <w:tcPr>
            <w:tcW w:w="192" w:type="dxa"/>
            <w:tcBorders/>
            <w:vAlign w:val="center"/>
          </w:tcPr>
          <w:p>
            <w:pPr>
              <w:pStyle w:val="TableContents"/>
              <w:bidi w:val="0"/>
              <w:spacing w:before="0" w:after="0"/>
              <w:ind w:left="0" w:right="0" w:hanging="0"/>
              <w:jc w:val="left"/>
              <w:rPr/>
            </w:pPr>
            <w:r>
              <w:rPr/>
              <w:t>​</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13,368</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89,364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108,198</w:t>
            </w:r>
          </w:p>
        </w:tc>
        <w:tc>
          <w:tcPr>
            <w:tcW w:w="192"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0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Shares have been adjusted to reflect the 1-for-15 reverse stock split that became effective as of the opening of business on July 7, 2025. Refer to Note 2, “Significant Accounting Policies”, in the Notes to the Condensed Consolidated Financial Statements included in the Annual Report on Form 10-K for the period ended December 28, 2025, for more information</w:t>
            </w:r>
            <w:r>
              <w:rPr>
                <w:rFonts w:ascii="Times New Roman;Times;serif" w:hAnsi="Times New Roman;Times;serif"/>
                <w:b w:val="false"/>
                <w:i w:val="false"/>
                <w:caps w:val="false"/>
                <w:smallCaps w:val="false"/>
                <w:sz w:val="20"/>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00"/>
        <w:ind w:left="0" w:right="0" w:hanging="0"/>
        <w:jc w:val="center"/>
        <w:rPr/>
      </w:pPr>
      <w:r>
        <w:rPr/>
        <w:t>​</w:t>
      </w:r>
    </w:p>
    <w:tbl>
      <w:tblPr>
        <w:tblW w:w="8839" w:type="dxa"/>
        <w:jc w:val="center"/>
        <w:tblInd w:w="0" w:type="dxa"/>
        <w:tblLayout w:type="fixed"/>
        <w:tblCellMar>
          <w:top w:w="0" w:type="dxa"/>
          <w:left w:w="0" w:type="dxa"/>
          <w:bottom w:w="0" w:type="dxa"/>
          <w:right w:w="0" w:type="dxa"/>
        </w:tblCellMar>
      </w:tblPr>
      <w:tblGrid>
        <w:gridCol w:w="5566"/>
        <w:gridCol w:w="346"/>
        <w:gridCol w:w="213"/>
        <w:gridCol w:w="882"/>
        <w:gridCol w:w="346"/>
        <w:gridCol w:w="226"/>
        <w:gridCol w:w="869"/>
        <w:gridCol w:w="391"/>
      </w:tblGrid>
      <w:tr>
        <w:trPr/>
        <w:tc>
          <w:tcPr>
            <w:tcW w:w="5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534410" cy="175260"/>
                      <wp:effectExtent l="0" t="0" r="0" b="0"/>
                      <wp:wrapNone/>
                      <wp:docPr id="34" name="Frame33"/>
                      <a:graphic xmlns:a="http://schemas.openxmlformats.org/drawingml/2006/main">
                        <a:graphicData uri="http://schemas.microsoft.com/office/word/2010/wordprocessingShape">
                          <wps:wsp>
                            <wps:cNvSpPr txBox="1"/>
                            <wps:spPr>
                              <a:xfrm>
                                <a:off x="0" y="0"/>
                                <a:ext cx="3534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5255" cy="175260"/>
                      <wp:effectExtent l="0" t="0" r="0" b="0"/>
                      <wp:wrapNone/>
                      <wp:docPr id="36" name="Frame35"/>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60070" cy="175260"/>
                      <wp:effectExtent l="0" t="0" r="0" b="0"/>
                      <wp:wrapNone/>
                      <wp:docPr id="37" name="Frame36"/>
                      <a:graphic xmlns:a="http://schemas.openxmlformats.org/drawingml/2006/main">
                        <a:graphicData uri="http://schemas.microsoft.com/office/word/2010/wordprocessingShape">
                          <wps:wsp>
                            <wps:cNvSpPr txBox="1"/>
                            <wps:spPr>
                              <a:xfrm>
                                <a:off x="0" y="0"/>
                                <a:ext cx="560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43510" cy="175260"/>
                      <wp:effectExtent l="0" t="0" r="0" b="0"/>
                      <wp:wrapNone/>
                      <wp:docPr id="39" name="Frame3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51815" cy="175260"/>
                      <wp:effectExtent l="0" t="0" r="0" b="0"/>
                      <wp:wrapNone/>
                      <wp:docPr id="40" name="Frame39"/>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48285" cy="175260"/>
                      <wp:effectExtent l="0" t="0" r="0" b="0"/>
                      <wp:wrapNone/>
                      <wp:docPr id="41" name="Frame4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66" w:type="dxa"/>
            <w:tcBorders/>
            <w:vAlign w:val="center"/>
          </w:tcPr>
          <w:p>
            <w:pPr>
              <w:pStyle w:val="TableContents"/>
              <w:bidi w:val="0"/>
              <w:spacing w:before="0" w:after="1"/>
              <w:ind w:left="0" w:right="0" w:hanging="0"/>
              <w:jc w:val="left"/>
              <w:rPr>
                <w:color w:val="333333"/>
              </w:rPr>
            </w:pPr>
            <w:r>
              <w:rPr>
                <w:color w:val="333333"/>
              </w:rPr>
              <w:t>​</w:t>
            </w:r>
          </w:p>
        </w:tc>
        <w:tc>
          <w:tcPr>
            <w:tcW w:w="346" w:type="dxa"/>
            <w:tcBorders/>
            <w:vAlign w:val="center"/>
          </w:tcPr>
          <w:p>
            <w:pPr>
              <w:pStyle w:val="TableContents"/>
              <w:bidi w:val="0"/>
              <w:spacing w:before="0" w:after="1"/>
              <w:ind w:left="0" w:right="0" w:hanging="0"/>
              <w:jc w:val="left"/>
              <w:rPr/>
            </w:pPr>
            <w:r>
              <w:rPr/>
              <w:t>​</w:t>
            </w:r>
          </w:p>
        </w:tc>
        <w:tc>
          <w:tcPr>
            <w:tcW w:w="2927"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Years Ended</w:t>
            </w:r>
          </w:p>
        </w:tc>
      </w:tr>
      <w:tr>
        <w:trPr/>
        <w:tc>
          <w:tcPr>
            <w:tcW w:w="5566" w:type="dxa"/>
            <w:tcBorders/>
            <w:vAlign w:val="center"/>
          </w:tcPr>
          <w:p>
            <w:pPr>
              <w:pStyle w:val="TableContents"/>
              <w:bidi w:val="0"/>
              <w:spacing w:before="0" w:after="1"/>
              <w:ind w:left="0" w:right="0" w:hanging="0"/>
              <w:jc w:val="left"/>
              <w:rPr>
                <w:color w:val="333333"/>
              </w:rPr>
            </w:pPr>
            <w:r>
              <w:rPr>
                <w:color w:val="333333"/>
              </w:rPr>
              <w:t>​</w:t>
            </w:r>
          </w:p>
        </w:tc>
        <w:tc>
          <w:tcPr>
            <w:tcW w:w="346" w:type="dxa"/>
            <w:tcBorders/>
            <w:vAlign w:val="center"/>
          </w:tcPr>
          <w:p>
            <w:pPr>
              <w:pStyle w:val="TableContents"/>
              <w:bidi w:val="0"/>
              <w:spacing w:before="0" w:after="1"/>
              <w:ind w:left="0" w:right="0" w:hanging="0"/>
              <w:jc w:val="left"/>
              <w:rPr/>
            </w:pPr>
            <w:r>
              <w:rPr/>
              <w:t>  ​ ​ ​</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28,</w:t>
            </w:r>
          </w:p>
        </w:tc>
        <w:tc>
          <w:tcPr>
            <w:tcW w:w="346" w:type="dxa"/>
            <w:tcBorders/>
            <w:vAlign w:val="center"/>
          </w:tcPr>
          <w:p>
            <w:pPr>
              <w:pStyle w:val="TableContents"/>
              <w:bidi w:val="0"/>
              <w:spacing w:before="0" w:after="1"/>
              <w:ind w:left="0" w:right="0" w:hanging="0"/>
              <w:jc w:val="left"/>
              <w:rPr/>
            </w:pPr>
            <w:r>
              <w:rPr/>
              <w:t>  ​ ​ ​</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29,</w:t>
            </w:r>
          </w:p>
        </w:tc>
        <w:tc>
          <w:tcPr>
            <w:tcW w:w="391" w:type="dxa"/>
            <w:tcBorders/>
            <w:vAlign w:val="center"/>
          </w:tcPr>
          <w:p>
            <w:pPr>
              <w:pStyle w:val="TableContents"/>
              <w:bidi w:val="0"/>
              <w:spacing w:before="0" w:after="1"/>
              <w:ind w:left="0" w:right="0" w:hanging="0"/>
              <w:jc w:val="left"/>
              <w:rPr/>
            </w:pPr>
            <w:r>
              <w:rPr/>
              <w:t>  ​ ​ ​</w:t>
            </w:r>
          </w:p>
        </w:tc>
      </w:tr>
      <w:tr>
        <w:trPr/>
        <w:tc>
          <w:tcPr>
            <w:tcW w:w="5566" w:type="dxa"/>
            <w:tcBorders/>
            <w:vAlign w:val="center"/>
          </w:tcPr>
          <w:p>
            <w:pPr>
              <w:pStyle w:val="TableContents"/>
              <w:bidi w:val="0"/>
              <w:spacing w:before="0" w:after="1"/>
              <w:ind w:left="0" w:right="0" w:hanging="0"/>
              <w:jc w:val="left"/>
              <w:rPr>
                <w:color w:val="333333"/>
              </w:rPr>
            </w:pPr>
            <w:r>
              <w:rPr>
                <w:color w:val="333333"/>
              </w:rPr>
              <w:t>​</w:t>
            </w:r>
          </w:p>
        </w:tc>
        <w:tc>
          <w:tcPr>
            <w:tcW w:w="346" w:type="dxa"/>
            <w:tcBorders/>
            <w:vAlign w:val="center"/>
          </w:tcPr>
          <w:p>
            <w:pPr>
              <w:pStyle w:val="TableContents"/>
              <w:bidi w:val="0"/>
              <w:spacing w:before="0" w:after="1"/>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1" w:type="dxa"/>
            <w:tcBorders/>
            <w:vAlign w:val="center"/>
          </w:tcPr>
          <w:p>
            <w:pPr>
              <w:pStyle w:val="TableContents"/>
              <w:bidi w:val="0"/>
              <w:spacing w:before="0" w:after="1"/>
              <w:ind w:left="0" w:right="0" w:hanging="0"/>
              <w:jc w:val="left"/>
              <w:rPr/>
            </w:pPr>
            <w:r>
              <w:rPr/>
              <w:t>​</w:t>
            </w:r>
          </w:p>
        </w:tc>
      </w:tr>
      <w:tr>
        <w:trPr/>
        <w:tc>
          <w:tcPr>
            <w:tcW w:w="5566" w:type="dxa"/>
            <w:tcBorders/>
            <w:vAlign w:val="center"/>
          </w:tcPr>
          <w:p>
            <w:pPr>
              <w:pStyle w:val="TableContents"/>
              <w:bidi w:val="0"/>
              <w:spacing w:before="0" w:after="1"/>
              <w:ind w:left="0" w:right="0" w:hanging="0"/>
              <w:jc w:val="left"/>
              <w:rPr>
                <w:color w:val="333333"/>
              </w:rPr>
            </w:pPr>
            <w:r>
              <w:rPr>
                <w:color w:val="333333"/>
              </w:rPr>
              <w:t>​</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8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52 weeks</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52 weeks</w:t>
            </w:r>
          </w:p>
        </w:tc>
        <w:tc>
          <w:tcPr>
            <w:tcW w:w="391" w:type="dxa"/>
            <w:tcBorders/>
            <w:vAlign w:val="center"/>
          </w:tcPr>
          <w:p>
            <w:pPr>
              <w:pStyle w:val="TableContents"/>
              <w:bidi w:val="0"/>
              <w:spacing w:before="0" w:after="1"/>
              <w:ind w:left="0" w:right="0" w:hanging="0"/>
              <w:jc w:val="left"/>
              <w:rPr/>
            </w:pPr>
            <w:r>
              <w:rPr/>
              <w:t>​</w:t>
            </w:r>
          </w:p>
        </w:tc>
      </w:tr>
      <w:tr>
        <w:trPr/>
        <w:tc>
          <w:tcPr>
            <w:tcW w:w="556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213" w:type="dxa"/>
            <w:tcBorders/>
            <w:shd w:fill="CCEEFF" w:val="clear"/>
            <w:vAlign w:val="center"/>
          </w:tcPr>
          <w:p>
            <w:pPr>
              <w:pStyle w:val="TableContents"/>
              <w:bidi w:val="0"/>
              <w:spacing w:before="0" w:after="1"/>
              <w:ind w:left="0" w:right="0" w:hanging="0"/>
              <w:jc w:val="left"/>
              <w:rPr/>
            </w:pPr>
            <w:r>
              <w:rPr/>
              <w:t>​</w:t>
            </w:r>
          </w:p>
        </w:tc>
        <w:tc>
          <w:tcPr>
            <w:tcW w:w="88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r>
      <w:tr>
        <w:trPr/>
        <w:tc>
          <w:tcPr>
            <w:tcW w:w="55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(13,713)</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(55,286)</w:t>
            </w:r>
          </w:p>
        </w:tc>
        <w:tc>
          <w:tcPr>
            <w:tcW w:w="391" w:type="dxa"/>
            <w:tcBorders/>
            <w:vAlign w:val="center"/>
          </w:tcPr>
          <w:p>
            <w:pPr>
              <w:pStyle w:val="TableContents"/>
              <w:bidi w:val="0"/>
              <w:spacing w:before="0" w:after="1"/>
              <w:ind w:left="0" w:right="0" w:hanging="0"/>
              <w:jc w:val="left"/>
              <w:rPr/>
            </w:pPr>
            <w:r>
              <w:rPr/>
              <w:t>​</w:t>
            </w:r>
          </w:p>
        </w:tc>
      </w:tr>
      <w:tr>
        <w:trPr/>
        <w:tc>
          <w:tcPr>
            <w:tcW w:w="55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Adjustments to reconcile net loss to 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8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5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8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5,114</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5,480</w:t>
            </w:r>
          </w:p>
        </w:tc>
        <w:tc>
          <w:tcPr>
            <w:tcW w:w="391" w:type="dxa"/>
            <w:tcBorders/>
            <w:vAlign w:val="center"/>
          </w:tcPr>
          <w:p>
            <w:pPr>
              <w:pStyle w:val="TableContents"/>
              <w:bidi w:val="0"/>
              <w:spacing w:before="0" w:after="1"/>
              <w:ind w:left="0" w:right="0" w:hanging="0"/>
              <w:jc w:val="left"/>
              <w:rPr/>
            </w:pPr>
            <w:r>
              <w:rPr/>
              <w:t>​</w:t>
            </w:r>
          </w:p>
        </w:tc>
      </w:tr>
      <w:tr>
        <w:trPr/>
        <w:tc>
          <w:tcPr>
            <w:tcW w:w="55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Noncash lease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4,518</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4,069</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5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Gain on lease modification</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8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55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Gain on lease termination</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(229)</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5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debt discount and debt issuance costs</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8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544</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w:t>
            </w:r>
          </w:p>
        </w:tc>
        <w:tc>
          <w:tcPr>
            <w:tcW w:w="391" w:type="dxa"/>
            <w:tcBorders/>
            <w:vAlign w:val="center"/>
          </w:tcPr>
          <w:p>
            <w:pPr>
              <w:pStyle w:val="TableContents"/>
              <w:bidi w:val="0"/>
              <w:spacing w:before="0" w:after="1"/>
              <w:ind w:left="0" w:right="0" w:hanging="0"/>
              <w:jc w:val="left"/>
              <w:rPr/>
            </w:pPr>
            <w:r>
              <w:rPr/>
              <w:t>​</w:t>
            </w:r>
          </w:p>
        </w:tc>
      </w:tr>
      <w:tr>
        <w:trPr/>
        <w:tc>
          <w:tcPr>
            <w:tcW w:w="55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on disposal of 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276</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5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Equity-based compensation expense</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8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4,481</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8,090</w:t>
            </w:r>
          </w:p>
        </w:tc>
        <w:tc>
          <w:tcPr>
            <w:tcW w:w="391" w:type="dxa"/>
            <w:tcBorders/>
            <w:vAlign w:val="center"/>
          </w:tcPr>
          <w:p>
            <w:pPr>
              <w:pStyle w:val="TableContents"/>
              <w:bidi w:val="0"/>
              <w:spacing w:before="0" w:after="1"/>
              <w:ind w:left="0" w:right="0" w:hanging="0"/>
              <w:jc w:val="left"/>
              <w:rPr/>
            </w:pPr>
            <w:r>
              <w:rPr/>
              <w:t>​</w:t>
            </w:r>
          </w:p>
        </w:tc>
      </w:tr>
      <w:tr>
        <w:trPr/>
        <w:tc>
          <w:tcPr>
            <w:tcW w:w="55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8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3,802</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5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Goodwill impairment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8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28,374</w:t>
            </w:r>
          </w:p>
        </w:tc>
        <w:tc>
          <w:tcPr>
            <w:tcW w:w="391" w:type="dxa"/>
            <w:tcBorders/>
            <w:vAlign w:val="center"/>
          </w:tcPr>
          <w:p>
            <w:pPr>
              <w:pStyle w:val="TableContents"/>
              <w:bidi w:val="0"/>
              <w:spacing w:before="0" w:after="1"/>
              <w:ind w:left="0" w:right="0" w:hanging="0"/>
              <w:jc w:val="left"/>
              <w:rPr/>
            </w:pPr>
            <w:r>
              <w:rPr/>
              <w:t>​</w:t>
            </w:r>
          </w:p>
        </w:tc>
      </w:tr>
      <w:tr>
        <w:trPr/>
        <w:tc>
          <w:tcPr>
            <w:tcW w:w="55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8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5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8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446</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1,384</w:t>
            </w:r>
          </w:p>
        </w:tc>
        <w:tc>
          <w:tcPr>
            <w:tcW w:w="391" w:type="dxa"/>
            <w:tcBorders/>
            <w:vAlign w:val="center"/>
          </w:tcPr>
          <w:p>
            <w:pPr>
              <w:pStyle w:val="TableContents"/>
              <w:bidi w:val="0"/>
              <w:spacing w:before="0" w:after="1"/>
              <w:ind w:left="0" w:right="0" w:hanging="0"/>
              <w:jc w:val="left"/>
              <w:rPr/>
            </w:pPr>
            <w:r>
              <w:rPr/>
              <w:t>​</w:t>
            </w:r>
          </w:p>
        </w:tc>
      </w:tr>
      <w:tr>
        <w:trPr/>
        <w:tc>
          <w:tcPr>
            <w:tcW w:w="55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1,592</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1,436</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5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Assets for recovery</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8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728</w:t>
            </w:r>
          </w:p>
        </w:tc>
        <w:tc>
          <w:tcPr>
            <w:tcW w:w="391" w:type="dxa"/>
            <w:tcBorders/>
            <w:vAlign w:val="center"/>
          </w:tcPr>
          <w:p>
            <w:pPr>
              <w:pStyle w:val="TableContents"/>
              <w:bidi w:val="0"/>
              <w:spacing w:before="0" w:after="1"/>
              <w:ind w:left="0" w:right="0" w:hanging="0"/>
              <w:jc w:val="left"/>
              <w:rPr/>
            </w:pPr>
            <w:r>
              <w:rPr/>
              <w:t>​</w:t>
            </w:r>
          </w:p>
        </w:tc>
      </w:tr>
      <w:tr>
        <w:trPr/>
        <w:tc>
          <w:tcPr>
            <w:tcW w:w="55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taxes (receivable)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3,149</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(832)</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5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and other current assets</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8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1,068</w:t>
            </w:r>
          </w:p>
        </w:tc>
        <w:tc>
          <w:tcPr>
            <w:tcW w:w="391" w:type="dxa"/>
            <w:tcBorders/>
            <w:vAlign w:val="center"/>
          </w:tcPr>
          <w:p>
            <w:pPr>
              <w:pStyle w:val="TableContents"/>
              <w:bidi w:val="0"/>
              <w:spacing w:before="0" w:after="1"/>
              <w:ind w:left="0" w:right="0" w:hanging="0"/>
              <w:jc w:val="left"/>
              <w:rPr/>
            </w:pPr>
            <w:r>
              <w:rPr/>
              <w:t>​</w:t>
            </w:r>
          </w:p>
        </w:tc>
      </w:tr>
      <w:tr>
        <w:trPr/>
        <w:tc>
          <w:tcPr>
            <w:tcW w:w="55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(2,658)</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2,141</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5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expenses and other current liabilities</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8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2,190</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4,832</w:t>
            </w:r>
          </w:p>
        </w:tc>
        <w:tc>
          <w:tcPr>
            <w:tcW w:w="391" w:type="dxa"/>
            <w:tcBorders/>
            <w:vAlign w:val="center"/>
          </w:tcPr>
          <w:p>
            <w:pPr>
              <w:pStyle w:val="TableContents"/>
              <w:bidi w:val="0"/>
              <w:spacing w:before="0" w:after="1"/>
              <w:ind w:left="0" w:right="0" w:hanging="0"/>
              <w:jc w:val="left"/>
              <w:rPr/>
            </w:pPr>
            <w:r>
              <w:rPr/>
              <w:t>​</w:t>
            </w:r>
          </w:p>
        </w:tc>
      </w:tr>
      <w:tr>
        <w:trPr/>
        <w:tc>
          <w:tcPr>
            <w:tcW w:w="55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(4,299)</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(3,488)</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5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noncurrent liabilities</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368</w:t>
            </w:r>
          </w:p>
        </w:tc>
        <w:tc>
          <w:tcPr>
            <w:tcW w:w="391" w:type="dxa"/>
            <w:tcBorders/>
            <w:vAlign w:val="center"/>
          </w:tcPr>
          <w:p>
            <w:pPr>
              <w:pStyle w:val="TableContents"/>
              <w:bidi w:val="0"/>
              <w:spacing w:before="0" w:after="1"/>
              <w:ind w:left="0" w:right="0" w:hanging="0"/>
              <w:jc w:val="left"/>
              <w:rPr/>
            </w:pPr>
            <w:r>
              <w:rPr/>
              <w:t>​</w:t>
            </w:r>
          </w:p>
        </w:tc>
      </w:tr>
      <w:tr>
        <w:trPr/>
        <w:tc>
          <w:tcPr>
            <w:tcW w:w="556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1,379</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2,601</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56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82"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w:t>
            </w:r>
          </w:p>
        </w:tc>
      </w:tr>
      <w:tr>
        <w:trPr/>
        <w:tc>
          <w:tcPr>
            <w:tcW w:w="55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Capitalized software development costs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(1,816)</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(1,574)</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5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Purchases of property and equipment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8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(350)</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(1,300)</w:t>
            </w:r>
          </w:p>
        </w:tc>
        <w:tc>
          <w:tcPr>
            <w:tcW w:w="391" w:type="dxa"/>
            <w:tcBorders/>
            <w:vAlign w:val="center"/>
          </w:tcPr>
          <w:p>
            <w:pPr>
              <w:pStyle w:val="TableContents"/>
              <w:bidi w:val="0"/>
              <w:spacing w:before="0" w:after="1"/>
              <w:ind w:left="0" w:right="0" w:hanging="0"/>
              <w:jc w:val="left"/>
              <w:rPr/>
            </w:pPr>
            <w:r>
              <w:rPr/>
              <w:t>​</w:t>
            </w:r>
          </w:p>
        </w:tc>
      </w:tr>
      <w:tr>
        <w:trPr/>
        <w:tc>
          <w:tcPr>
            <w:tcW w:w="55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56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(2,131)</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(2,874)</w:t>
            </w:r>
          </w:p>
        </w:tc>
        <w:tc>
          <w:tcPr>
            <w:tcW w:w="391" w:type="dxa"/>
            <w:tcBorders/>
            <w:vAlign w:val="center"/>
          </w:tcPr>
          <w:p>
            <w:pPr>
              <w:pStyle w:val="TableContents"/>
              <w:bidi w:val="0"/>
              <w:spacing w:before="0" w:after="1"/>
              <w:ind w:left="0" w:right="0" w:hanging="0"/>
              <w:jc w:val="left"/>
              <w:rPr/>
            </w:pPr>
            <w:r>
              <w:rPr/>
              <w:t>​</w:t>
            </w:r>
          </w:p>
        </w:tc>
      </w:tr>
      <w:tr>
        <w:trPr/>
        <w:tc>
          <w:tcPr>
            <w:tcW w:w="556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8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5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borrowings on revolving line of credit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8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33,090</w:t>
            </w:r>
          </w:p>
        </w:tc>
        <w:tc>
          <w:tcPr>
            <w:tcW w:w="391" w:type="dxa"/>
            <w:tcBorders/>
            <w:vAlign w:val="center"/>
          </w:tcPr>
          <w:p>
            <w:pPr>
              <w:pStyle w:val="TableContents"/>
              <w:bidi w:val="0"/>
              <w:spacing w:before="0" w:after="1"/>
              <w:ind w:left="0" w:right="0" w:hanging="0"/>
              <w:jc w:val="left"/>
              <w:rPr/>
            </w:pPr>
            <w:r>
              <w:rPr/>
              <w:t>​</w:t>
            </w:r>
          </w:p>
        </w:tc>
      </w:tr>
      <w:tr>
        <w:trPr/>
        <w:tc>
          <w:tcPr>
            <w:tcW w:w="55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Repayments on revolving line of credit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(13,090)</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(28,000)</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5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borrowings on Asset Based Revolving Credit Facility</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8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115,102</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55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Repayments on Asset Based Revolving Credit Facility</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(100,712)</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5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issuance of common stock under ESPP</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8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w:t>
            </w:r>
          </w:p>
        </w:tc>
        <w:tc>
          <w:tcPr>
            <w:tcW w:w="391" w:type="dxa"/>
            <w:tcBorders/>
            <w:vAlign w:val="center"/>
          </w:tcPr>
          <w:p>
            <w:pPr>
              <w:pStyle w:val="TableContents"/>
              <w:bidi w:val="0"/>
              <w:spacing w:before="0" w:after="1"/>
              <w:ind w:left="0" w:right="0" w:hanging="0"/>
              <w:jc w:val="left"/>
              <w:rPr/>
            </w:pPr>
            <w:r>
              <w:rPr/>
              <w:t>​</w:t>
            </w:r>
          </w:p>
        </w:tc>
      </w:tr>
      <w:tr>
        <w:trPr/>
        <w:tc>
          <w:tcPr>
            <w:tcW w:w="55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Principal payments on finance lease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(1,290)</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(1,365)</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5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Withholding tax payments related to vesting of RSUs and 2023 Bonus Plan</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8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(1,241)</w:t>
            </w:r>
          </w:p>
        </w:tc>
        <w:tc>
          <w:tcPr>
            <w:tcW w:w="391" w:type="dxa"/>
            <w:tcBorders/>
            <w:vAlign w:val="center"/>
          </w:tcPr>
          <w:p>
            <w:pPr>
              <w:pStyle w:val="TableContents"/>
              <w:bidi w:val="0"/>
              <w:spacing w:before="0" w:after="1"/>
              <w:ind w:left="0" w:right="0" w:hanging="0"/>
              <w:jc w:val="left"/>
              <w:rPr/>
            </w:pPr>
            <w:r>
              <w:rPr/>
              <w:t>​</w:t>
            </w:r>
          </w:p>
        </w:tc>
      </w:tr>
      <w:tr>
        <w:trPr/>
        <w:tc>
          <w:tcPr>
            <w:tcW w:w="55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Repurchase of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(886)</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(496)</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56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cash provided by (used in) financing activities</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(1,047)</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2,227</w:t>
            </w:r>
          </w:p>
        </w:tc>
        <w:tc>
          <w:tcPr>
            <w:tcW w:w="391" w:type="dxa"/>
            <w:tcBorders/>
            <w:vAlign w:val="center"/>
          </w:tcPr>
          <w:p>
            <w:pPr>
              <w:pStyle w:val="TableContents"/>
              <w:bidi w:val="0"/>
              <w:spacing w:before="0" w:after="1"/>
              <w:ind w:left="0" w:right="0" w:hanging="0"/>
              <w:jc w:val="left"/>
              <w:rPr/>
            </w:pPr>
            <w:r>
              <w:rPr/>
              <w:t>​</w:t>
            </w:r>
          </w:p>
        </w:tc>
      </w:tr>
      <w:tr>
        <w:trPr/>
        <w:tc>
          <w:tcPr>
            <w:tcW w:w="55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increase (decrease) in cash and cash equivalents </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(1,799)</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1,954</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5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 at beginning of period</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4,460</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2,506</w:t>
            </w:r>
          </w:p>
        </w:tc>
        <w:tc>
          <w:tcPr>
            <w:tcW w:w="391" w:type="dxa"/>
            <w:tcBorders/>
            <w:vAlign w:val="center"/>
          </w:tcPr>
          <w:p>
            <w:pPr>
              <w:pStyle w:val="TableContents"/>
              <w:bidi w:val="0"/>
              <w:spacing w:before="0" w:after="1"/>
              <w:ind w:left="0" w:right="0" w:hanging="0"/>
              <w:jc w:val="left"/>
              <w:rPr/>
            </w:pPr>
            <w:r>
              <w:rPr/>
              <w:t>​</w:t>
            </w:r>
          </w:p>
        </w:tc>
      </w:tr>
      <w:tr>
        <w:trPr/>
        <w:tc>
          <w:tcPr>
            <w:tcW w:w="55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at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2,661</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4,460</w:t>
            </w:r>
          </w:p>
        </w:tc>
        <w:tc>
          <w:tcPr>
            <w:tcW w:w="3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Webcast &amp; Conference Call Information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will host a conference call and live webcast with the investment community at 5:00 p.m. Eastern Time today, Monday, March 30, 2026, to discuss its fourth quarter and full year 2025 financial results. The live webcast will be accessible through the Investor Relations section of the Company’s website at https://investors.lulus.com/. To access the call through a conference line, dial 1-877-407-0792 (in the U.S.) or 1-201-689-8263 (international callers). A replay of the conference call will be posted shortly after the call and will be available for seven days following the call. To access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replay, dial 1-844-512-2921 (in the U.S.) or 1-412-317-6671 (international callers). The access code for the replay is 13758896.</w:t>
      </w:r>
    </w:p>
    <w:p>
      <w:pPr>
        <w:pStyle w:val="TextBody"/>
        <w:bidi w:val="0"/>
        <w:spacing w:before="0" w:after="140"/>
        <w:ind w:left="0" w:right="0" w:hanging="0"/>
        <w:jc w:val="left"/>
        <w:rPr>
          <w:rFonts w:ascii="Times New Roman;Times;serif" w:hAnsi="Times New Roman;Times;serif"/>
          <w:b/>
          <w:sz w:val="20"/>
        </w:rPr>
      </w:pPr>
      <w:r>
        <w:rPr>
          <w:rFonts w:ascii="Times New Roman;Times;serif" w:hAnsi="Times New Roman;Times;serif"/>
          <w:b/>
          <w:sz w:val="20"/>
        </w:rPr>
        <w:t>About Lulus</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Headquartered in California, but serving millions of customers worldwide, Lulus is a women’s clothing brand offering modern, feminine styles at accessible prices for every occasion. Our goal is to make every customer feel their most confident and beautiful for the moments that matter most. Founded in 1996 and delivering fresh styles almost every day, Lulus uses direct customer feedback and insights to refine product offerings and elevate the customer experience. Lulus’ world-class personal stylists, bridal concierge, and customer care team provide thoughtful, personalized service to shoppers around the world. Follow @lulus on Instagram and @lulus on TikTok. Lulus is a registered trademark of Lulu’s Fashion Lounge, LLC. All rights reserved.</w:t>
      </w:r>
    </w:p>
    <w:p>
      <w:pPr>
        <w:pStyle w:val="TextBody"/>
        <w:bidi w:val="0"/>
        <w:spacing w:before="0" w:after="14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This press release contains “forward-looking statements” within the Private Securities Litigation Reform Act of 1995. All statements other than statements of historical or current fact included in this press release are forward-looking statements, including but not limited to statements regarding our strategic priorities, business initiatives, demand trends, opportunities for long-term growth, and our financial outlook for the fiscal quarter ended March 29, 2026 and fiscal year ending January 3, 2027. These statements are neither promises nor guarantees, but involve known and unknown risks, uncertainties and other important factors that may cause Lulus’ actual results, performance or achievements to be materially different from any future results, performance or achievements expressed or implied by the forward-looking statements, including, but not limited to, the risk factors discussed in Part I, Item 1A, “Risk Factors” in Lulus’ Annual Report on Form 10-K for the fiscal year ended December 29, 2024, Part II, Item IA, “Risk Factors” in Lulus’ Quarterly Reports on Form 10-Q for the fiscal quarters ended March 30, 2025 and June 29, 2025, and our other filings with the Securities and Exchange Commission which could cause actual results to differ materially from those indicated by the forward-looking statements made in this press release. Any such forward-looking statements represent management’s estimates as of the date of this press release. While Lulus may elect to update such forward-looking statements at some point in the future, it disclaims any obligation to do so, except as required by law, even if subsequent events cause its views to change.</w:t>
      </w:r>
    </w:p>
    <w:p>
      <w:pPr>
        <w:pStyle w:val="TextBody"/>
        <w:bidi w:val="0"/>
        <w:spacing w:before="0" w:after="140"/>
        <w:ind w:left="0" w:right="0" w:hanging="0"/>
        <w:jc w:val="left"/>
        <w:rPr>
          <w:rFonts w:ascii="Times New Roman;Times;serif" w:hAnsi="Times New Roman;Times;serif"/>
          <w:b/>
          <w:sz w:val="20"/>
        </w:rPr>
      </w:pPr>
      <w:r>
        <w:rPr>
          <w:rFonts w:ascii="Times New Roman;Times;serif" w:hAnsi="Times New Roman;Times;serif"/>
          <w:b/>
          <w:sz w:val="20"/>
        </w:rPr>
        <w:t>Use of Non-GAAP Financial Measures and Other Operating Metrics</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To supplement our condensed consolidated financial statements, which are prepared and presented in accordance with accounting principles generally accepted in the United States of America (“GAAP”), we reference in this press release and the accompanying tables the following non-GAAP financial measures: Adjusted EBITDA, Adjusted EBITDA Margin, Net Debt and Free Cash Flow. The presentation of this non-GAAP financial information is not intended to be considered in isolation or as a substitute for, or superior to, the financial information prepared and presented in accordance with GAAP, and our non-GAAP measures may be different from non-GAAP measures used by other companies. We use these non-GAAP financial measures to evaluate our operating performance, generate future operating plans and make strategic decisions regarding the allocation of capital. Our management believes that these non-GAAP financial measures provide meaningful supplemental information regarding our performance and liquidity by excluding certain expenses that may not be indicative of our ongoing core operating performance. We believe that both management and investors benefit from referring to these non-GAAP financial measures in assessing our performance and when analyzing historical performance and liquidity and when planning, forecasting, and analyzing future periods. For a reconciliation of these non-GAAP financial measures to GAAP measures, please see the tables captioned “Reconciliation of Non-GAAP Financial Measures” included at the end of this release. A reconciliation of Net Debt on a forward-looking basis cannot be provided without unreasonable efforts, as we are unable to provide the total debt amount for the outlook period and reconciling information with respect to the adjustment item of cash and cash equivalents. Definitions Definitions of our non-GAAP financial measures and other operating metrics are presented below. We also use certain key operating metrics, including Gross Margin, Active Customers, Average Order Value, and Total Orders Placed.</w:t>
      </w:r>
    </w:p>
    <w:p>
      <w:pPr>
        <w:pStyle w:val="TextBody"/>
        <w:bidi w:val="0"/>
        <w:spacing w:before="0" w:after="140"/>
        <w:ind w:left="0" w:right="0" w:hanging="0"/>
        <w:jc w:val="left"/>
        <w:rPr>
          <w:rFonts w:ascii="Times New Roman;Times;serif" w:hAnsi="Times New Roman;Times;serif"/>
          <w:b/>
          <w:sz w:val="20"/>
        </w:rPr>
      </w:pPr>
      <w:r>
        <w:rPr>
          <w:rFonts w:ascii="Times New Roman;Times;serif" w:hAnsi="Times New Roman;Times;serif"/>
          <w:b/>
          <w:sz w:val="20"/>
        </w:rPr>
        <w:t>Adjusted EBITDA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Adjusted EBITDA is a non-GAAP financial measure that we calculate as net loss before interest expense, income taxes, depreciation and amortization, adjusted to exclude the effects of equity-based compensation expense, goodwill impairment and other non-routine expenses. Adjusted EBITDA is a key measure used by management to evaluate our operating performance, generate future operating plans and make strategic decisions regarding the allocation of capital. In particular,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the exclusion of certain expenses in calculating Adjusted EBITDA facilitates operating performance comparisons on a period-to-period basis and, in the case of exclusion of the impact of equity-based compensation, excludes items that we do not consider to be indicative of our core operating performance.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Adjusted EBITDA Margin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Adjusted EBITDA Margin is a non-GAAP financial measure that we calculate as Adjusted EBITDA (as defined above) as a percentage of our net revenue.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Active Customers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define Active Customers as the number of customers who have made at least one purchase across our platform in the prior 12-month period. Active Customer count is measured as of the last day of the relevant period. We consider the number of Active Customers to be a key performance metric on the basis that it is directly related to consumer awareness of our brand, our ability to attract visitors to our digital platform, and our ability to convert visitors to paying customers. Active Customer counts are based on deduplication logic using customer account and guest checkout name, address, and email information.</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Average Order Value (AOV)</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define AOV as the sum of the total gross sales before returns across our platform in a given period, plus shipping revenue, less discounts and markdowns, divided by the Total Orders Placed (as defined below) in that period. AOV reflects the average basket size of our customers. AOV may fluctuate as we continue investing in the development and introduction of new Lulus merchandise and as a result of our promotional discount activity.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Free Cash Flow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Free Cash Flow is a non-GAAP financial measure that we calculate as net cash provided by (used in) operating activities less cash used for capitalized software development costs and purchases of property and equipment. We view Free Cash Flow as an important indicator of our liquidity because it measures the amount of cash we generate.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Gross Margin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shd w:fill="FFFFFF" w:val="clear"/>
        </w:rPr>
        <w:t>We define Gross Margin as gross profit as a percentage of our net revenue. Gross profit is equal to our net revenue less cost of revenue. Certain of our competitors and other retailers may report cost of revenue differently than we do. As a result, the reporting of our gross profit and Gross Margin may not be comparable to other companies</w:t>
      </w:r>
      <w:r>
        <w:rPr>
          <w:rFonts w:ascii="Times New Roman;Times;serif" w:hAnsi="Times New Roman;Times;serif"/>
          <w:sz w:val="20"/>
        </w:rPr>
        <w: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Net Debt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Net Debt is a non-GAAP financial measure that is defined as total debt, which currently consists of borrowings under the Company’s 2025 credit agreement with White Oak Commercial Finance, LLC, as amended, less cash and cash equivalents. We consider Net Debt to be an important supplemental measure of our financial position, which allows us to analyze our leverage</w:t>
      </w:r>
      <w:r>
        <w:rPr>
          <w:rFonts w:ascii="Times New Roman;Times;serif" w:hAnsi="Times New Roman;Times;serif"/>
          <w:color w:val="222222"/>
          <w:sz w:val="20"/>
          <w:shd w:fill="FFFFFF" w:val="clear"/>
        </w:rPr>
        <w:t>. </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Orders Placed</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define Total Orders Placed as the number of customer orders placed across our platform during a particular period. An order is counted on the day the customer places the order. We do not adjust the number of Total Orders Placed for any cancellation or return that may have occurred subsequent to a customer placing an order. We consider Total Orders Placed as a key performance metric on the basis that it is directly related to our ability to attract and retain customers as well as drive purchase frequency. Total Orders Placed, together with AOV, is an indicator of the net revenue we expect to generate in a particular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KEY OPERATING AND FINANCIAL METRICS</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(Unaudited)</w:t>
      </w:r>
    </w:p>
    <w:tbl>
      <w:tblPr>
        <w:tblW w:w="9679" w:type="dxa"/>
        <w:jc w:val="center"/>
        <w:tblInd w:w="0" w:type="dxa"/>
        <w:tblLayout w:type="fixed"/>
        <w:tblCellMar>
          <w:top w:w="0" w:type="dxa"/>
          <w:left w:w="0" w:type="dxa"/>
          <w:bottom w:w="0" w:type="dxa"/>
          <w:right w:w="0" w:type="dxa"/>
        </w:tblCellMar>
      </w:tblPr>
      <w:tblGrid>
        <w:gridCol w:w="2251"/>
        <w:gridCol w:w="346"/>
        <w:gridCol w:w="234"/>
        <w:gridCol w:w="966"/>
        <w:gridCol w:w="300"/>
        <w:gridCol w:w="346"/>
        <w:gridCol w:w="234"/>
        <w:gridCol w:w="966"/>
        <w:gridCol w:w="300"/>
        <w:gridCol w:w="346"/>
        <w:gridCol w:w="247"/>
        <w:gridCol w:w="934"/>
        <w:gridCol w:w="318"/>
        <w:gridCol w:w="346"/>
        <w:gridCol w:w="246"/>
        <w:gridCol w:w="930"/>
        <w:gridCol w:w="369"/>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429385" cy="175260"/>
                      <wp:effectExtent l="0" t="0" r="0" b="0"/>
                      <wp:wrapNone/>
                      <wp:docPr id="42" name="Frame41"/>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48590" cy="175260"/>
                      <wp:effectExtent l="0" t="0" r="0" b="0"/>
                      <wp:wrapNone/>
                      <wp:docPr id="44" name="Frame43"/>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13410" cy="175260"/>
                      <wp:effectExtent l="0" t="0" r="0" b="0"/>
                      <wp:wrapNone/>
                      <wp:docPr id="45" name="Frame44"/>
                      <a:graphic xmlns:a="http://schemas.openxmlformats.org/drawingml/2006/main">
                        <a:graphicData uri="http://schemas.microsoft.com/office/word/2010/wordprocessingShape">
                          <wps:wsp>
                            <wps:cNvSpPr txBox="1"/>
                            <wps:spPr>
                              <a:xfrm>
                                <a:off x="0" y="0"/>
                                <a:ext cx="613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90500" cy="175260"/>
                      <wp:effectExtent l="0" t="0" r="0" b="0"/>
                      <wp:wrapNone/>
                      <wp:docPr id="46" name="Frame45"/>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48590" cy="175260"/>
                      <wp:effectExtent l="0" t="0" r="0" b="0"/>
                      <wp:wrapNone/>
                      <wp:docPr id="48" name="Frame47"/>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13410" cy="175260"/>
                      <wp:effectExtent l="0" t="0" r="0" b="0"/>
                      <wp:wrapNone/>
                      <wp:docPr id="49" name="Frame48"/>
                      <a:graphic xmlns:a="http://schemas.openxmlformats.org/drawingml/2006/main">
                        <a:graphicData uri="http://schemas.microsoft.com/office/word/2010/wordprocessingShape">
                          <wps:wsp>
                            <wps:cNvSpPr txBox="1"/>
                            <wps:spPr>
                              <a:xfrm>
                                <a:off x="0" y="0"/>
                                <a:ext cx="613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90500" cy="175260"/>
                      <wp:effectExtent l="0" t="0" r="0" b="0"/>
                      <wp:wrapNone/>
                      <wp:docPr id="50" name="Frame49"/>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56845" cy="175260"/>
                      <wp:effectExtent l="0" t="0" r="0" b="0"/>
                      <wp:wrapNone/>
                      <wp:docPr id="52" name="Frame51"/>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93090" cy="175260"/>
                      <wp:effectExtent l="0" t="0" r="0" b="0"/>
                      <wp:wrapNone/>
                      <wp:docPr id="53" name="Frame52"/>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1930" cy="175260"/>
                      <wp:effectExtent l="0" t="0" r="0" b="0"/>
                      <wp:wrapNone/>
                      <wp:docPr id="54" name="Frame53"/>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56210" cy="175260"/>
                      <wp:effectExtent l="0" t="0" r="0" b="0"/>
                      <wp:wrapNone/>
                      <wp:docPr id="56" name="Frame55"/>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90550" cy="175260"/>
                      <wp:effectExtent l="0" t="0" r="0" b="0"/>
                      <wp:wrapNone/>
                      <wp:docPr id="57" name="Frame56"/>
                      <a:graphic xmlns:a="http://schemas.openxmlformats.org/drawingml/2006/main">
                        <a:graphicData uri="http://schemas.microsoft.com/office/word/2010/wordprocessingShape">
                          <wps:wsp>
                            <wps:cNvSpPr txBox="1"/>
                            <wps:spPr>
                              <a:xfrm>
                                <a:off x="0" y="0"/>
                                <a:ext cx="590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34315" cy="175260"/>
                      <wp:effectExtent l="0" t="0" r="0" b="0"/>
                      <wp:wrapNone/>
                      <wp:docPr id="58" name="Frame57"/>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46"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Quarters Ended</w:t>
            </w:r>
          </w:p>
        </w:tc>
        <w:tc>
          <w:tcPr>
            <w:tcW w:w="346" w:type="dxa"/>
            <w:tcBorders/>
            <w:vAlign w:val="center"/>
          </w:tcPr>
          <w:p>
            <w:pPr>
              <w:pStyle w:val="TableContents"/>
              <w:bidi w:val="0"/>
              <w:spacing w:before="0" w:after="1"/>
              <w:ind w:left="0" w:right="0" w:hanging="0"/>
              <w:jc w:val="center"/>
              <w:rPr/>
            </w:pPr>
            <w:r>
              <w:rPr/>
              <w:t>​</w:t>
            </w:r>
          </w:p>
        </w:tc>
        <w:tc>
          <w:tcPr>
            <w:tcW w:w="3390"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Years Ended</w:t>
            </w:r>
          </w:p>
        </w:tc>
      </w:tr>
      <w:tr>
        <w:trPr/>
        <w:tc>
          <w:tcPr>
            <w:tcW w:w="22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50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28, 2025</w:t>
            </w:r>
          </w:p>
        </w:tc>
        <w:tc>
          <w:tcPr>
            <w:tcW w:w="346" w:type="dxa"/>
            <w:tcBorders/>
            <w:vAlign w:val="center"/>
          </w:tcPr>
          <w:p>
            <w:pPr>
              <w:pStyle w:val="TableContents"/>
              <w:bidi w:val="0"/>
              <w:spacing w:before="0" w:after="1"/>
              <w:ind w:left="0" w:right="0" w:hanging="0"/>
              <w:jc w:val="center"/>
              <w:rPr/>
            </w:pPr>
            <w:r>
              <w:rPr/>
              <w:t>  ​ ​ ​</w:t>
            </w:r>
          </w:p>
        </w:tc>
        <w:tc>
          <w:tcPr>
            <w:tcW w:w="150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29, 2024</w:t>
            </w:r>
          </w:p>
        </w:tc>
        <w:tc>
          <w:tcPr>
            <w:tcW w:w="346" w:type="dxa"/>
            <w:tcBorders/>
            <w:vAlign w:val="center"/>
          </w:tcPr>
          <w:p>
            <w:pPr>
              <w:pStyle w:val="TableContents"/>
              <w:bidi w:val="0"/>
              <w:spacing w:before="0" w:after="1"/>
              <w:ind w:left="0" w:right="0" w:hanging="0"/>
              <w:jc w:val="center"/>
              <w:rPr/>
            </w:pPr>
            <w:r>
              <w:rPr/>
              <w:t>  ​ ​ ​</w:t>
            </w:r>
          </w:p>
        </w:tc>
        <w:tc>
          <w:tcPr>
            <w:tcW w:w="1499"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28, 2025</w:t>
            </w:r>
          </w:p>
        </w:tc>
        <w:tc>
          <w:tcPr>
            <w:tcW w:w="346" w:type="dxa"/>
            <w:tcBorders/>
            <w:vAlign w:val="center"/>
          </w:tcPr>
          <w:p>
            <w:pPr>
              <w:pStyle w:val="TableContents"/>
              <w:bidi w:val="0"/>
              <w:spacing w:before="0" w:after="1"/>
              <w:ind w:left="0" w:right="0" w:hanging="0"/>
              <w:jc w:val="center"/>
              <w:rPr/>
            </w:pPr>
            <w:r>
              <w:rPr/>
              <w:t>  ​ ​ ​</w:t>
            </w:r>
          </w:p>
        </w:tc>
        <w:tc>
          <w:tcPr>
            <w:tcW w:w="154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29, 2024</w:t>
            </w:r>
          </w:p>
        </w:tc>
      </w:tr>
      <w:tr>
        <w:trPr/>
        <w:tc>
          <w:tcPr>
            <w:tcW w:w="22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(13 weeks)</w:t>
            </w:r>
          </w:p>
        </w:tc>
        <w:tc>
          <w:tcPr>
            <w:tcW w:w="3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(13 weeks)</w:t>
            </w:r>
          </w:p>
        </w:tc>
        <w:tc>
          <w:tcPr>
            <w:tcW w:w="3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99"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(52 weeks)</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54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(52 weeks)</w:t>
            </w:r>
          </w:p>
        </w:tc>
      </w:tr>
      <w:tr>
        <w:trPr/>
        <w:tc>
          <w:tcPr>
            <w:tcW w:w="9679" w:type="dxa"/>
            <w:gridSpan w:val="17"/>
            <w:tcBorders/>
            <w:vAlign w:val="center"/>
          </w:tcPr>
          <w:p>
            <w:pPr>
              <w:pStyle w:val="TableContents"/>
              <w:bidi w:val="0"/>
              <w:spacing w:before="0" w:after="283"/>
              <w:ind w:left="0" w:right="0" w:hanging="0"/>
              <w:jc w:val="left"/>
              <w:rPr>
                <w:sz w:val="4"/>
                <w:szCs w:val="4"/>
              </w:rPr>
            </w:pPr>
            <w:r>
              <w:rPr>
                <w:sz w:val="4"/>
                <w:szCs w:val="4"/>
              </w:rPr>
            </w:r>
          </w:p>
        </w:tc>
      </w:tr>
      <w:tr>
        <w:trPr/>
        <w:tc>
          <w:tcPr>
            <w:tcW w:w="22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82" w:type="dxa"/>
            <w:gridSpan w:val="1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Average Order Value and percentages)</w:t>
            </w:r>
          </w:p>
        </w:tc>
      </w:tr>
      <w:tr>
        <w:trPr/>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1"/>
              <w:ind w:left="0" w:right="0" w:hanging="0"/>
              <w:jc w:val="left"/>
              <w:rPr/>
            </w:pPr>
            <w:r>
              <w:rPr/>
              <w:t> </w:t>
            </w:r>
          </w:p>
        </w:tc>
        <w:tc>
          <w:tcPr>
            <w:tcW w:w="234" w:type="dxa"/>
            <w:tcBorders/>
            <w:shd w:fill="CCEEFF" w:val="clear"/>
            <w:vAlign w:val="center"/>
          </w:tcPr>
          <w:p>
            <w:pPr>
              <w:pStyle w:val="TableContents"/>
              <w:bidi w:val="0"/>
              <w:spacing w:before="0" w:after="1"/>
              <w:ind w:left="0" w:right="0" w:hanging="0"/>
              <w:jc w:val="left"/>
              <w:rPr/>
            </w:pPr>
            <w:r>
              <w:rPr/>
              <w:t>​</w:t>
            </w:r>
          </w:p>
        </w:tc>
        <w:tc>
          <w:tcPr>
            <w:tcW w:w="9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w:t>
            </w:r>
          </w:p>
        </w:tc>
        <w:tc>
          <w:tcPr>
            <w:tcW w:w="3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9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w:t>
            </w:r>
          </w:p>
        </w:tc>
        <w:tc>
          <w:tcPr>
            <w:tcW w:w="3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w:t>
            </w:r>
          </w:p>
        </w:tc>
        <w:tc>
          <w:tcPr>
            <w:tcW w:w="3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w:t>
            </w:r>
          </w:p>
        </w:tc>
        <w:tc>
          <w:tcPr>
            <w:tcW w:w="3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(31,875)</w:t>
            </w:r>
          </w:p>
        </w:tc>
        <w:tc>
          <w:tcPr>
            <w:tcW w:w="3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(13,713)</w:t>
            </w:r>
          </w:p>
        </w:tc>
        <w:tc>
          <w:tcPr>
            <w:tcW w:w="3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(55,286)</w:t>
            </w:r>
          </w:p>
        </w:tc>
        <w:tc>
          <w:tcPr>
            <w:tcW w:w="369" w:type="dxa"/>
            <w:tcBorders/>
            <w:vAlign w:val="center"/>
          </w:tcPr>
          <w:p>
            <w:pPr>
              <w:pStyle w:val="TableContents"/>
              <w:bidi w:val="0"/>
              <w:spacing w:before="0" w:after="1"/>
              <w:ind w:left="0" w:right="0" w:hanging="0"/>
              <w:jc w:val="left"/>
              <w:rPr/>
            </w:pPr>
            <w:r>
              <w:rPr/>
              <w:t>​</w:t>
            </w:r>
          </w:p>
        </w:tc>
      </w:tr>
      <w:tr>
        <w:trPr/>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2,628</w:t>
            </w:r>
          </w:p>
        </w:tc>
        <w:tc>
          <w:tcPr>
            <w:tcW w:w="30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(3,300)</w:t>
            </w:r>
          </w:p>
        </w:tc>
        <w:tc>
          <w:tcPr>
            <w:tcW w:w="30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(1,196)</w:t>
            </w:r>
          </w:p>
        </w:tc>
        <w:tc>
          <w:tcPr>
            <w:tcW w:w="31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(9,738)</w:t>
            </w:r>
          </w:p>
        </w:tc>
        <w:tc>
          <w:tcPr>
            <w:tcW w:w="369" w:type="dxa"/>
            <w:tcBorders/>
            <w:shd w:fill="CCEEFF" w:val="clear"/>
            <w:vAlign w:val="center"/>
          </w:tcPr>
          <w:p>
            <w:pPr>
              <w:pStyle w:val="TableContents"/>
              <w:bidi w:val="0"/>
              <w:spacing w:before="0" w:after="1"/>
              <w:ind w:left="0" w:right="0" w:hanging="0"/>
              <w:jc w:val="left"/>
              <w:rPr/>
            </w:pPr>
            <w:r>
              <w:rPr/>
              <w:t>​</w:t>
            </w:r>
          </w:p>
        </w:tc>
      </w:tr>
      <w:tr>
        <w:trPr/>
        <w:tc>
          <w:tcPr>
            <w:tcW w:w="2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 Margin</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9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9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 </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Active Customers </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9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2,330</w:t>
            </w:r>
          </w:p>
        </w:tc>
        <w:tc>
          <w:tcPr>
            <w:tcW w:w="30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9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2,620</w:t>
            </w:r>
          </w:p>
        </w:tc>
        <w:tc>
          <w:tcPr>
            <w:tcW w:w="30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 </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2,330</w:t>
            </w:r>
          </w:p>
        </w:tc>
        <w:tc>
          <w:tcPr>
            <w:tcW w:w="31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2,620</w:t>
            </w:r>
          </w:p>
        </w:tc>
        <w:tc>
          <w:tcPr>
            <w:tcW w:w="369" w:type="dxa"/>
            <w:tcBorders/>
            <w:shd w:fill="CCEEFF" w:val="clear"/>
            <w:vAlign w:val="center"/>
          </w:tcPr>
          <w:p>
            <w:pPr>
              <w:pStyle w:val="TableContents"/>
              <w:bidi w:val="0"/>
              <w:spacing w:before="0" w:after="1"/>
              <w:ind w:left="0" w:right="0" w:hanging="0"/>
              <w:jc w:val="left"/>
              <w:rPr/>
            </w:pPr>
            <w:r>
              <w:rPr/>
              <w:t>​</w:t>
            </w:r>
          </w:p>
        </w:tc>
      </w:tr>
      <w:tr>
        <w:trPr/>
        <w:tc>
          <w:tcPr>
            <w:tcW w:w="2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Average Order Value</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w:t>
            </w:r>
          </w:p>
        </w:tc>
        <w:tc>
          <w:tcPr>
            <w:tcW w:w="3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3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w:t>
            </w:r>
          </w:p>
        </w:tc>
        <w:tc>
          <w:tcPr>
            <w:tcW w:w="369" w:type="dxa"/>
            <w:tcBorders/>
            <w:vAlign w:val="center"/>
          </w:tcPr>
          <w:p>
            <w:pPr>
              <w:pStyle w:val="TableContents"/>
              <w:bidi w:val="0"/>
              <w:spacing w:before="0" w:after="1"/>
              <w:ind w:left="0" w:right="0" w:hanging="0"/>
              <w:jc w:val="left"/>
              <w:rPr/>
            </w:pPr>
            <w:r>
              <w:rPr/>
              <w:t>​</w:t>
            </w:r>
          </w:p>
        </w:tc>
      </w:tr>
    </w:tbl>
    <w:p>
      <w:pPr>
        <w:pStyle w:val="TextBody"/>
        <w:bidi w:val="0"/>
        <w:spacing w:before="0" w:after="140"/>
        <w:ind w:left="0" w:right="0" w:hanging="0"/>
        <w:jc w:val="left"/>
        <w:rPr>
          <w:rFonts w:ascii="Times New Roman;Times;serif" w:hAnsi="Times New Roman;Times;serif"/>
          <w:b w:val="false"/>
          <w:sz w:val="16"/>
        </w:rPr>
      </w:pPr>
      <w:r>
        <w:rPr>
          <w:rFonts w:ascii="Times New Roman;Times;serif" w:hAnsi="Times New Roman;Times;serif"/>
          <w:b w:val="false"/>
          <w:sz w:val="16"/>
        </w:rPr>
        <w:t>Note: Refer to “Use of Non-GAAP Financial Measures and Other Operating Metrics” section above for definitions of these metrics.</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OF NON-GAAP FINANCIAL MEASURES</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 reconciliation to non-GAAP Net Debt from total debt as of December 28, 2025 and December 29, 2024 is as follows:</w:t>
      </w:r>
    </w:p>
    <w:tbl>
      <w:tblPr>
        <w:tblW w:w="6003" w:type="dxa"/>
        <w:jc w:val="left"/>
        <w:tblInd w:w="0" w:type="dxa"/>
        <w:tblLayout w:type="fixed"/>
        <w:tblCellMar>
          <w:top w:w="0" w:type="dxa"/>
          <w:left w:w="0" w:type="dxa"/>
          <w:bottom w:w="0" w:type="dxa"/>
          <w:right w:w="0" w:type="dxa"/>
        </w:tblCellMar>
      </w:tblPr>
      <w:tblGrid>
        <w:gridCol w:w="2266"/>
        <w:gridCol w:w="346"/>
        <w:gridCol w:w="314"/>
        <w:gridCol w:w="1186"/>
        <w:gridCol w:w="346"/>
        <w:gridCol w:w="310"/>
        <w:gridCol w:w="1235"/>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438910" cy="175260"/>
                      <wp:effectExtent l="0" t="0" r="0" b="0"/>
                      <wp:wrapNone/>
                      <wp:docPr id="59" name="Frame58"/>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60"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99390" cy="175260"/>
                      <wp:effectExtent l="0" t="0" r="0" b="0"/>
                      <wp:wrapNone/>
                      <wp:docPr id="61" name="Frame60"/>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753110" cy="175260"/>
                      <wp:effectExtent l="0" t="0" r="0" b="0"/>
                      <wp:wrapNone/>
                      <wp:docPr id="62" name="Frame61"/>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96850" cy="175260"/>
                      <wp:effectExtent l="0" t="0" r="0" b="0"/>
                      <wp:wrapNone/>
                      <wp:docPr id="64" name="Frame63"/>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784225" cy="175260"/>
                      <wp:effectExtent l="0" t="0" r="0" b="0"/>
                      <wp:wrapNone/>
                      <wp:docPr id="65" name="Frame64"/>
                      <a:graphic xmlns:a="http://schemas.openxmlformats.org/drawingml/2006/main">
                        <a:graphicData uri="http://schemas.microsoft.com/office/word/2010/wordprocessingShape">
                          <wps:wsp>
                            <wps:cNvSpPr txBox="1"/>
                            <wps:spPr>
                              <a:xfrm>
                                <a:off x="0" y="0"/>
                                <a:ext cx="784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9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5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28, 2025</w:t>
            </w:r>
          </w:p>
        </w:tc>
        <w:tc>
          <w:tcPr>
            <w:tcW w:w="346" w:type="dxa"/>
            <w:tcBorders/>
            <w:vAlign w:val="center"/>
          </w:tcPr>
          <w:p>
            <w:pPr>
              <w:pStyle w:val="TableContents"/>
              <w:bidi w:val="0"/>
              <w:spacing w:before="0" w:after="1"/>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29, 2024</w:t>
            </w:r>
          </w:p>
        </w:tc>
      </w:tr>
      <w:tr>
        <w:trPr/>
        <w:tc>
          <w:tcPr>
            <w:tcW w:w="600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91"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debt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3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(14,390)</w:t>
            </w:r>
          </w:p>
        </w:tc>
        <w:tc>
          <w:tcPr>
            <w:tcW w:w="34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(13,090)</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1"/>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2,661</w:t>
            </w:r>
          </w:p>
        </w:tc>
        <w:tc>
          <w:tcPr>
            <w:tcW w:w="346"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4,460</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Debt</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(11,729)</w:t>
            </w:r>
          </w:p>
        </w:tc>
        <w:tc>
          <w:tcPr>
            <w:tcW w:w="346" w:type="dxa"/>
            <w:tcBorders/>
            <w:shd w:fill="CCEEFF" w:val="clear"/>
            <w:vAlign w:val="center"/>
          </w:tcPr>
          <w:p>
            <w:pPr>
              <w:pStyle w:val="TableContents"/>
              <w:bidi w:val="0"/>
              <w:spacing w:before="0" w:after="1"/>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(8,630)</w:t>
            </w:r>
          </w:p>
        </w:tc>
      </w:tr>
    </w:tbl>
    <w:p>
      <w:pPr>
        <w:pStyle w:val="TextBody"/>
        <w:bidi w:val="0"/>
        <w:spacing w:before="0" w:after="20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Consists of borrowings under the Company’s 2025 credit agreement </w:t>
            </w:r>
            <w:r>
              <w:rPr>
                <w:rFonts w:ascii="Times New Roman;Times;serif" w:hAnsi="Times New Roman;Times;serif"/>
                <w:b w:val="false"/>
                <w:i w:val="false"/>
                <w:caps w:val="false"/>
                <w:smallCaps w:val="false"/>
                <w:sz w:val="20"/>
                <w:shd w:fill="FFFFFF" w:val="clear"/>
              </w:rPr>
              <w:t>with White Oak Commercial Finance, LLC</w:t>
            </w:r>
            <w:r>
              <w:rPr>
                <w:caps w:val="false"/>
                <w:smallCaps w:val="false"/>
              </w:rPr>
              <w:t xml:space="preserve"> </w:t>
            </w:r>
            <w:r>
              <w:rPr>
                <w:rFonts w:ascii="Times New Roman;Times;serif" w:hAnsi="Times New Roman;Times;serif"/>
                <w:b w:val="false"/>
                <w:i w:val="false"/>
                <w:caps w:val="false"/>
                <w:smallCaps w:val="false"/>
                <w:sz w:val="20"/>
              </w:rPr>
              <w:t xml:space="preserve">as of December 28, 2025, and the </w:t>
            </w:r>
            <w:r>
              <w:rPr>
                <w:rFonts w:ascii="Times New Roman;Times;serif" w:hAnsi="Times New Roman;Times;serif"/>
                <w:b w:val="false"/>
                <w:i w:val="false"/>
                <w:caps w:val="false"/>
                <w:smallCaps w:val="false"/>
                <w:sz w:val="20"/>
                <w:shd w:fill="FFFFFF" w:val="clear"/>
              </w:rPr>
              <w:t>Company’s 2021 credit agreement with Bank of America, as amended,</w:t>
            </w:r>
            <w:r>
              <w:rPr>
                <w:caps w:val="false"/>
                <w:smallCaps w:val="false"/>
              </w:rPr>
              <w:t xml:space="preserve"> </w:t>
            </w:r>
            <w:r>
              <w:rPr>
                <w:rFonts w:ascii="Times New Roman;Times;serif" w:hAnsi="Times New Roman;Times;serif"/>
                <w:b w:val="false"/>
                <w:i w:val="false"/>
                <w:caps w:val="false"/>
                <w:smallCaps w:val="false"/>
                <w:sz w:val="20"/>
              </w:rPr>
              <w:t>as of December 29, 2024.</w:t>
            </w:r>
          </w:p>
        </w:tc>
      </w:tr>
    </w:tbl>
    <w:p>
      <w:pPr>
        <w:pStyle w:val="TextBody"/>
        <w:bidi w:val="0"/>
        <w:spacing w:before="0" w:after="200"/>
        <w:ind w:left="0" w:right="0" w:hanging="0"/>
        <w:jc w:val="both"/>
        <w:rPr/>
      </w:pPr>
      <w:r>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A reconciliation to non-GAAP Adjusted EBITDA from net loss for the thirteen and fifty-two weeks ended December 28, 2025 and December 29, 2024 is as follows:</w:t>
      </w:r>
    </w:p>
    <w:tbl>
      <w:tblPr>
        <w:tblW w:w="10205" w:type="dxa"/>
        <w:jc w:val="center"/>
        <w:tblInd w:w="0" w:type="dxa"/>
        <w:tblLayout w:type="fixed"/>
        <w:tblCellMar>
          <w:top w:w="0" w:type="dxa"/>
          <w:left w:w="0" w:type="dxa"/>
          <w:bottom w:w="0" w:type="dxa"/>
          <w:right w:w="0" w:type="dxa"/>
        </w:tblCellMar>
      </w:tblPr>
      <w:tblGrid>
        <w:gridCol w:w="2410"/>
        <w:gridCol w:w="346"/>
        <w:gridCol w:w="323"/>
        <w:gridCol w:w="881"/>
        <w:gridCol w:w="346"/>
        <w:gridCol w:w="346"/>
        <w:gridCol w:w="269"/>
        <w:gridCol w:w="989"/>
        <w:gridCol w:w="346"/>
        <w:gridCol w:w="346"/>
        <w:gridCol w:w="269"/>
        <w:gridCol w:w="989"/>
        <w:gridCol w:w="346"/>
        <w:gridCol w:w="346"/>
        <w:gridCol w:w="269"/>
        <w:gridCol w:w="989"/>
        <w:gridCol w:w="395"/>
      </w:tblGrid>
      <w:tr>
        <w:trPr/>
        <w:tc>
          <w:tcPr>
            <w:tcW w:w="2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530350" cy="175260"/>
                      <wp:effectExtent l="0" t="0" r="0" b="0"/>
                      <wp:wrapNone/>
                      <wp:docPr id="66" name="Frame65"/>
                      <a:graphic xmlns:a="http://schemas.openxmlformats.org/drawingml/2006/main">
                        <a:graphicData uri="http://schemas.microsoft.com/office/word/2010/wordprocessingShape">
                          <wps:wsp>
                            <wps:cNvSpPr txBox="1"/>
                            <wps:spPr>
                              <a:xfrm>
                                <a:off x="0" y="0"/>
                                <a:ext cx="1530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5105" cy="175260"/>
                      <wp:effectExtent l="0" t="0" r="0" b="0"/>
                      <wp:wrapNone/>
                      <wp:docPr id="68" name="Frame67"/>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59435" cy="175260"/>
                      <wp:effectExtent l="0" t="0" r="0" b="0"/>
                      <wp:wrapNone/>
                      <wp:docPr id="69" name="Frame68"/>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70815" cy="175260"/>
                      <wp:effectExtent l="0" t="0" r="0" b="0"/>
                      <wp:wrapNone/>
                      <wp:docPr id="72" name="Frame71"/>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28015" cy="175260"/>
                      <wp:effectExtent l="0" t="0" r="0" b="0"/>
                      <wp:wrapNone/>
                      <wp:docPr id="73" name="Frame72"/>
                      <a:graphic xmlns:a="http://schemas.openxmlformats.org/drawingml/2006/main">
                        <a:graphicData uri="http://schemas.microsoft.com/office/word/2010/wordprocessingShape">
                          <wps:wsp>
                            <wps:cNvSpPr txBox="1"/>
                            <wps:spPr>
                              <a:xfrm>
                                <a:off x="0" y="0"/>
                                <a:ext cx="628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70815" cy="175260"/>
                      <wp:effectExtent l="0" t="0" r="0" b="0"/>
                      <wp:wrapNone/>
                      <wp:docPr id="76" name="Frame75"/>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28015" cy="175260"/>
                      <wp:effectExtent l="0" t="0" r="0" b="0"/>
                      <wp:wrapNone/>
                      <wp:docPr id="77" name="Frame76"/>
                      <a:graphic xmlns:a="http://schemas.openxmlformats.org/drawingml/2006/main">
                        <a:graphicData uri="http://schemas.microsoft.com/office/word/2010/wordprocessingShape">
                          <wps:wsp>
                            <wps:cNvSpPr txBox="1"/>
                            <wps:spPr>
                              <a:xfrm>
                                <a:off x="0" y="0"/>
                                <a:ext cx="628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70815" cy="175260"/>
                      <wp:effectExtent l="0" t="0" r="0" b="0"/>
                      <wp:wrapNone/>
                      <wp:docPr id="80" name="Frame79"/>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28015" cy="175260"/>
                      <wp:effectExtent l="0" t="0" r="0" b="0"/>
                      <wp:wrapNone/>
                      <wp:docPr id="81" name="Frame80"/>
                      <a:graphic xmlns:a="http://schemas.openxmlformats.org/drawingml/2006/main">
                        <a:graphicData uri="http://schemas.microsoft.com/office/word/2010/wordprocessingShape">
                          <wps:wsp>
                            <wps:cNvSpPr txBox="1"/>
                            <wps:spPr>
                              <a:xfrm>
                                <a:off x="0" y="0"/>
                                <a:ext cx="628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50825" cy="175260"/>
                      <wp:effectExtent l="0" t="0" r="0" b="0"/>
                      <wp:wrapNone/>
                      <wp:docPr id="82" name="Frame81"/>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5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Quarters Ended</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0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Years Ended</w:t>
            </w:r>
          </w:p>
        </w:tc>
        <w:tc>
          <w:tcPr>
            <w:tcW w:w="395" w:type="dxa"/>
            <w:tcBorders/>
            <w:vAlign w:val="center"/>
          </w:tcPr>
          <w:p>
            <w:pPr>
              <w:pStyle w:val="TableContents"/>
              <w:bidi w:val="0"/>
              <w:spacing w:before="0" w:after="0"/>
              <w:ind w:left="0" w:right="0" w:hanging="0"/>
              <w:jc w:val="left"/>
              <w:rPr/>
            </w:pPr>
            <w:r>
              <w:rPr/>
              <w:t>​</w:t>
            </w:r>
          </w:p>
        </w:tc>
      </w:tr>
      <w:tr>
        <w:trPr/>
        <w:tc>
          <w:tcPr>
            <w:tcW w:w="24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 2025</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  ​ ​ ​</w:t>
            </w:r>
          </w:p>
        </w:tc>
        <w:tc>
          <w:tcPr>
            <w:tcW w:w="12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 2024</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  ​ ​ ​</w:t>
            </w:r>
          </w:p>
        </w:tc>
        <w:tc>
          <w:tcPr>
            <w:tcW w:w="12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 2025</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  ​ ​ ​</w:t>
            </w:r>
          </w:p>
        </w:tc>
        <w:tc>
          <w:tcPr>
            <w:tcW w:w="12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 2024</w:t>
            </w:r>
          </w:p>
        </w:tc>
        <w:tc>
          <w:tcPr>
            <w:tcW w:w="395" w:type="dxa"/>
            <w:tcBorders/>
            <w:vAlign w:val="center"/>
          </w:tcPr>
          <w:p>
            <w:pPr>
              <w:pStyle w:val="TableContents"/>
              <w:bidi w:val="0"/>
              <w:spacing w:before="0" w:after="0"/>
              <w:ind w:left="0" w:right="0" w:hanging="0"/>
              <w:jc w:val="left"/>
              <w:rPr/>
            </w:pPr>
            <w:r>
              <w:rPr/>
              <w:t>  ​ ​ ​</w:t>
            </w:r>
          </w:p>
        </w:tc>
      </w:tr>
      <w:tr>
        <w:trPr/>
        <w:tc>
          <w:tcPr>
            <w:tcW w:w="10205" w:type="dxa"/>
            <w:gridSpan w:val="17"/>
            <w:tcBorders/>
            <w:vAlign w:val="center"/>
          </w:tcPr>
          <w:p>
            <w:pPr>
              <w:pStyle w:val="TableContents"/>
              <w:bidi w:val="0"/>
              <w:spacing w:before="0" w:after="283"/>
              <w:ind w:left="0" w:right="0" w:hanging="0"/>
              <w:jc w:val="left"/>
              <w:rPr>
                <w:sz w:val="4"/>
                <w:szCs w:val="4"/>
              </w:rPr>
            </w:pPr>
            <w:r>
              <w:rPr>
                <w:sz w:val="4"/>
                <w:szCs w:val="4"/>
              </w:rPr>
            </w:r>
          </w:p>
        </w:tc>
      </w:tr>
      <w:tr>
        <w:trPr/>
        <w:tc>
          <w:tcPr>
            <w:tcW w:w="24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(13 weeks)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(13 weeks)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0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(52 weeks)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(52 weeks)</w:t>
            </w:r>
          </w:p>
        </w:tc>
        <w:tc>
          <w:tcPr>
            <w:tcW w:w="3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0205" w:type="dxa"/>
            <w:gridSpan w:val="17"/>
            <w:tcBorders/>
            <w:vAlign w:val="center"/>
          </w:tcPr>
          <w:p>
            <w:pPr>
              <w:pStyle w:val="TableContents"/>
              <w:bidi w:val="0"/>
              <w:spacing w:before="0" w:after="283"/>
              <w:ind w:left="0" w:right="0" w:hanging="0"/>
              <w:jc w:val="left"/>
              <w:rPr>
                <w:sz w:val="4"/>
                <w:szCs w:val="4"/>
              </w:rPr>
            </w:pPr>
            <w:r>
              <w:rPr>
                <w:sz w:val="4"/>
                <w:szCs w:val="4"/>
              </w:rPr>
            </w:r>
          </w:p>
        </w:tc>
      </w:tr>
      <w:tr>
        <w:trPr/>
        <w:tc>
          <w:tcPr>
            <w:tcW w:w="24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54" w:type="dxa"/>
            <w:gridSpan w:val="1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percentages)</w:t>
            </w:r>
          </w:p>
        </w:tc>
        <w:tc>
          <w:tcPr>
            <w:tcW w:w="395" w:type="dxa"/>
            <w:tcBorders/>
            <w:vAlign w:val="center"/>
          </w:tcPr>
          <w:p>
            <w:pPr>
              <w:pStyle w:val="TableContents"/>
              <w:bidi w:val="0"/>
              <w:spacing w:before="0" w:after="0"/>
              <w:ind w:left="0" w:right="0" w:hanging="0"/>
              <w:jc w:val="left"/>
              <w:rPr/>
            </w:pPr>
            <w:r>
              <w:rPr/>
              <w:t>​</w:t>
            </w:r>
          </w:p>
        </w:tc>
      </w:tr>
      <w:tr>
        <w:trPr/>
        <w:tc>
          <w:tcPr>
            <w:tcW w:w="24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loss </w:t>
            </w:r>
          </w:p>
        </w:tc>
        <w:tc>
          <w:tcPr>
            <w:tcW w:w="346" w:type="dxa"/>
            <w:tcBorders/>
            <w:shd w:fill="CCEEFF" w:val="clear"/>
            <w:vAlign w:val="center"/>
          </w:tcPr>
          <w:p>
            <w:pPr>
              <w:pStyle w:val="TableContents"/>
              <w:bidi w:val="0"/>
              <w:spacing w:before="0" w:after="0"/>
              <w:ind w:left="0" w:right="0" w:hanging="0"/>
              <w:jc w:val="left"/>
              <w:rPr/>
            </w:pPr>
            <w:r>
              <w:rPr/>
              <w:t> </w:t>
            </w:r>
          </w:p>
        </w:tc>
        <w:tc>
          <w:tcPr>
            <w:tcW w:w="3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(31,875)</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(13,713)</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(55,286)</w:t>
            </w:r>
          </w:p>
        </w:tc>
        <w:tc>
          <w:tcPr>
            <w:tcW w:w="395" w:type="dxa"/>
            <w:tcBorders/>
            <w:shd w:fill="CCEEFF" w:val="clear"/>
            <w:vAlign w:val="center"/>
          </w:tcPr>
          <w:p>
            <w:pPr>
              <w:pStyle w:val="TableContents"/>
              <w:bidi w:val="0"/>
              <w:spacing w:before="0" w:after="0"/>
              <w:ind w:left="0" w:right="0" w:hanging="0"/>
              <w:jc w:val="left"/>
              <w:rPr/>
            </w:pPr>
            <w:r>
              <w:rPr/>
              <w:t> </w:t>
            </w:r>
          </w:p>
        </w:tc>
      </w:tr>
      <w:tr>
        <w:trPr/>
        <w:tc>
          <w:tcPr>
            <w:tcW w:w="2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Excluding:</w:t>
            </w:r>
          </w:p>
        </w:tc>
        <w:tc>
          <w:tcPr>
            <w:tcW w:w="346" w:type="dxa"/>
            <w:tcBorders/>
            <w:vAlign w:val="center"/>
          </w:tcPr>
          <w:p>
            <w:pPr>
              <w:pStyle w:val="TableContents"/>
              <w:bidi w:val="0"/>
              <w:spacing w:before="0" w:after="0"/>
              <w:ind w:left="0" w:right="0" w:hanging="0"/>
              <w:jc w:val="left"/>
              <w:rPr/>
            </w:pPr>
            <w:r>
              <w:rPr/>
              <w:t> </w:t>
            </w:r>
          </w:p>
        </w:tc>
        <w:tc>
          <w:tcPr>
            <w:tcW w:w="323"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color w:val="0000FF"/>
              </w:rPr>
            </w:pPr>
            <w:r>
              <w:rPr>
                <w:color w:val="0000FF"/>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right"/>
              <w:rPr>
                <w:color w:val="0000FF"/>
              </w:rPr>
            </w:pPr>
            <w:r>
              <w:rPr>
                <w:color w:val="0000FF"/>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right"/>
              <w:rPr>
                <w:color w:val="0000FF"/>
              </w:rPr>
            </w:pPr>
            <w:r>
              <w:rPr>
                <w:color w:val="0000FF"/>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right"/>
              <w:rPr>
                <w:color w:val="0000FF"/>
              </w:rPr>
            </w:pPr>
            <w:r>
              <w:rPr>
                <w:color w:val="0000FF"/>
              </w:rPr>
              <w:t>​</w:t>
            </w:r>
          </w:p>
        </w:tc>
        <w:tc>
          <w:tcPr>
            <w:tcW w:w="395" w:type="dxa"/>
            <w:tcBorders/>
            <w:vAlign w:val="center"/>
          </w:tcPr>
          <w:p>
            <w:pPr>
              <w:pStyle w:val="TableContents"/>
              <w:bidi w:val="0"/>
              <w:spacing w:before="0" w:after="0"/>
              <w:ind w:left="0" w:right="0" w:hanging="0"/>
              <w:jc w:val="left"/>
              <w:rPr/>
            </w:pPr>
            <w:r>
              <w:rPr/>
              <w:t> </w:t>
            </w:r>
          </w:p>
        </w:tc>
      </w:tr>
      <w:tr>
        <w:trPr/>
        <w:tc>
          <w:tcPr>
            <w:tcW w:w="24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 </w:t>
            </w:r>
          </w:p>
        </w:tc>
        <w:tc>
          <w:tcPr>
            <w:tcW w:w="323"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9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9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5,114</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9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5,480</w:t>
            </w:r>
          </w:p>
        </w:tc>
        <w:tc>
          <w:tcPr>
            <w:tcW w:w="395" w:type="dxa"/>
            <w:tcBorders/>
            <w:shd w:fill="CCEEFF" w:val="clear"/>
            <w:vAlign w:val="center"/>
          </w:tcPr>
          <w:p>
            <w:pPr>
              <w:pStyle w:val="TableContents"/>
              <w:bidi w:val="0"/>
              <w:spacing w:before="0" w:after="0"/>
              <w:ind w:left="0" w:right="0" w:hanging="0"/>
              <w:jc w:val="left"/>
              <w:rPr/>
            </w:pPr>
            <w:r>
              <w:rPr/>
              <w:t> </w:t>
            </w:r>
          </w:p>
        </w:tc>
      </w:tr>
      <w:tr>
        <w:trPr/>
        <w:tc>
          <w:tcPr>
            <w:tcW w:w="2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 </w:t>
            </w:r>
          </w:p>
        </w:tc>
        <w:tc>
          <w:tcPr>
            <w:tcW w:w="323"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2,464</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1,271</w:t>
            </w:r>
          </w:p>
        </w:tc>
        <w:tc>
          <w:tcPr>
            <w:tcW w:w="395" w:type="dxa"/>
            <w:tcBorders/>
            <w:vAlign w:val="center"/>
          </w:tcPr>
          <w:p>
            <w:pPr>
              <w:pStyle w:val="TableContents"/>
              <w:bidi w:val="0"/>
              <w:spacing w:before="0" w:after="0"/>
              <w:ind w:left="0" w:right="0" w:hanging="0"/>
              <w:jc w:val="left"/>
              <w:rPr/>
            </w:pPr>
            <w:r>
              <w:rPr/>
              <w:t> </w:t>
            </w:r>
          </w:p>
        </w:tc>
      </w:tr>
      <w:tr>
        <w:trPr/>
        <w:tc>
          <w:tcPr>
            <w:tcW w:w="24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 (benefit)</w:t>
            </w:r>
          </w:p>
        </w:tc>
        <w:tc>
          <w:tcPr>
            <w:tcW w:w="346" w:type="dxa"/>
            <w:tcBorders/>
            <w:shd w:fill="CCEEFF" w:val="clear"/>
            <w:vAlign w:val="center"/>
          </w:tcPr>
          <w:p>
            <w:pPr>
              <w:pStyle w:val="TableContents"/>
              <w:bidi w:val="0"/>
              <w:spacing w:before="0" w:after="0"/>
              <w:ind w:left="0" w:right="0" w:hanging="0"/>
              <w:jc w:val="left"/>
              <w:rPr/>
            </w:pPr>
            <w:r>
              <w:rPr/>
              <w:t> </w:t>
            </w:r>
          </w:p>
        </w:tc>
        <w:tc>
          <w:tcPr>
            <w:tcW w:w="323"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9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(3,430)</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9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9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2,333</w:t>
            </w:r>
          </w:p>
        </w:tc>
        <w:tc>
          <w:tcPr>
            <w:tcW w:w="395" w:type="dxa"/>
            <w:tcBorders/>
            <w:shd w:fill="CCEEFF" w:val="clear"/>
            <w:vAlign w:val="center"/>
          </w:tcPr>
          <w:p>
            <w:pPr>
              <w:pStyle w:val="TableContents"/>
              <w:bidi w:val="0"/>
              <w:spacing w:before="0" w:after="0"/>
              <w:ind w:left="0" w:right="0" w:hanging="0"/>
              <w:jc w:val="left"/>
              <w:rPr/>
            </w:pPr>
            <w:r>
              <w:rPr/>
              <w:t> </w:t>
            </w:r>
          </w:p>
        </w:tc>
      </w:tr>
      <w:tr>
        <w:trPr/>
        <w:tc>
          <w:tcPr>
            <w:tcW w:w="2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Equity-based compensation expense </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 </w:t>
            </w:r>
          </w:p>
        </w:tc>
        <w:tc>
          <w:tcPr>
            <w:tcW w:w="323"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1,940</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4,481</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8,090</w:t>
            </w:r>
          </w:p>
        </w:tc>
        <w:tc>
          <w:tcPr>
            <w:tcW w:w="395" w:type="dxa"/>
            <w:tcBorders/>
            <w:vAlign w:val="center"/>
          </w:tcPr>
          <w:p>
            <w:pPr>
              <w:pStyle w:val="TableContents"/>
              <w:bidi w:val="0"/>
              <w:spacing w:before="0" w:after="0"/>
              <w:ind w:left="0" w:right="0" w:hanging="0"/>
              <w:jc w:val="left"/>
              <w:rPr/>
            </w:pPr>
            <w:r>
              <w:rPr/>
              <w:t> </w:t>
            </w:r>
          </w:p>
        </w:tc>
      </w:tr>
      <w:tr>
        <w:trPr/>
        <w:tc>
          <w:tcPr>
            <w:tcW w:w="24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non-routine expense </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9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9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989" w:type="dxa"/>
            <w:tcBorders/>
            <w:shd w:fill="CCEEFF" w:val="clear"/>
            <w:vAlign w:val="center"/>
          </w:tcPr>
          <w:p>
            <w:pPr>
              <w:pStyle w:val="TableContents"/>
              <w:bidi w:val="0"/>
              <w:spacing w:before="0" w:after="0"/>
              <w:ind w:left="0" w:right="0" w:hanging="0"/>
              <w:jc w:val="right"/>
              <w:rPr/>
            </w:pPr>
            <w:r>
              <w:rPr/>
              <w:t>—</w:t>
            </w:r>
          </w:p>
        </w:tc>
        <w:tc>
          <w:tcPr>
            <w:tcW w:w="395" w:type="dxa"/>
            <w:tcBorders/>
            <w:shd w:fill="CCEEFF" w:val="clear"/>
            <w:vAlign w:val="center"/>
          </w:tcPr>
          <w:p>
            <w:pPr>
              <w:pStyle w:val="TableContents"/>
              <w:bidi w:val="0"/>
              <w:spacing w:before="0" w:after="0"/>
              <w:ind w:left="0" w:right="0" w:hanging="0"/>
              <w:jc w:val="left"/>
              <w:rPr/>
            </w:pPr>
            <w:r>
              <w:rPr/>
              <w:t>​</w:t>
            </w:r>
          </w:p>
        </w:tc>
      </w:tr>
      <w:tr>
        <w:trPr/>
        <w:tc>
          <w:tcPr>
            <w:tcW w:w="2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impairment</w:t>
            </w:r>
          </w:p>
        </w:tc>
        <w:tc>
          <w:tcPr>
            <w:tcW w:w="346" w:type="dxa"/>
            <w:tcBorders/>
            <w:vAlign w:val="center"/>
          </w:tcPr>
          <w:p>
            <w:pPr>
              <w:pStyle w:val="TableContents"/>
              <w:bidi w:val="0"/>
              <w:spacing w:before="0" w:after="0"/>
              <w:ind w:left="0" w:right="0" w:hanging="0"/>
              <w:jc w:val="left"/>
              <w:rPr/>
            </w:pPr>
            <w:r>
              <w:rPr/>
              <w:t>​</w:t>
            </w:r>
          </w:p>
        </w:tc>
        <w:tc>
          <w:tcPr>
            <w:tcW w:w="3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28,374</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28,374</w:t>
            </w:r>
          </w:p>
        </w:tc>
        <w:tc>
          <w:tcPr>
            <w:tcW w:w="395" w:type="dxa"/>
            <w:tcBorders/>
            <w:vAlign w:val="center"/>
          </w:tcPr>
          <w:p>
            <w:pPr>
              <w:pStyle w:val="TableContents"/>
              <w:bidi w:val="0"/>
              <w:spacing w:before="0" w:after="0"/>
              <w:ind w:left="0" w:right="0" w:hanging="0"/>
              <w:jc w:val="left"/>
              <w:rPr/>
            </w:pPr>
            <w:r>
              <w:rPr/>
              <w:t>​</w:t>
            </w:r>
          </w:p>
        </w:tc>
      </w:tr>
      <w:tr>
        <w:trPr/>
        <w:tc>
          <w:tcPr>
            <w:tcW w:w="24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3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2,628</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(3,300)</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(9,738)</w:t>
            </w:r>
          </w:p>
        </w:tc>
        <w:tc>
          <w:tcPr>
            <w:tcW w:w="395" w:type="dxa"/>
            <w:tcBorders/>
            <w:shd w:fill="CCEEFF" w:val="clear"/>
            <w:vAlign w:val="center"/>
          </w:tcPr>
          <w:p>
            <w:pPr>
              <w:pStyle w:val="TableContents"/>
              <w:bidi w:val="0"/>
              <w:spacing w:before="0" w:after="0"/>
              <w:ind w:left="0" w:right="0" w:hanging="0"/>
              <w:jc w:val="left"/>
              <w:rPr/>
            </w:pPr>
            <w:r>
              <w:rPr/>
              <w:t>​</w:t>
            </w:r>
          </w:p>
        </w:tc>
      </w:tr>
      <w:tr>
        <w:trPr/>
        <w:tc>
          <w:tcPr>
            <w:tcW w:w="2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margin</w:t>
            </w:r>
          </w:p>
        </w:tc>
        <w:tc>
          <w:tcPr>
            <w:tcW w:w="34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4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Margin</w:t>
            </w:r>
          </w:p>
        </w:tc>
        <w:tc>
          <w:tcPr>
            <w:tcW w:w="34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9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9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9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09" w:type="dxa"/>
            <w:tcBorders/>
            <w:vAlign w:val="center"/>
          </w:tcPr>
          <w:p>
            <w:pPr>
              <w:pStyle w:val="TableContents"/>
              <w:bidi w:val="0"/>
              <w:spacing w:before="0" w:after="283"/>
              <w:jc w:val="left"/>
              <w:rPr/>
            </w:pPr>
            <w:bookmarkStart w:id="20" w:name="_Hlk99057314"/>
            <w:bookmarkEnd w:id="20"/>
            <w:r>
              <w:rPr>
                <w:rFonts w:ascii="Times New Roman;Times;serif" w:hAnsi="Times New Roman;Times;serif"/>
                <w:b w:val="false"/>
                <w:i w:val="false"/>
                <w:caps w:val="false"/>
                <w:smallCaps w:val="false"/>
                <w:sz w:val="20"/>
                <w:shd w:fill="FFFFFF" w:val="clear"/>
              </w:rPr>
              <w:t xml:space="preserve">The thirteen and </w:t>
            </w:r>
            <w:r>
              <w:rPr>
                <w:rFonts w:ascii="Times New Roman;Times;serif" w:hAnsi="Times New Roman;Times;serif"/>
                <w:b w:val="false"/>
                <w:i w:val="false"/>
                <w:caps w:val="false"/>
                <w:smallCaps w:val="false"/>
                <w:sz w:val="20"/>
              </w:rPr>
              <w:t xml:space="preserve">fifty-two weeks ended December 28, 2025 include equity-based compensation expense for </w:t>
            </w:r>
            <w:r>
              <w:rPr>
                <w:rFonts w:ascii="Times New Roman;Times;serif" w:hAnsi="Times New Roman;Times;serif"/>
                <w:b w:val="false"/>
                <w:i w:val="false"/>
                <w:caps w:val="false"/>
                <w:smallCaps w:val="false"/>
                <w:sz w:val="20"/>
                <w:shd w:fill="FFFFFF" w:val="clear"/>
              </w:rPr>
              <w:t xml:space="preserve">performance stock units (“PSUs”) and restricted stock units (“RSUs”) granted during the period and prior periods. The thirteen weeks ended December 29, 2024 include equity-based compensation expense for RSUs, PSUs and equity-based awards granted in prior periods, as well as forfeitures recognized in the current period. The fifty-two weeks ended December 29, 2024 include equity-based compensation expense for RSUs and PSUs granted during the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jc w:val="left"/>
              <w:rPr>
                <w:sz w:val="4"/>
                <w:szCs w:val="4"/>
              </w:rPr>
            </w:pPr>
            <w:r>
              <w:rPr>
                <w:sz w:val="4"/>
                <w:szCs w:val="4"/>
              </w:rPr>
            </w:r>
          </w:p>
        </w:tc>
        <w:tc>
          <w:tcPr>
            <w:tcW w:w="10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period and prior periods, equity-based awards granted in prior periods, as well as forfeitures partially offset by accelerated vesting expense associated with the resignation of directors during the period.</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thirteen and fifty-two weeks ended December 28, 2025 include non-routine severance expenses related to a reduction in force to streamline the Company’s merchandising and buying function.</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A reconciliation to non-GAAP Free Cash Flow from net cash provided by (used in) operating activities for the thirteen and </w:t>
      </w:r>
      <w:r>
        <w:rPr>
          <w:rFonts w:ascii="Times New Roman;Times;serif" w:hAnsi="Times New Roman;Times;serif"/>
          <w:color w:val="212529"/>
          <w:sz w:val="20"/>
          <w:shd w:fill="FFFFFF" w:val="clear"/>
        </w:rPr>
        <w:t xml:space="preserve">fifty-two </w:t>
      </w:r>
      <w:r>
        <w:rPr>
          <w:rFonts w:ascii="Times New Roman;Times;serif" w:hAnsi="Times New Roman;Times;serif"/>
          <w:sz w:val="20"/>
        </w:rPr>
        <w:t>weeks ended December 28, 2025 and December 29, 2024 is as follows:</w:t>
      </w:r>
    </w:p>
    <w:tbl>
      <w:tblPr>
        <w:tblW w:w="10205" w:type="dxa"/>
        <w:jc w:val="left"/>
        <w:tblInd w:w="0" w:type="dxa"/>
        <w:tblLayout w:type="fixed"/>
        <w:tblCellMar>
          <w:top w:w="0" w:type="dxa"/>
          <w:left w:w="0" w:type="dxa"/>
          <w:bottom w:w="0" w:type="dxa"/>
          <w:right w:w="0" w:type="dxa"/>
        </w:tblCellMar>
      </w:tblPr>
      <w:tblGrid>
        <w:gridCol w:w="3445"/>
        <w:gridCol w:w="346"/>
        <w:gridCol w:w="315"/>
        <w:gridCol w:w="1017"/>
        <w:gridCol w:w="346"/>
        <w:gridCol w:w="315"/>
        <w:gridCol w:w="1017"/>
        <w:gridCol w:w="346"/>
        <w:gridCol w:w="315"/>
        <w:gridCol w:w="1017"/>
        <w:gridCol w:w="346"/>
        <w:gridCol w:w="310"/>
        <w:gridCol w:w="1070"/>
      </w:tblGrid>
      <w:tr>
        <w:trPr/>
        <w:tc>
          <w:tcPr>
            <w:tcW w:w="3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87575" cy="175260"/>
                      <wp:effectExtent l="0" t="0" r="0" b="0"/>
                      <wp:wrapNone/>
                      <wp:docPr id="83" name="Frame82"/>
                      <a:graphic xmlns:a="http://schemas.openxmlformats.org/drawingml/2006/main">
                        <a:graphicData uri="http://schemas.microsoft.com/office/word/2010/wordprocessingShape">
                          <wps:wsp>
                            <wps:cNvSpPr txBox="1"/>
                            <wps:spPr>
                              <a:xfrm>
                                <a:off x="0" y="0"/>
                                <a:ext cx="2187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4"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0025" cy="175260"/>
                      <wp:effectExtent l="0" t="0" r="0" b="0"/>
                      <wp:wrapNone/>
                      <wp:docPr id="85" name="Frame84"/>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5795" cy="175260"/>
                      <wp:effectExtent l="0" t="0" r="0" b="0"/>
                      <wp:wrapNone/>
                      <wp:docPr id="86" name="Frame85"/>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0025" cy="175260"/>
                      <wp:effectExtent l="0" t="0" r="0" b="0"/>
                      <wp:wrapNone/>
                      <wp:docPr id="88" name="Frame87"/>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5795" cy="175260"/>
                      <wp:effectExtent l="0" t="0" r="0" b="0"/>
                      <wp:wrapNone/>
                      <wp:docPr id="89" name="Frame88"/>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0025" cy="175260"/>
                      <wp:effectExtent l="0" t="0" r="0" b="0"/>
                      <wp:wrapNone/>
                      <wp:docPr id="91" name="Frame90"/>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5795" cy="175260"/>
                      <wp:effectExtent l="0" t="0" r="0" b="0"/>
                      <wp:wrapNone/>
                      <wp:docPr id="92" name="Frame91"/>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96850" cy="175260"/>
                      <wp:effectExtent l="0" t="0" r="0" b="0"/>
                      <wp:wrapNone/>
                      <wp:docPr id="94" name="Frame93"/>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79450" cy="175260"/>
                      <wp:effectExtent l="0" t="0" r="0" b="0"/>
                      <wp:wrapNone/>
                      <wp:docPr id="95" name="Frame94"/>
                      <a:graphic xmlns:a="http://schemas.openxmlformats.org/drawingml/2006/main">
                        <a:graphicData uri="http://schemas.microsoft.com/office/word/2010/wordprocessingShape">
                          <wps:wsp>
                            <wps:cNvSpPr txBox="1"/>
                            <wps:spPr>
                              <a:xfrm>
                                <a:off x="0" y="0"/>
                                <a:ext cx="679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Quarters Ended</w:t>
            </w:r>
          </w:p>
        </w:tc>
        <w:tc>
          <w:tcPr>
            <w:tcW w:w="346" w:type="dxa"/>
            <w:tcBorders/>
            <w:vAlign w:val="center"/>
          </w:tcPr>
          <w:p>
            <w:pPr>
              <w:pStyle w:val="TableContents"/>
              <w:bidi w:val="0"/>
              <w:spacing w:before="0" w:after="0"/>
              <w:ind w:left="0" w:right="0" w:hanging="0"/>
              <w:jc w:val="left"/>
              <w:rPr/>
            </w:pPr>
            <w:r>
              <w:rPr/>
              <w:t>​</w:t>
            </w:r>
          </w:p>
        </w:tc>
        <w:tc>
          <w:tcPr>
            <w:tcW w:w="30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Years Ended</w:t>
            </w:r>
          </w:p>
        </w:tc>
      </w:tr>
      <w:tr>
        <w:trPr/>
        <w:tc>
          <w:tcPr>
            <w:tcW w:w="34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 2025</w:t>
            </w:r>
          </w:p>
        </w:tc>
        <w:tc>
          <w:tcPr>
            <w:tcW w:w="346" w:type="dxa"/>
            <w:tcBorders/>
            <w:vAlign w:val="center"/>
          </w:tcPr>
          <w:p>
            <w:pPr>
              <w:pStyle w:val="TableContents"/>
              <w:bidi w:val="0"/>
              <w:spacing w:before="0" w:after="0"/>
              <w:ind w:left="0" w:right="0" w:hanging="0"/>
              <w:jc w:val="left"/>
              <w:rPr/>
            </w:pPr>
            <w:r>
              <w:rPr/>
              <w:t>  ​ ​ ​</w:t>
            </w:r>
          </w:p>
        </w:tc>
        <w:tc>
          <w:tcPr>
            <w:tcW w:w="13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 2024</w:t>
            </w:r>
          </w:p>
        </w:tc>
        <w:tc>
          <w:tcPr>
            <w:tcW w:w="346" w:type="dxa"/>
            <w:tcBorders/>
            <w:vAlign w:val="center"/>
          </w:tcPr>
          <w:p>
            <w:pPr>
              <w:pStyle w:val="TableContents"/>
              <w:bidi w:val="0"/>
              <w:spacing w:before="0" w:after="0"/>
              <w:ind w:left="0" w:right="0" w:hanging="0"/>
              <w:jc w:val="left"/>
              <w:rPr/>
            </w:pPr>
            <w:r>
              <w:rPr/>
              <w:t>  ​ ​ ​</w:t>
            </w:r>
          </w:p>
        </w:tc>
        <w:tc>
          <w:tcPr>
            <w:tcW w:w="13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 2025</w:t>
            </w:r>
          </w:p>
        </w:tc>
        <w:tc>
          <w:tcPr>
            <w:tcW w:w="346" w:type="dxa"/>
            <w:tcBorders/>
            <w:vAlign w:val="center"/>
          </w:tcPr>
          <w:p>
            <w:pPr>
              <w:pStyle w:val="TableContents"/>
              <w:bidi w:val="0"/>
              <w:spacing w:before="0" w:after="0"/>
              <w:ind w:left="0" w:right="0" w:hanging="0"/>
              <w:jc w:val="left"/>
              <w:rPr/>
            </w:pPr>
            <w:r>
              <w:rPr/>
              <w:t>  ​ ​ ​</w:t>
            </w:r>
          </w:p>
        </w:tc>
        <w:tc>
          <w:tcPr>
            <w:tcW w:w="1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 2024</w:t>
            </w:r>
          </w:p>
        </w:tc>
      </w:tr>
      <w:tr>
        <w:trPr/>
        <w:tc>
          <w:tcPr>
            <w:tcW w:w="34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(13 weeks)</w:t>
            </w:r>
          </w:p>
        </w:tc>
        <w:tc>
          <w:tcPr>
            <w:tcW w:w="346" w:type="dxa"/>
            <w:tcBorders/>
            <w:vAlign w:val="center"/>
          </w:tcPr>
          <w:p>
            <w:pPr>
              <w:pStyle w:val="TableContents"/>
              <w:bidi w:val="0"/>
              <w:spacing w:before="0" w:after="0"/>
              <w:ind w:left="0" w:right="0" w:hanging="0"/>
              <w:jc w:val="left"/>
              <w:rPr/>
            </w:pPr>
            <w:r>
              <w:rPr/>
              <w:t>​</w:t>
            </w:r>
          </w:p>
        </w:tc>
        <w:tc>
          <w:tcPr>
            <w:tcW w:w="13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(13 weeks)</w:t>
            </w:r>
          </w:p>
        </w:tc>
        <w:tc>
          <w:tcPr>
            <w:tcW w:w="346" w:type="dxa"/>
            <w:tcBorders/>
            <w:vAlign w:val="center"/>
          </w:tcPr>
          <w:p>
            <w:pPr>
              <w:pStyle w:val="TableContents"/>
              <w:bidi w:val="0"/>
              <w:spacing w:before="0" w:after="0"/>
              <w:ind w:left="0" w:right="0" w:hanging="0"/>
              <w:jc w:val="left"/>
              <w:rPr/>
            </w:pPr>
            <w:r>
              <w:rPr/>
              <w:t>​</w:t>
            </w:r>
          </w:p>
        </w:tc>
        <w:tc>
          <w:tcPr>
            <w:tcW w:w="13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(52 weeks)</w:t>
            </w:r>
          </w:p>
        </w:tc>
        <w:tc>
          <w:tcPr>
            <w:tcW w:w="346" w:type="dxa"/>
            <w:tcBorders/>
            <w:vAlign w:val="center"/>
          </w:tcPr>
          <w:p>
            <w:pPr>
              <w:pStyle w:val="TableContents"/>
              <w:bidi w:val="0"/>
              <w:spacing w:before="0" w:after="0"/>
              <w:ind w:left="0" w:right="0" w:hanging="0"/>
              <w:jc w:val="left"/>
              <w:rPr/>
            </w:pPr>
            <w:r>
              <w:rPr/>
              <w:t>​</w:t>
            </w:r>
          </w:p>
        </w:tc>
        <w:tc>
          <w:tcPr>
            <w:tcW w:w="1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(52 weeks)</w:t>
            </w:r>
          </w:p>
        </w:tc>
      </w:tr>
      <w:tr>
        <w:trPr/>
        <w:tc>
          <w:tcPr>
            <w:tcW w:w="34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(3,768)</w:t>
            </w:r>
          </w:p>
        </w:tc>
        <w:tc>
          <w:tcPr>
            <w:tcW w:w="346" w:type="dxa"/>
            <w:tcBorders/>
            <w:shd w:fill="CCEEFF" w:val="clear"/>
            <w:vAlign w:val="center"/>
          </w:tcPr>
          <w:p>
            <w:pPr>
              <w:pStyle w:val="TableContents"/>
              <w:bidi w:val="0"/>
              <w:spacing w:before="0" w:after="0"/>
              <w:ind w:left="0" w:right="0" w:hanging="0"/>
              <w:jc w:val="righ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(2,532)</w:t>
            </w:r>
          </w:p>
        </w:tc>
        <w:tc>
          <w:tcPr>
            <w:tcW w:w="346" w:type="dxa"/>
            <w:tcBorders/>
            <w:shd w:fill="CCEEFF" w:val="clear"/>
            <w:vAlign w:val="center"/>
          </w:tcPr>
          <w:p>
            <w:pPr>
              <w:pStyle w:val="TableContents"/>
              <w:bidi w:val="0"/>
              <w:spacing w:before="0" w:after="0"/>
              <w:ind w:left="0" w:right="0" w:hanging="0"/>
              <w:jc w:val="righ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w:t>
            </w:r>
          </w:p>
        </w:tc>
        <w:tc>
          <w:tcPr>
            <w:tcW w:w="346" w:type="dxa"/>
            <w:tcBorders/>
            <w:shd w:fill="CCEEFF" w:val="clear"/>
            <w:vAlign w:val="center"/>
          </w:tcPr>
          <w:p>
            <w:pPr>
              <w:pStyle w:val="TableContents"/>
              <w:bidi w:val="0"/>
              <w:spacing w:before="0" w:after="0"/>
              <w:ind w:left="0" w:right="0" w:hanging="0"/>
              <w:jc w:val="righ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2,601</w:t>
            </w:r>
          </w:p>
        </w:tc>
      </w:tr>
      <w:tr>
        <w:trPr/>
        <w:tc>
          <w:tcPr>
            <w:tcW w:w="34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software development costs</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w:t>
            </w:r>
          </w:p>
        </w:tc>
        <w:tc>
          <w:tcPr>
            <w:tcW w:w="346" w:type="dxa"/>
            <w:tcBorders/>
            <w:vAlign w:val="center"/>
          </w:tcPr>
          <w:p>
            <w:pPr>
              <w:pStyle w:val="TableContents"/>
              <w:bidi w:val="0"/>
              <w:spacing w:before="0" w:after="0"/>
              <w:ind w:left="0" w:right="0" w:hanging="0"/>
              <w:jc w:val="right"/>
              <w:rPr/>
            </w:pPr>
            <w:r>
              <w:rPr/>
              <w:t>​</w:t>
            </w:r>
          </w:p>
        </w:tc>
        <w:tc>
          <w:tcPr>
            <w:tcW w:w="315"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346" w:type="dxa"/>
            <w:tcBorders/>
            <w:vAlign w:val="center"/>
          </w:tcPr>
          <w:p>
            <w:pPr>
              <w:pStyle w:val="TableContents"/>
              <w:bidi w:val="0"/>
              <w:spacing w:before="0" w:after="0"/>
              <w:ind w:left="0" w:right="0" w:hanging="0"/>
              <w:jc w:val="right"/>
              <w:rPr/>
            </w:pPr>
            <w:r>
              <w:rPr/>
              <w:t>​</w:t>
            </w:r>
          </w:p>
        </w:tc>
        <w:tc>
          <w:tcPr>
            <w:tcW w:w="315"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(1,816)</w:t>
            </w:r>
          </w:p>
        </w:tc>
        <w:tc>
          <w:tcPr>
            <w:tcW w:w="346" w:type="dxa"/>
            <w:tcBorders/>
            <w:vAlign w:val="center"/>
          </w:tcPr>
          <w:p>
            <w:pPr>
              <w:pStyle w:val="TableContents"/>
              <w:bidi w:val="0"/>
              <w:spacing w:before="0" w:after="0"/>
              <w:ind w:left="0" w:right="0" w:hanging="0"/>
              <w:jc w:val="right"/>
              <w:rPr/>
            </w:pPr>
            <w:r>
              <w:rPr/>
              <w:t>​</w:t>
            </w:r>
          </w:p>
        </w:tc>
        <w:tc>
          <w:tcPr>
            <w:tcW w:w="310" w:type="dxa"/>
            <w:tcBorders/>
            <w:vAlign w:val="center"/>
          </w:tcPr>
          <w:p>
            <w:pPr>
              <w:pStyle w:val="TableContents"/>
              <w:bidi w:val="0"/>
              <w:spacing w:before="0" w:after="0"/>
              <w:ind w:left="0" w:right="0" w:hanging="0"/>
              <w:jc w:val="left"/>
              <w:rPr/>
            </w:pPr>
            <w:r>
              <w:rPr/>
              <w:t>​</w:t>
            </w:r>
          </w:p>
        </w:tc>
        <w:tc>
          <w:tcPr>
            <w:tcW w:w="10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w:t>
            </w:r>
          </w:p>
        </w:tc>
      </w:tr>
      <w:tr>
        <w:trPr/>
        <w:tc>
          <w:tcPr>
            <w:tcW w:w="34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shd w:fill="CCEEFF" w:val="clear"/>
            <w:vAlign w:val="center"/>
          </w:tcPr>
          <w:p>
            <w:pPr>
              <w:pStyle w:val="TableContents"/>
              <w:bidi w:val="0"/>
              <w:spacing w:before="0" w:after="0"/>
              <w:ind w:left="0" w:right="0" w:hanging="0"/>
              <w:jc w:val="righ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bidi w:val="0"/>
              <w:spacing w:before="0" w:after="0"/>
              <w:ind w:left="0" w:right="0" w:hanging="0"/>
              <w:jc w:val="righ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346" w:type="dxa"/>
            <w:tcBorders/>
            <w:shd w:fill="CCEEFF" w:val="clear"/>
            <w:vAlign w:val="center"/>
          </w:tcPr>
          <w:p>
            <w:pPr>
              <w:pStyle w:val="TableContents"/>
              <w:bidi w:val="0"/>
              <w:spacing w:before="0" w:after="0"/>
              <w:ind w:left="0" w:right="0" w:hanging="0"/>
              <w:jc w:val="righ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r>
      <w:tr>
        <w:trPr/>
        <w:tc>
          <w:tcPr>
            <w:tcW w:w="34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Free Cash Flow</w:t>
            </w:r>
          </w:p>
        </w:tc>
        <w:tc>
          <w:tcPr>
            <w:tcW w:w="346" w:type="dxa"/>
            <w:tcBorders/>
            <w:vAlign w:val="center"/>
          </w:tcPr>
          <w:p>
            <w:pPr>
              <w:pStyle w:val="TableContents"/>
              <w:bidi w:val="0"/>
              <w:spacing w:before="0" w:after="0"/>
              <w:ind w:left="0" w:right="0" w:hanging="0"/>
              <w:jc w:val="left"/>
              <w:rPr/>
            </w:pPr>
            <w:r>
              <w:rPr/>
              <w:t>​</w:t>
            </w:r>
          </w:p>
        </w:tc>
        <w:tc>
          <w:tcPr>
            <w:tcW w:w="3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(4,273)</w:t>
            </w:r>
          </w:p>
        </w:tc>
        <w:tc>
          <w:tcPr>
            <w:tcW w:w="346" w:type="dxa"/>
            <w:tcBorders/>
            <w:vAlign w:val="center"/>
          </w:tcPr>
          <w:p>
            <w:pPr>
              <w:pStyle w:val="TableContents"/>
              <w:bidi w:val="0"/>
              <w:spacing w:before="0" w:after="0"/>
              <w:ind w:left="0" w:right="0" w:hanging="0"/>
              <w:jc w:val="right"/>
              <w:rPr/>
            </w:pPr>
            <w:r>
              <w:rPr/>
              <w:t>​</w:t>
            </w:r>
          </w:p>
        </w:tc>
        <w:tc>
          <w:tcPr>
            <w:tcW w:w="3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(2,991)</w:t>
            </w:r>
          </w:p>
        </w:tc>
        <w:tc>
          <w:tcPr>
            <w:tcW w:w="346" w:type="dxa"/>
            <w:tcBorders/>
            <w:vAlign w:val="center"/>
          </w:tcPr>
          <w:p>
            <w:pPr>
              <w:pStyle w:val="TableContents"/>
              <w:bidi w:val="0"/>
              <w:spacing w:before="0" w:after="0"/>
              <w:ind w:left="0" w:right="0" w:hanging="0"/>
              <w:jc w:val="right"/>
              <w:rPr/>
            </w:pPr>
            <w:r>
              <w:rPr/>
              <w:t>​</w:t>
            </w:r>
          </w:p>
        </w:tc>
        <w:tc>
          <w:tcPr>
            <w:tcW w:w="3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w:t>
            </w:r>
          </w:p>
        </w:tc>
        <w:tc>
          <w:tcPr>
            <w:tcW w:w="346" w:type="dxa"/>
            <w:tcBorders/>
            <w:vAlign w:val="center"/>
          </w:tcPr>
          <w:p>
            <w:pPr>
              <w:pStyle w:val="TableContents"/>
              <w:bidi w:val="0"/>
              <w:spacing w:before="0" w:after="0"/>
              <w:ind w:left="0" w:right="0" w:hanging="0"/>
              <w:jc w:val="righ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r>
    </w:tbl>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investors@lulus.com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5174</Words>
  <Characters>28776</Characters>
  <CharactersWithSpaces>34511</CharactersWithSpaces>
  <Paragraphs>1760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