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40630x10q.htm"/>
        <w:bookmarkStart w:id="1" w:name="kstmb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center"/>
        <w:rPr>
          <w:rFonts w:ascii="Times New Roman;Times;serif" w:hAnsi="Times New Roman;Times;serif"/>
          <w:b/>
          <w:sz w:val="32"/>
        </w:rPr>
      </w:pPr>
      <w:bookmarkStart w:id="2" w:name="_07aa615a_ce14_4275_9996_9e605de8a439"/>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pBdr>
          <w:bottom w:val="single" w:sz="2" w:space="1" w:color="000000"/>
        </w:pBdr>
        <w:bidi w:val="0"/>
        <w:spacing w:before="0" w:after="120"/>
        <w:ind w:left="0" w:right="0" w:hanging="0"/>
        <w:jc w:val="center"/>
        <w:rPr/>
      </w:pPr>
      <w:r>
        <w:rPr/>
        <w:t>​</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cZXoia0kf0-BKSG15UG46g_1_1"/>
      <w:bookmarkStart w:id="4" w:name="_3586bc08_409e_4c84_8a88_f77b88341fc0"/>
      <w:bookmarkStart w:id="5" w:name="Tc_cZXoia0kf0-BKSG15UG46g_1_1"/>
      <w:bookmarkStart w:id="6" w:name="_3586bc08_409e_4c84_8a88_f77b88341fc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 the quarterly period ended June 30, 2024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gBnieA4UgU6ZhqP-H7vbwQ_1_1"/>
      <w:bookmarkStart w:id="8" w:name="_047cb49a_6ab8_464c_b721_f28d7010be9a"/>
      <w:bookmarkStart w:id="9" w:name="Tc_gBnieA4UgU6ZhqP-H7vbwQ_1_1"/>
      <w:bookmarkStart w:id="10" w:name="_047cb49a_6ab8_464c_b721_f28d7010be9a"/>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For the transition period from ___________________ to ___________________</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Commission File Number: 001-41059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022350" cy="4394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2350" cy="43942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(Exact Name of Registrant as Specified in its Charter)</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xzFccYOd0EOUf35D6qKQcQ_4_1"/>
      <w:bookmarkStart w:id="12" w:name="Tc_j0s2srDsQUyU7TzhMIWOoA_4_0"/>
      <w:bookmarkStart w:id="13" w:name="Tc_Kood_t6yMka8JCUM9fIOPA_3_0"/>
      <w:bookmarkStart w:id="14" w:name="Tc_25ueoAJ71k6vA7UfQRwchw_2_1"/>
      <w:bookmarkStart w:id="15" w:name="Tc_lbS4U-7pL0un57J-Hu28fQ_2_0"/>
      <w:bookmarkStart w:id="16" w:name="_2e8a7c68_cf3e_42ac_9fdd_aa4211875b32"/>
      <w:bookmarkStart w:id="17" w:name="Tc_xzFccYOd0EOUf35D6qKQcQ_4_1"/>
      <w:bookmarkStart w:id="18" w:name="Tc_j0s2srDsQUyU7TzhMIWOoA_4_0"/>
      <w:bookmarkStart w:id="19" w:name="Tc_Kood_t6yMka8JCUM9fIOPA_3_0"/>
      <w:bookmarkStart w:id="20" w:name="Tc_25ueoAJ71k6vA7UfQRwchw_2_1"/>
      <w:bookmarkStart w:id="21" w:name="Tc_lbS4U-7pL0un57J-Hu28fQ_2_0"/>
      <w:bookmarkStart w:id="22" w:name="_2e8a7c68_cf3e_42ac_9fdd_aa4211875b32"/>
      <w:bookmarkEnd w:id="17"/>
      <w:bookmarkEnd w:id="18"/>
      <w:bookmarkEnd w:id="19"/>
      <w:bookmarkEnd w:id="20"/>
      <w:bookmarkEnd w:id="21"/>
      <w:bookmarkEnd w:id="22"/>
    </w:p>
    <w:tbl>
      <w:tblPr>
        <w:tblW w:w="4412" w:type="dxa"/>
        <w:jc w:val="left"/>
        <w:tblInd w:w="0" w:type="dxa"/>
        <w:tblLayout w:type="fixed"/>
        <w:tblCellMar>
          <w:top w:w="0" w:type="dxa"/>
          <w:left w:w="0" w:type="dxa"/>
          <w:bottom w:w="0" w:type="dxa"/>
          <w:right w:w="0" w:type="dxa"/>
        </w:tblCellMar>
      </w:tblPr>
      <w:tblGrid>
        <w:gridCol w:w="292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858010" cy="29210"/>
                      <wp:effectExtent l="0" t="0" r="0" b="0"/>
                      <wp:wrapNone/>
                      <wp:docPr id="2" name="Frame1"/>
                      <a:graphic xmlns:a="http://schemas.openxmlformats.org/drawingml/2006/main">
                        <a:graphicData uri="http://schemas.microsoft.com/office/word/2010/wordprocessingShape">
                          <wps:wsp>
                            <wps:cNvSpPr txBox="1"/>
                            <wps:spPr>
                              <a:xfrm>
                                <a:off x="0" y="0"/>
                                <a:ext cx="1858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43610" cy="29210"/>
                      <wp:effectExtent l="0" t="0" r="0" b="0"/>
                      <wp:wrapNone/>
                      <wp:docPr id="3" name="Frame2"/>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20-8442468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195 Humboldt Avenue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Chico, California</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95928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(530) 343-3545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NW15Y6YRbk-FZTYXOTgEHA_0_2"/>
      <w:bookmarkStart w:id="24" w:name="Tc_lf-PaV_iTkaomVNHnuD-Aw_0_1"/>
      <w:bookmarkStart w:id="25" w:name="Tc_Hjb6UPGzOU6pnpNC_0B-RA_0_0"/>
      <w:bookmarkStart w:id="26" w:name="_0b67aa34_c169_429a_9db4_f6b2e7cf4f7b"/>
      <w:bookmarkStart w:id="27" w:name="Tc_NW15Y6YRbk-FZTYXOTgEHA_0_2"/>
      <w:bookmarkStart w:id="28" w:name="Tc_lf-PaV_iTkaomVNHnuD-Aw_0_1"/>
      <w:bookmarkStart w:id="29" w:name="Tc_Hjb6UPGzOU6pnpNC_0B-RA_0_0"/>
      <w:bookmarkStart w:id="30" w:name="_0b67aa34_c169_429a_9db4_f6b2e7cf4f7b"/>
      <w:bookmarkEnd w:id="27"/>
      <w:bookmarkEnd w:id="28"/>
      <w:bookmarkEnd w:id="29"/>
      <w:bookmarkEnd w:id="30"/>
    </w:p>
    <w:tbl>
      <w:tblPr>
        <w:tblW w:w="8208" w:type="dxa"/>
        <w:jc w:val="left"/>
        <w:tblInd w:w="0" w:type="dxa"/>
        <w:tblLayout w:type="fixed"/>
        <w:tblCellMar>
          <w:top w:w="28" w:type="dxa"/>
          <w:left w:w="28" w:type="dxa"/>
          <w:bottom w:w="28" w:type="dxa"/>
          <w:right w:w="28" w:type="dxa"/>
        </w:tblCellMar>
      </w:tblPr>
      <w:tblGrid>
        <w:gridCol w:w="3166"/>
        <w:gridCol w:w="1561"/>
        <w:gridCol w:w="3481"/>
      </w:tblGrid>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LVLU</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4"/>
        </w:rPr>
        <w:t xml:space="preserve"> ☒   </w:t>
      </w:r>
      <w:r>
        <w:rPr>
          <w:rFonts w:ascii="Times New Roman;Times;serif" w:hAnsi="Times New Roman;Times;serif"/>
          <w:sz w:val="18"/>
        </w:rPr>
        <w:t>No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4"/>
        </w:rPr>
        <w:t>  ☒   </w:t>
      </w:r>
      <w:r>
        <w:rPr>
          <w:rFonts w:ascii="Times New Roman;Times;serif" w:hAnsi="Times New Roman;Times;serif"/>
          <w:sz w:val="18"/>
        </w:rPr>
        <w:t>No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iZ77l5W3mESrxmHSL1KBCw_3_0"/>
      <w:bookmarkStart w:id="32" w:name="Tc_P_I67oxJfk-8Lkmx2anGRA_2_3"/>
      <w:bookmarkStart w:id="33" w:name="Tc_3tzmhiopuESqFjYARi6GBQ_2_1"/>
      <w:bookmarkStart w:id="34" w:name="Tc_M3eKrgJbwUSZbfi_rvPV_w_1_4"/>
      <w:bookmarkStart w:id="35" w:name="Tc_bZyqHNn2HU6vZCfPBNQAdA_1_3"/>
      <w:bookmarkStart w:id="36" w:name="Tc_dXvXk84kW0S2goqTu2wKew_1_1"/>
      <w:bookmarkStart w:id="37" w:name="Tc_QI2q4ipgvU-IzH6ZOyJR-A_1_0"/>
      <w:bookmarkStart w:id="38" w:name="_802ff32d_6140_48ee_8c95_2d5393b7c353"/>
      <w:bookmarkStart w:id="39" w:name="Tc_iZ77l5W3mESrxmHSL1KBCw_3_0"/>
      <w:bookmarkStart w:id="40" w:name="Tc_P_I67oxJfk-8Lkmx2anGRA_2_3"/>
      <w:bookmarkStart w:id="41" w:name="Tc_3tzmhiopuESqFjYARi6GBQ_2_1"/>
      <w:bookmarkStart w:id="42" w:name="Tc_M3eKrgJbwUSZbfi_rvPV_w_1_4"/>
      <w:bookmarkStart w:id="43" w:name="Tc_bZyqHNn2HU6vZCfPBNQAdA_1_3"/>
      <w:bookmarkStart w:id="44" w:name="Tc_dXvXk84kW0S2goqTu2wKew_1_1"/>
      <w:bookmarkStart w:id="45" w:name="Tc_QI2q4ipgvU-IzH6ZOyJR-A_1_0"/>
      <w:bookmarkStart w:id="46" w:name="_802ff32d_6140_48ee_8c95_2d5393b7c353"/>
      <w:bookmarkEnd w:id="39"/>
      <w:bookmarkEnd w:id="40"/>
      <w:bookmarkEnd w:id="41"/>
      <w:bookmarkEnd w:id="42"/>
      <w:bookmarkEnd w:id="43"/>
      <w:bookmarkEnd w:id="44"/>
      <w:bookmarkEnd w:id="45"/>
      <w:bookmarkEnd w:id="46"/>
    </w:p>
    <w:tbl>
      <w:tblPr>
        <w:tblW w:w="4905" w:type="dxa"/>
        <w:jc w:val="left"/>
        <w:tblInd w:w="0" w:type="dxa"/>
        <w:tblLayout w:type="fixed"/>
        <w:tblCellMar>
          <w:top w:w="0" w:type="dxa"/>
          <w:left w:w="0" w:type="dxa"/>
          <w:bottom w:w="0" w:type="dxa"/>
          <w:right w:w="0" w:type="dxa"/>
        </w:tblCellMar>
      </w:tblPr>
      <w:tblGrid>
        <w:gridCol w:w="2056"/>
        <w:gridCol w:w="316"/>
        <w:gridCol w:w="14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4"/>
        </w:rPr>
        <w:t>☐    </w:t>
      </w:r>
      <w:r>
        <w:rPr>
          <w:rFonts w:ascii="Times New Roman;Times;serif" w:hAnsi="Times New Roman;Times;serif"/>
          <w:sz w:val="18"/>
        </w:rPr>
        <w:t>No  </w:t>
      </w: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 of August 9, 2024, there were 41,771,889 shares of the registrant’s common stock, par value $0.001,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right"/>
        <w:rPr>
          <w:rFonts w:ascii="Times New Roman;Times;serif" w:hAnsi="Times New Roman;Times;serif"/>
          <w:b/>
          <w:sz w:val="20"/>
        </w:rPr>
      </w:pPr>
      <w:bookmarkStart w:id="47" w:name="TOC"/>
      <w:bookmarkStart w:id="48" w:name="_d57e2a7d_0c8d_407a_bba6_0af018d66327"/>
      <w:bookmarkEnd w:id="47"/>
      <w:bookmarkEnd w:id="48"/>
      <w:r>
        <w:rPr>
          <w:rFonts w:ascii="Times New Roman;Times;serif" w:hAnsi="Times New Roman;Times;serif"/>
          <w:b/>
          <w:sz w:val="20"/>
        </w:rPr>
        <w:t>TABLE OF CONTENTS</w:t>
      </w:r>
    </w:p>
    <w:p>
      <w:pPr>
        <w:pStyle w:val="TextBody"/>
        <w:bidi w:val="0"/>
        <w:spacing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1111"/>
        <w:gridCol w:w="8448"/>
        <w:gridCol w:w="646"/>
      </w:tblGrid>
      <w:tr>
        <w:trPr/>
        <w:tc>
          <w:tcPr>
            <w:tcW w:w="1111" w:type="dxa"/>
            <w:tcBorders/>
            <w:vAlign w:val="center"/>
          </w:tcPr>
          <w:p>
            <w:pPr>
              <w:pStyle w:val="TableContents"/>
              <w:bidi w:val="0"/>
              <w:spacing w:before="0" w:after="0"/>
              <w:ind w:left="0" w:right="0" w:hanging="0"/>
              <w:jc w:val="left"/>
              <w:rPr/>
            </w:pPr>
            <w:r>
              <w:rPr/>
              <w:t> </w:t>
            </w:r>
          </w:p>
        </w:tc>
        <w:tc>
          <w:tcPr>
            <w:tcW w:w="8448" w:type="dxa"/>
            <w:tcBorders/>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Page</w:t>
            </w:r>
          </w:p>
        </w:tc>
      </w:tr>
      <w:tr>
        <w:trPr/>
        <w:tc>
          <w:tcPr>
            <w:tcW w:w="1111"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4"/>
                </w:rPr>
                <w:t>PART I</w:t>
              </w:r>
            </w:hyperlink>
          </w:p>
        </w:tc>
        <w:tc>
          <w:tcPr>
            <w:tcW w:w="8448"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4"/>
                </w:rPr>
                <w:t>FINANCIAL INFORMATION</w:t>
              </w:r>
            </w:hyperlink>
          </w:p>
        </w:tc>
        <w:tc>
          <w:tcPr>
            <w:tcW w:w="646"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1111"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4"/>
                </w:rPr>
                <w:t>Item 1.</w:t>
              </w:r>
            </w:hyperlink>
          </w:p>
        </w:tc>
        <w:tc>
          <w:tcPr>
            <w:tcW w:w="8448"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4"/>
                </w:rPr>
                <w:t>Financial Statements (unaudited)</w:t>
              </w:r>
            </w:hyperlink>
          </w:p>
        </w:tc>
        <w:tc>
          <w:tcPr>
            <w:tcW w:w="646" w:type="dxa"/>
            <w:tcBorders/>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CondensedConsolidatedBalanceSheets_47417">
              <w:r>
                <w:rPr>
                  <w:rStyle w:val="InternetLink"/>
                  <w:rFonts w:ascii="Times New Roman;Times;serif" w:hAnsi="Times New Roman;Times;serif"/>
                  <w:b w:val="false"/>
                  <w:i w:val="false"/>
                  <w:caps w:val="false"/>
                  <w:smallCaps w:val="false"/>
                  <w:sz w:val="24"/>
                </w:rPr>
                <w:t>Condensed Consolidated Balance Sheets as of June 30, 2024 and December 31, 2023</w:t>
              </w:r>
            </w:hyperlink>
            <w:r>
              <w:rPr>
                <w:rFonts w:ascii="Times New Roman;Times;serif" w:hAnsi="Times New Roman;Times;serif"/>
                <w:sz w:val="24"/>
              </w:rPr>
              <w:t xml:space="preserve">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CondensedConsolidatedStatementsofOperat">
              <w:r>
                <w:rPr>
                  <w:rStyle w:val="InternetLink"/>
                  <w:rFonts w:ascii="Times New Roman;Times;serif" w:hAnsi="Times New Roman;Times;serif"/>
                  <w:b w:val="false"/>
                  <w:i w:val="false"/>
                  <w:caps w:val="false"/>
                  <w:smallCaps w:val="false"/>
                  <w:sz w:val="24"/>
                </w:rPr>
                <w:t>Condensed Consolidated Statements of Operations and Comprehensive Loss for the thirteen and twenty-six weeks ended June 30, 2024 and July 2, 2023</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StockholdersEquity_449154">
              <w:r>
                <w:rPr>
                  <w:rStyle w:val="InternetLink"/>
                  <w:rFonts w:ascii="Times New Roman;Times;serif" w:hAnsi="Times New Roman;Times;serif"/>
                  <w:b w:val="false"/>
                  <w:i w:val="false"/>
                  <w:caps w:val="false"/>
                  <w:smallCaps w:val="false"/>
                  <w:sz w:val="24"/>
                </w:rPr>
                <w:t>Condensed Consolidated Statements of Stockholders’ Equity for the twenty-six weeks ended June 30, 2024 and July 2, 2023</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4"/>
                </w:rPr>
                <w:t>Condensed Consolidated Statements of Cash Flows for the twenty-six weeks ended June 30, 2024 and July 2, 2023</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hyperlink w:anchor="DescriptionofBusinessOrganizationandLiqu">
              <w:r>
                <w:rPr>
                  <w:rStyle w:val="InternetLink"/>
                  <w:rFonts w:ascii="Times New Roman;Times;serif" w:hAnsi="Times New Roman;Times;serif"/>
                  <w:b w:val="false"/>
                  <w:i w:val="false"/>
                  <w:caps w:val="false"/>
                  <w:smallCaps w:val="false"/>
                  <w:sz w:val="24"/>
                </w:rPr>
                <w:t>Notes to Condensed Consolidated Financial Statements</w:t>
              </w:r>
            </w:hyperlink>
            <w:r>
              <w:rPr>
                <w:rFonts w:ascii="Times New Roman;Times;serif" w:hAnsi="Times New Roman;Times;serif"/>
                <w:sz w:val="24"/>
              </w:rPr>
              <w:t xml:space="preserve">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w:t>
            </w:r>
          </w:p>
        </w:tc>
      </w:tr>
      <w:tr>
        <w:trPr/>
        <w:tc>
          <w:tcPr>
            <w:tcW w:w="11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4"/>
                </w:rPr>
                <w:t>Item 2.</w:t>
              </w:r>
            </w:hyperlink>
          </w:p>
        </w:tc>
        <w:tc>
          <w:tcPr>
            <w:tcW w:w="844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4"/>
                </w:rPr>
                <w:t>Management’s Discussion and Analysis of Financial Condition and Results of Operations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27</w:t>
            </w:r>
          </w:p>
        </w:tc>
      </w:tr>
      <w:tr>
        <w:trPr/>
        <w:tc>
          <w:tcPr>
            <w:tcW w:w="11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4"/>
                </w:rPr>
                <w:t>Item 3.</w:t>
              </w:r>
            </w:hyperlink>
          </w:p>
        </w:tc>
        <w:tc>
          <w:tcPr>
            <w:tcW w:w="844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4"/>
                </w:rPr>
                <w:t>Quantitative and Qualitative Disclosures About Market Risk</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39</w:t>
            </w:r>
          </w:p>
        </w:tc>
      </w:tr>
      <w:tr>
        <w:trPr/>
        <w:tc>
          <w:tcPr>
            <w:tcW w:w="1111"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4"/>
                </w:rPr>
                <w:t>Item 4.</w:t>
              </w:r>
            </w:hyperlink>
          </w:p>
        </w:tc>
        <w:tc>
          <w:tcPr>
            <w:tcW w:w="8448"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4"/>
                </w:rPr>
                <w:t>Controls and Procedures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39</w:t>
            </w:r>
          </w:p>
        </w:tc>
      </w:tr>
      <w:tr>
        <w:trPr/>
        <w:tc>
          <w:tcPr>
            <w:tcW w:w="1111" w:type="dxa"/>
            <w:tcBorders/>
            <w:vAlign w:val="center"/>
          </w:tcPr>
          <w:p>
            <w:pPr>
              <w:pStyle w:val="TableContents"/>
              <w:bidi w:val="0"/>
              <w:spacing w:before="0" w:after="0"/>
              <w:ind w:left="0" w:right="0" w:hanging="0"/>
              <w:jc w:val="left"/>
              <w:rPr/>
            </w:pPr>
            <w:r>
              <w:rPr/>
              <w:t>​</w:t>
            </w:r>
          </w:p>
        </w:tc>
        <w:tc>
          <w:tcPr>
            <w:tcW w:w="8448"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hyperlink w:anchor="PARTIIOTHERINFORMATION_807620">
              <w:r>
                <w:rPr>
                  <w:rStyle w:val="InternetLink"/>
                  <w:rFonts w:ascii="Times New Roman;Times;serif" w:hAnsi="Times New Roman;Times;serif"/>
                  <w:b/>
                  <w:i w:val="false"/>
                  <w:caps w:val="false"/>
                  <w:smallCaps w:val="false"/>
                  <w:sz w:val="24"/>
                </w:rPr>
                <w:t>PART II</w:t>
              </w:r>
            </w:hyperlink>
          </w:p>
        </w:tc>
        <w:tc>
          <w:tcPr>
            <w:tcW w:w="8448" w:type="dxa"/>
            <w:tcBorders/>
            <w:vAlign w:val="center"/>
          </w:tcPr>
          <w:p>
            <w:pPr>
              <w:pStyle w:val="TableContents"/>
              <w:bidi w:val="0"/>
              <w:spacing w:before="0" w:after="0"/>
              <w:ind w:left="0" w:right="0" w:hanging="0"/>
              <w:jc w:val="left"/>
              <w:rPr/>
            </w:pPr>
            <w:hyperlink w:anchor="PARTIIOTHERINFORMATION_807620">
              <w:r>
                <w:rPr>
                  <w:rStyle w:val="InternetLink"/>
                  <w:caps w:val="false"/>
                  <w:smallCaps w:val="false"/>
                </w:rPr>
                <w:t> </w:t>
              </w:r>
            </w:hyperlink>
            <w:hyperlink w:anchor="PARTIIOTHERINFORMATION_807620">
              <w:r>
                <w:rPr>
                  <w:rStyle w:val="InternetLink"/>
                  <w:rFonts w:ascii="Times New Roman;Times;serif" w:hAnsi="Times New Roman;Times;serif"/>
                  <w:b/>
                  <w:i w:val="false"/>
                  <w:caps w:val="false"/>
                  <w:smallCaps w:val="false"/>
                  <w:sz w:val="24"/>
                </w:rPr>
                <w:t>OTHER INFORMATION</w:t>
              </w:r>
            </w:hyperlink>
          </w:p>
        </w:tc>
        <w:tc>
          <w:tcPr>
            <w:tcW w:w="646" w:type="dxa"/>
            <w:tcBorders/>
            <w:vAlign w:val="center"/>
          </w:tcPr>
          <w:p>
            <w:pPr>
              <w:pStyle w:val="TableContents"/>
              <w:bidi w:val="0"/>
              <w:spacing w:before="0" w:after="0"/>
              <w:ind w:left="0" w:right="0" w:hanging="0"/>
              <w:jc w:val="right"/>
              <w:rPr/>
            </w:pPr>
            <w:r>
              <w:rPr/>
              <w:t>​</w:t>
            </w:r>
          </w:p>
        </w:tc>
      </w:tr>
      <w:tr>
        <w:trPr/>
        <w:tc>
          <w:tcPr>
            <w:tcW w:w="1111"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4"/>
                </w:rPr>
                <w:t>Item 1.</w:t>
              </w:r>
            </w:hyperlink>
          </w:p>
        </w:tc>
        <w:tc>
          <w:tcPr>
            <w:tcW w:w="8448"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4"/>
                </w:rPr>
                <w:t>Legal Proceedings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39</w:t>
            </w:r>
          </w:p>
        </w:tc>
      </w:tr>
      <w:tr>
        <w:trPr/>
        <w:tc>
          <w:tcPr>
            <w:tcW w:w="1111"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4"/>
                </w:rPr>
                <w:t>Item 1A.</w:t>
              </w:r>
            </w:hyperlink>
          </w:p>
        </w:tc>
        <w:tc>
          <w:tcPr>
            <w:tcW w:w="8448"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4"/>
                </w:rPr>
                <w:t>Risk Factors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40</w:t>
            </w:r>
          </w:p>
        </w:tc>
      </w:tr>
      <w:tr>
        <w:trPr/>
        <w:tc>
          <w:tcPr>
            <w:tcW w:w="11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4"/>
                </w:rPr>
                <w:t>Item 2.</w:t>
              </w:r>
            </w:hyperlink>
          </w:p>
        </w:tc>
        <w:tc>
          <w:tcPr>
            <w:tcW w:w="844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4"/>
                </w:rPr>
                <w:t>Unregistered Sales of Equity Securities and Use of Proceeds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40</w:t>
            </w:r>
          </w:p>
        </w:tc>
      </w:tr>
      <w:tr>
        <w:trPr/>
        <w:tc>
          <w:tcPr>
            <w:tcW w:w="1111"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4"/>
                </w:rPr>
                <w:t>Item 3.</w:t>
              </w:r>
            </w:hyperlink>
          </w:p>
        </w:tc>
        <w:tc>
          <w:tcPr>
            <w:tcW w:w="8448"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4"/>
                </w:rPr>
                <w:t>Defaults Upon Senior Securities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41</w:t>
            </w:r>
          </w:p>
        </w:tc>
      </w:tr>
      <w:tr>
        <w:trPr/>
        <w:tc>
          <w:tcPr>
            <w:tcW w:w="1111"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4"/>
                </w:rPr>
                <w:t>Item 4.</w:t>
              </w:r>
            </w:hyperlink>
          </w:p>
        </w:tc>
        <w:tc>
          <w:tcPr>
            <w:tcW w:w="8448"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4"/>
                </w:rPr>
                <w:t>Mine Safety Disclosures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41</w:t>
            </w:r>
          </w:p>
        </w:tc>
      </w:tr>
      <w:tr>
        <w:trPr/>
        <w:tc>
          <w:tcPr>
            <w:tcW w:w="1111"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4"/>
                </w:rPr>
                <w:t>Item 5.</w:t>
              </w:r>
            </w:hyperlink>
          </w:p>
        </w:tc>
        <w:tc>
          <w:tcPr>
            <w:tcW w:w="8448"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4"/>
                </w:rPr>
                <w:t>Other Information</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41</w:t>
            </w:r>
          </w:p>
        </w:tc>
      </w:tr>
      <w:tr>
        <w:trPr/>
        <w:tc>
          <w:tcPr>
            <w:tcW w:w="1111"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4"/>
                </w:rPr>
                <w:t>Item 6.</w:t>
              </w:r>
            </w:hyperlink>
          </w:p>
        </w:tc>
        <w:tc>
          <w:tcPr>
            <w:tcW w:w="8448"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4"/>
                </w:rPr>
                <w:t>Exhibits</w:t>
              </w:r>
            </w:hyperlink>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42</w:t>
            </w:r>
          </w:p>
        </w:tc>
      </w:tr>
      <w:tr>
        <w:trPr/>
        <w:tc>
          <w:tcPr>
            <w:tcW w:w="1111" w:type="dxa"/>
            <w:tcBorders/>
            <w:vAlign w:val="center"/>
          </w:tcPr>
          <w:p>
            <w:pPr>
              <w:pStyle w:val="TableContents"/>
              <w:bidi w:val="0"/>
              <w:spacing w:before="0" w:after="0"/>
              <w:ind w:left="0" w:right="0" w:hanging="0"/>
              <w:jc w:val="left"/>
              <w:rPr/>
            </w:pPr>
            <w:hyperlink w:anchor="SIGNATURES_813814">
              <w:r>
                <w:rPr>
                  <w:rStyle w:val="InternetLink"/>
                  <w:rFonts w:ascii="Times New Roman;Times;serif" w:hAnsi="Times New Roman;Times;serif"/>
                  <w:b w:val="false"/>
                  <w:i w:val="false"/>
                  <w:caps w:val="false"/>
                  <w:smallCaps w:val="false"/>
                  <w:sz w:val="24"/>
                </w:rPr>
                <w:t>Signatures</w:t>
              </w:r>
            </w:hyperlink>
          </w:p>
        </w:tc>
        <w:tc>
          <w:tcPr>
            <w:tcW w:w="8448" w:type="dxa"/>
            <w:tcBorders/>
            <w:vAlign w:val="center"/>
          </w:tcPr>
          <w:p>
            <w:pPr>
              <w:pStyle w:val="TableContents"/>
              <w:bidi w:val="0"/>
              <w:spacing w:before="0" w:after="283"/>
              <w:ind w:left="0" w:right="0" w:hanging="0"/>
              <w:jc w:val="left"/>
              <w:rPr>
                <w:sz w:val="4"/>
                <w:szCs w:val="4"/>
              </w:rPr>
            </w:pPr>
            <w:r>
              <w:rPr>
                <w:sz w:val="4"/>
                <w:szCs w:val="4"/>
              </w:rPr>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2a9247cb_4742_48da_872c_cba70976246f"/>
      <w:bookmarkEnd w:id="49"/>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 factors discussed in Part I, Item 1A, “Risk Factors” in our Annual Report on Form 10-K for the year ended December 31, 2023 and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Times New Roman;Times;serif" w:hAnsi="Times New Roman;Times;serif"/>
          <w:sz w:val="24"/>
        </w:rPr>
        <w:t>.</w:t>
      </w:r>
    </w:p>
    <w:p>
      <w:pPr>
        <w:pStyle w:val="TextBody"/>
        <w:bidi w:val="0"/>
        <w:spacing w:before="0" w:after="240"/>
        <w:ind w:left="0" w:right="0" w:hanging="0"/>
        <w:jc w:val="both"/>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 w:name="_4c2ceaac_0846_4ca5_a81e_69c8fd3d2f0c"/>
      <w:bookmarkEnd w:id="50"/>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Quarterly Report on Form 10-Q to the terms “Lulus,” “we,” “us,” “our,” or the “Company” refer to Lulu’s Fashion Lounge Holdings, Inc. and its consolidated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fiscal year is a “52-53 week” year ending on the Sunday closest in proximity to December 31, such that each quarterly period will be 13 weeks in length, except during a 53-week year when the fourth quarter will be 14 weeks. References herein to “fiscal 2024” and/or “2024” relate to the year ending December 29, 2024 and “fiscal 2023” and/or “2023” relate to the year ended December 31, 2023. The fiscal years ending December 29, 2024 and ended December 31, 2023 consist of 52-weeks</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Free Cash Flow which are non-GAAP (accounting principles generally accepted in the United States of America) financial measures. See “Management’s Discussion and Analysis of Financial Condition and Results of Operations—Non-GAAP Financial Measures” for a discussion of Adjusted EBITDA, Adjusted EBITDA Margin and Free Cash Flow, as well as a reconciliation of net loss to Adjusted EBITDA and a reconciliation to non-GAAP Free Cash Flow from net cash provided by operating activities. Net loss is the most directly comparable financial measure to Adjusted EBITDA and net cash provided by operating activities is the most directly comparable financial measure to Free Cash Flow, required by, or presented in accordance with GAAP</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735439"/>
      <w:bookmarkStart w:id="52" w:name="_e4082a3c_a76a_4452_ad9f_04cc69d1709a"/>
      <w:bookmarkEnd w:id="51"/>
      <w:bookmarkEnd w:id="52"/>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val="false"/>
          <w:sz w:val="20"/>
        </w:rPr>
      </w:pPr>
      <w:bookmarkStart w:id="53" w:name="Item1FinancialStatements_894553"/>
      <w:bookmarkEnd w:id="53"/>
      <w:r>
        <w:rPr>
          <w:rFonts w:ascii="Times New Roman;Times;serif" w:hAnsi="Times New Roman;Times;serif"/>
          <w:b w:val="false"/>
          <w:sz w:val="20"/>
        </w:rPr>
        <w:t>Item 1. Financial Statements.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bookmarkStart w:id="54" w:name="CondensedConsolidatedBalanceSheets_47417"/>
      <w:bookmarkEnd w:id="54"/>
      <w:r>
        <w:rPr>
          <w:rFonts w:ascii="Times New Roman;Times;serif" w:hAnsi="Times New Roman;Times;serif"/>
          <w:b/>
          <w:sz w:val="24"/>
        </w:rPr>
        <w:t>Condensed Consolidated Balance Sheets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and per share amounts)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5" w:name="Tc_HGWbiRClbUyFVV-ZDZzj1w_41_5"/>
      <w:bookmarkStart w:id="56" w:name="Tc_Y4-TKSOfKky8cwrjWIwLAg_41_2"/>
      <w:bookmarkStart w:id="57" w:name="Tc_1BaRiRSpBkeCwyGemgdgmQ_41_0"/>
      <w:bookmarkStart w:id="58" w:name="Tc__oAw7XLJGkWjL0FdqTUC1w_40_0"/>
      <w:bookmarkStart w:id="59" w:name="Tc_sIBr0epFHEOdWaLYQTukiQ_39_6"/>
      <w:bookmarkStart w:id="60" w:name="Tc_qla6NV4TXUCv2J9yiUpqFg_39_0"/>
      <w:bookmarkStart w:id="61" w:name="Tc_92OapNJbIkCZkahOP6FNSw_38_0"/>
      <w:bookmarkStart w:id="62" w:name="Tc_cWL2MqpmK0WD1Uk2Nk0lHw_37_0"/>
      <w:bookmarkStart w:id="63" w:name="Tc_SsYVQcqPSE-7D2U_HTDVJA_36_0"/>
      <w:bookmarkStart w:id="64" w:name="_5c34f0e9_0c5d_4ec0_bd65_b4c89893608d_3"/>
      <w:bookmarkStart w:id="65" w:name="_5c34f0e9_0c5d_4ec0_bd65_b4c89893608d_2"/>
      <w:bookmarkStart w:id="66" w:name="_5c34f0e9_0c5d_4ec0_bd65_b4c89893608d"/>
      <w:bookmarkStart w:id="67" w:name="Tc_zTrlllhXvE2_5bVtHdinsg_35_0"/>
      <w:bookmarkStart w:id="68" w:name="Tc_lZMXyTBDKEurlO-nq7-8Og_34_0"/>
      <w:bookmarkStart w:id="69" w:name="Tc_dunloHQ4ZUqy9PliYOLKSA_32_0"/>
      <w:bookmarkStart w:id="70" w:name="Tc_lsfQhRWWx0SS5HOedAYgEw_31_0"/>
      <w:bookmarkStart w:id="71" w:name="Tc_bjTi_lU4iEWcY2ic7WwwxQ_30_0"/>
      <w:bookmarkStart w:id="72" w:name="Tc_ozT-Higu6k-vR5QM39_9PQ_29_0"/>
      <w:bookmarkStart w:id="73" w:name="Tc_w0pYS9-qIEK325Ugz0cCYQ_28_0"/>
      <w:bookmarkStart w:id="74" w:name="Tc_4S4lvF0I302tDilb6Hi7pA_27_0"/>
      <w:bookmarkStart w:id="75" w:name="Tc_W33O7Tq5ZkuU5t-XwGte1Q_26_3"/>
      <w:bookmarkStart w:id="76" w:name="Tc_hX1xK_I5VUq7f5vHCWk1ag_26_0"/>
      <w:bookmarkStart w:id="77" w:name="Tc_9eWfZxbRDEONmQYIMGLpIg_25_0"/>
      <w:bookmarkStart w:id="78" w:name="Tc_DWcRHueYdkWUqxAgd56vNw_24_0"/>
      <w:bookmarkStart w:id="79" w:name="Tc_7bKKrebaoEOORJhAnotwbA_23_0"/>
      <w:bookmarkStart w:id="80" w:name="Tc_S9m_42v1r02Uqm_1q3Fksw_22_5"/>
      <w:bookmarkStart w:id="81" w:name="Tc_c6ELW-dP20edQWaKNpTang_22_2"/>
      <w:bookmarkStart w:id="82" w:name="Tc_PyPig3q_KE2tMpm0uvZXwA_22_0"/>
      <w:bookmarkStart w:id="83" w:name="Tc_lzX9wsI3o0ylWWV8uU_7Rg_21_0"/>
      <w:bookmarkStart w:id="84" w:name="Tc_UqziQKZNeUyFNuM87MSVpA_20_0"/>
      <w:bookmarkStart w:id="85" w:name="Tc_1oHGXshGnEKDZ91Moj7DuQ_18_5"/>
      <w:bookmarkStart w:id="86" w:name="Tc_QijPDz-tSUa2V0PrTcKuAw_18_2"/>
      <w:bookmarkStart w:id="87" w:name="Tc_gGW4URTZMEOyBSMT3nt_eA_18_0"/>
      <w:bookmarkStart w:id="88" w:name="Tc_-8g7mm3iNEmKT9itVsmBxg_17_0"/>
      <w:bookmarkStart w:id="89" w:name="Tc_2dQOLOdCREKGK5RLmid9TQ_16_0"/>
      <w:bookmarkStart w:id="90" w:name="Tc_sJuh34ivGk6wdFygBp7xWg_15_0"/>
      <w:bookmarkStart w:id="91" w:name="Tc_C3rluGWEC02POYU1nSe8zg_14_0"/>
      <w:bookmarkStart w:id="92" w:name="Tc_A7KbLJWEGU6LWgvOe_hdDQ_13_0"/>
      <w:bookmarkStart w:id="93" w:name="Tc_XUtiVRS1gkuyZh76E7zVHQ_12_0"/>
      <w:bookmarkStart w:id="94" w:name="Tc_IZ8RHLEU-kmqPcMww1adgQ_11_0"/>
      <w:bookmarkStart w:id="95" w:name="Tc_Lsc_x57xU0-pcGsNHJO8qw_10_0"/>
      <w:bookmarkStart w:id="96" w:name="Tc_Lid73f4CXEWoDbf75lnC1w_9_0"/>
      <w:bookmarkStart w:id="97" w:name="Tc_vObJfdwmHUu3-7v1_-gE6w_8_0"/>
      <w:bookmarkStart w:id="98" w:name="Tc_QuwUtVCPek26B9kLjizKBQ_7_0"/>
      <w:bookmarkStart w:id="99" w:name="Tc_b5LQj8k4mUay6Pg8ziLmhw_6_0"/>
      <w:bookmarkStart w:id="100" w:name="Tc_ECCAZKt8LECSnxdz1Bl-Uw_5_5"/>
      <w:bookmarkStart w:id="101" w:name="Tc_diXkKJhAPE6j5n3RtyAfGw_5_2"/>
      <w:bookmarkStart w:id="102" w:name="Tc_LbXnEiHs60i_qCUM-cFbHw_5_0"/>
      <w:bookmarkStart w:id="103" w:name="Tc_yl4UdBYsdEO1D31bmECq4Q_4_0"/>
      <w:bookmarkStart w:id="104" w:name="Tc_xh9Rt7qZPU6n4BgLYhubRQ_3_0"/>
      <w:bookmarkStart w:id="105" w:name="Tc_XOpCW8S7QEm1LrFYWogKoA_2_5"/>
      <w:bookmarkStart w:id="106" w:name="Tc_jE2dHxRhQ0OzCtFRJivh0g_2_2"/>
      <w:bookmarkStart w:id="107" w:name="Tc_iZgvc53gY0C5FuRVDctzcQ_1_5"/>
      <w:bookmarkStart w:id="108" w:name="Tc_krXLrNiyk028GbemcO2h5A_1_2"/>
      <w:bookmarkStart w:id="109" w:name="_d943d634_e491_424e_b4f8_b70695775018"/>
      <w:bookmarkStart w:id="110" w:name="Tc_HGWbiRClbUyFVV-ZDZzj1w_41_5"/>
      <w:bookmarkStart w:id="111" w:name="Tc_Y4-TKSOfKky8cwrjWIwLAg_41_2"/>
      <w:bookmarkStart w:id="112" w:name="Tc_1BaRiRSpBkeCwyGemgdgmQ_41_0"/>
      <w:bookmarkStart w:id="113" w:name="Tc__oAw7XLJGkWjL0FdqTUC1w_40_0"/>
      <w:bookmarkStart w:id="114" w:name="Tc_sIBr0epFHEOdWaLYQTukiQ_39_6"/>
      <w:bookmarkStart w:id="115" w:name="Tc_qla6NV4TXUCv2J9yiUpqFg_39_0"/>
      <w:bookmarkStart w:id="116" w:name="Tc_92OapNJbIkCZkahOP6FNSw_38_0"/>
      <w:bookmarkStart w:id="117" w:name="Tc_cWL2MqpmK0WD1Uk2Nk0lHw_37_0"/>
      <w:bookmarkStart w:id="118" w:name="Tc_SsYVQcqPSE-7D2U_HTDVJA_36_0"/>
      <w:bookmarkStart w:id="119" w:name="_5c34f0e9_0c5d_4ec0_bd65_b4c89893608d_3"/>
      <w:bookmarkStart w:id="120" w:name="_5c34f0e9_0c5d_4ec0_bd65_b4c89893608d_2"/>
      <w:bookmarkStart w:id="121" w:name="_5c34f0e9_0c5d_4ec0_bd65_b4c89893608d"/>
      <w:bookmarkStart w:id="122" w:name="Tc_zTrlllhXvE2_5bVtHdinsg_35_0"/>
      <w:bookmarkStart w:id="123" w:name="Tc_lZMXyTBDKEurlO-nq7-8Og_34_0"/>
      <w:bookmarkStart w:id="124" w:name="Tc_dunloHQ4ZUqy9PliYOLKSA_32_0"/>
      <w:bookmarkStart w:id="125" w:name="Tc_lsfQhRWWx0SS5HOedAYgEw_31_0"/>
      <w:bookmarkStart w:id="126" w:name="Tc_bjTi_lU4iEWcY2ic7WwwxQ_30_0"/>
      <w:bookmarkStart w:id="127" w:name="Tc_ozT-Higu6k-vR5QM39_9PQ_29_0"/>
      <w:bookmarkStart w:id="128" w:name="Tc_w0pYS9-qIEK325Ugz0cCYQ_28_0"/>
      <w:bookmarkStart w:id="129" w:name="Tc_4S4lvF0I302tDilb6Hi7pA_27_0"/>
      <w:bookmarkStart w:id="130" w:name="Tc_W33O7Tq5ZkuU5t-XwGte1Q_26_3"/>
      <w:bookmarkStart w:id="131" w:name="Tc_hX1xK_I5VUq7f5vHCWk1ag_26_0"/>
      <w:bookmarkStart w:id="132" w:name="Tc_9eWfZxbRDEONmQYIMGLpIg_25_0"/>
      <w:bookmarkStart w:id="133" w:name="Tc_DWcRHueYdkWUqxAgd56vNw_24_0"/>
      <w:bookmarkStart w:id="134" w:name="Tc_7bKKrebaoEOORJhAnotwbA_23_0"/>
      <w:bookmarkStart w:id="135" w:name="Tc_S9m_42v1r02Uqm_1q3Fksw_22_5"/>
      <w:bookmarkStart w:id="136" w:name="Tc_c6ELW-dP20edQWaKNpTang_22_2"/>
      <w:bookmarkStart w:id="137" w:name="Tc_PyPig3q_KE2tMpm0uvZXwA_22_0"/>
      <w:bookmarkStart w:id="138" w:name="Tc_lzX9wsI3o0ylWWV8uU_7Rg_21_0"/>
      <w:bookmarkStart w:id="139" w:name="Tc_UqziQKZNeUyFNuM87MSVpA_20_0"/>
      <w:bookmarkStart w:id="140" w:name="Tc_1oHGXshGnEKDZ91Moj7DuQ_18_5"/>
      <w:bookmarkStart w:id="141" w:name="Tc_QijPDz-tSUa2V0PrTcKuAw_18_2"/>
      <w:bookmarkStart w:id="142" w:name="Tc_gGW4URTZMEOyBSMT3nt_eA_18_0"/>
      <w:bookmarkStart w:id="143" w:name="Tc_-8g7mm3iNEmKT9itVsmBxg_17_0"/>
      <w:bookmarkStart w:id="144" w:name="Tc_2dQOLOdCREKGK5RLmid9TQ_16_0"/>
      <w:bookmarkStart w:id="145" w:name="Tc_sJuh34ivGk6wdFygBp7xWg_15_0"/>
      <w:bookmarkStart w:id="146" w:name="Tc_C3rluGWEC02POYU1nSe8zg_14_0"/>
      <w:bookmarkStart w:id="147" w:name="Tc_A7KbLJWEGU6LWgvOe_hdDQ_13_0"/>
      <w:bookmarkStart w:id="148" w:name="Tc_XUtiVRS1gkuyZh76E7zVHQ_12_0"/>
      <w:bookmarkStart w:id="149" w:name="Tc_IZ8RHLEU-kmqPcMww1adgQ_11_0"/>
      <w:bookmarkStart w:id="150" w:name="Tc_Lsc_x57xU0-pcGsNHJO8qw_10_0"/>
      <w:bookmarkStart w:id="151" w:name="Tc_Lid73f4CXEWoDbf75lnC1w_9_0"/>
      <w:bookmarkStart w:id="152" w:name="Tc_vObJfdwmHUu3-7v1_-gE6w_8_0"/>
      <w:bookmarkStart w:id="153" w:name="Tc_QuwUtVCPek26B9kLjizKBQ_7_0"/>
      <w:bookmarkStart w:id="154" w:name="Tc_b5LQj8k4mUay6Pg8ziLmhw_6_0"/>
      <w:bookmarkStart w:id="155" w:name="Tc_ECCAZKt8LECSnxdz1Bl-Uw_5_5"/>
      <w:bookmarkStart w:id="156" w:name="Tc_diXkKJhAPE6j5n3RtyAfGw_5_2"/>
      <w:bookmarkStart w:id="157" w:name="Tc_LbXnEiHs60i_qCUM-cFbHw_5_0"/>
      <w:bookmarkStart w:id="158" w:name="Tc_yl4UdBYsdEO1D31bmECq4Q_4_0"/>
      <w:bookmarkStart w:id="159" w:name="Tc_xh9Rt7qZPU6n4BgLYhubRQ_3_0"/>
      <w:bookmarkStart w:id="160" w:name="Tc_XOpCW8S7QEm1LrFYWogKoA_2_5"/>
      <w:bookmarkStart w:id="161" w:name="Tc_jE2dHxRhQ0OzCtFRJivh0g_2_2"/>
      <w:bookmarkStart w:id="162" w:name="Tc_iZgvc53gY0C5FuRVDctzcQ_1_5"/>
      <w:bookmarkStart w:id="163" w:name="Tc_krXLrNiyk028GbemcO2h5A_1_2"/>
      <w:bookmarkStart w:id="164" w:name="_d943d634_e491_424e_b4f8_b706957750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tbl>
      <w:tblPr>
        <w:tblW w:w="10205" w:type="dxa"/>
        <w:jc w:val="left"/>
        <w:tblInd w:w="0" w:type="dxa"/>
        <w:tblLayout w:type="fixed"/>
        <w:tblCellMar>
          <w:top w:w="0" w:type="dxa"/>
          <w:left w:w="0" w:type="dxa"/>
          <w:bottom w:w="0" w:type="dxa"/>
          <w:right w:w="0" w:type="dxa"/>
        </w:tblCellMar>
      </w:tblPr>
      <w:tblGrid>
        <w:gridCol w:w="7550"/>
        <w:gridCol w:w="326"/>
        <w:gridCol w:w="196"/>
        <w:gridCol w:w="782"/>
        <w:gridCol w:w="326"/>
        <w:gridCol w:w="196"/>
        <w:gridCol w:w="829"/>
      </w:tblGrid>
      <w:tr>
        <w:trPr/>
        <w:tc>
          <w:tcPr>
            <w:tcW w:w="7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94250" cy="175260"/>
                      <wp:effectExtent l="0" t="0" r="0" b="0"/>
                      <wp:wrapNone/>
                      <wp:docPr id="4" name="Frame3"/>
                      <a:graphic xmlns:a="http://schemas.openxmlformats.org/drawingml/2006/main">
                        <a:graphicData uri="http://schemas.microsoft.com/office/word/2010/wordprocessingShape">
                          <wps:wsp>
                            <wps:cNvSpPr txBox="1"/>
                            <wps:spPr>
                              <a:xfrm>
                                <a:off x="0" y="0"/>
                                <a:ext cx="4794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6570" cy="175260"/>
                      <wp:effectExtent l="0" t="0" r="0" b="0"/>
                      <wp:wrapNone/>
                      <wp:docPr id="7" name="Frame6"/>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6415" cy="175260"/>
                      <wp:effectExtent l="0" t="0" r="0" b="0"/>
                      <wp:wrapNone/>
                      <wp:docPr id="10" name="Frame9"/>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8"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w:t>
            </w:r>
          </w:p>
        </w:tc>
        <w:tc>
          <w:tcPr>
            <w:tcW w:w="326" w:type="dxa"/>
            <w:tcBorders/>
            <w:vAlign w:val="center"/>
          </w:tcPr>
          <w:p>
            <w:pPr>
              <w:pStyle w:val="TableContents"/>
              <w:bidi w:val="0"/>
              <w:spacing w:before="0" w:after="1"/>
              <w:ind w:left="0" w:right="0" w:hanging="0"/>
              <w:jc w:val="left"/>
              <w:rPr/>
            </w:pPr>
            <w:r>
              <w:rPr/>
              <w:t>    </w:t>
            </w:r>
          </w:p>
        </w:tc>
        <w:tc>
          <w:tcPr>
            <w:tcW w:w="102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w:t>
            </w:r>
          </w:p>
        </w:tc>
      </w:tr>
      <w:tr>
        <w:trPr/>
        <w:tc>
          <w:tcPr>
            <w:tcW w:w="75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26" w:type="dxa"/>
            <w:tcBorders/>
            <w:vAlign w:val="center"/>
          </w:tcPr>
          <w:p>
            <w:pPr>
              <w:pStyle w:val="TableContents"/>
              <w:bidi w:val="0"/>
              <w:spacing w:before="0" w:after="1"/>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pPr>
            <w:r>
              <w:rPr/>
              <w:t>  </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2,506</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3,786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3,542</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37,667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35,472</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3,111</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refund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2,510</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Prepaids and other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5,752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5,379</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55,189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52,520</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4,712</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35,430</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Tradename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3,263</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right-of-use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26,863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29,516</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5,495</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145,254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149,445</w:t>
            </w:r>
          </w:p>
        </w:tc>
      </w:tr>
      <w:tr>
        <w:trPr/>
        <w:tc>
          <w:tcPr>
            <w:tcW w:w="755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  </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pPr>
            <w:r>
              <w:rPr/>
              <w:t>  </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11,890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8,900</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27,664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18,343</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Returns reserve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11,623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7,854</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Stored-value card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15,143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13,142</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Revolving line of credit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5,662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5,648</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71,982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61,887</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liabilities,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22,460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25,427</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1,179</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96,543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88,493</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  </w:t>
            </w:r>
          </w:p>
        </w:tc>
      </w:tr>
      <w:tr>
        <w:trPr/>
        <w:tc>
          <w:tcPr>
            <w:tcW w:w="755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$0.001 par value, 10,000,000 shares authorized, and no shares issued or outstanding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24"/>
              </w:rPr>
            </w:pPr>
            <w:r>
              <w:rPr>
                <w:rFonts w:ascii="Times New Roman;Times;serif" w:hAnsi="Times New Roman;Times;serif"/>
                <w:sz w:val="16"/>
              </w:rPr>
              <w:t>Common stock: $0.001</w:t>
            </w:r>
            <w:r>
              <w:rPr>
                <w:rFonts w:ascii="Times New Roman;Times;serif" w:hAnsi="Times New Roman;Times;serif"/>
                <w:sz w:val="24"/>
              </w:rPr>
              <w:t xml:space="preserve"> </w:t>
            </w:r>
            <w:r>
              <w:rPr>
                <w:rFonts w:ascii="Times New Roman;Times;serif" w:hAnsi="Times New Roman;Times;serif"/>
                <w:sz w:val="16"/>
              </w:rPr>
              <w:t>par value, 250,000,000</w:t>
            </w:r>
            <w:r>
              <w:rPr>
                <w:rFonts w:ascii="Times New Roman;Times;serif" w:hAnsi="Times New Roman;Times;serif"/>
                <w:sz w:val="24"/>
              </w:rPr>
              <w:t xml:space="preserve"> </w:t>
            </w:r>
            <w:r>
              <w:rPr>
                <w:rFonts w:ascii="Times New Roman;Times;serif" w:hAnsi="Times New Roman;Times;serif"/>
                <w:sz w:val="16"/>
              </w:rPr>
              <w:t>shares authorized; and 41,739,875</w:t>
            </w:r>
            <w:r>
              <w:rPr>
                <w:rFonts w:ascii="Times New Roman;Times;serif" w:hAnsi="Times New Roman;Times;serif"/>
                <w:sz w:val="24"/>
              </w:rPr>
              <w:t xml:space="preserve"> </w:t>
            </w:r>
            <w:r>
              <w:rPr>
                <w:rFonts w:ascii="Times New Roman;Times;serif" w:hAnsi="Times New Roman;Times;serif"/>
                <w:sz w:val="16"/>
              </w:rPr>
              <w:t>and 40,618,206</w:t>
            </w:r>
            <w:r>
              <w:rPr>
                <w:rFonts w:ascii="Times New Roman;Times;serif" w:hAnsi="Times New Roman;Times;serif"/>
                <w:sz w:val="24"/>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4"/>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4"/>
              </w:rPr>
              <w:t xml:space="preserve"> </w:t>
            </w:r>
            <w:r>
              <w:rPr>
                <w:rFonts w:ascii="Times New Roman;Times;serif" w:hAnsi="Times New Roman;Times;serif"/>
                <w:sz w:val="16"/>
              </w:rPr>
              <w:t>as of June 30, 2024 and December 31, 2023,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258,493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254,116</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(209,737)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(193,205)</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 at cost, 47,850 shares and zero shares as of June 30, 2024, and December 31,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48,711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60,952</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145,254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149,445</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4"/>
        </w:rPr>
      </w:pPr>
      <w:bookmarkStart w:id="165" w:name="_db2464d8_10e9_49d0_8b08_fa080a60ae61"/>
      <w:bookmarkEnd w:id="165"/>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bookmarkStart w:id="166" w:name="CondensedConsolidatedStatementsofOperat"/>
      <w:bookmarkEnd w:id="166"/>
      <w:r>
        <w:rPr>
          <w:rFonts w:ascii="Times New Roman;Times;serif" w:hAnsi="Times New Roman;Times;serif"/>
          <w:b/>
          <w:sz w:val="24"/>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and per share amounts)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67" w:name="Tc_IngZa8vxHUKhxLrQ1fSlhQ_19_0"/>
      <w:bookmarkStart w:id="168" w:name="Tc_-lySRo338UStpilTWurFBA_18_0"/>
      <w:bookmarkStart w:id="169" w:name="Tc_621oM2syx0CSy8KqwKVDeA_17_12"/>
      <w:bookmarkStart w:id="170" w:name="Tc_z81kxqAjvEeCEItXGn4JDw_17_9"/>
      <w:bookmarkStart w:id="171" w:name="Tc_Ejk2TERju0yLtOwP__WmHQ_17_5"/>
      <w:bookmarkStart w:id="172" w:name="Tc_MRZeqRjDuUWIUrKcN7Mu6A_17_2"/>
      <w:bookmarkStart w:id="173" w:name="Tc_G9L1Pb87g0m5-fbX4XItfQ_17_0"/>
      <w:bookmarkStart w:id="174" w:name="Tc_rD6TWTSZoEOVyM2p2dGcyg_16_12"/>
      <w:bookmarkStart w:id="175" w:name="Tc_3WqtNqSfPki_Aj-6lrrhBw_16_9"/>
      <w:bookmarkStart w:id="176" w:name="Tc_SQ6a8bTsDkS7-arSXlamtg_16_5"/>
      <w:bookmarkStart w:id="177" w:name="Tc_ydCiN476g0uvaeJz4OY9PA_16_2"/>
      <w:bookmarkStart w:id="178" w:name="Tc_ELKNGTFm_kiAqcXrBAt2Mw_16_0"/>
      <w:bookmarkStart w:id="179" w:name="Tc_BTqBMm9JfEmHZmGNZ1bQew_14_0"/>
      <w:bookmarkStart w:id="180" w:name="Tc_uB1dt0b-h0WQ4jb561gk0Q_13_0"/>
      <w:bookmarkStart w:id="181" w:name="Tc_DUX3oPa4nEiV0BvevamEeQ_12_0"/>
      <w:bookmarkStart w:id="182" w:name="Tc_9Vx3vT9HoUuuETRbBbiQjw_11_0"/>
      <w:bookmarkStart w:id="183" w:name="Tc_LRYirKkHUkWHsJYDdOgOyQ_10_0"/>
      <w:bookmarkStart w:id="184" w:name="Tc_i9OlHke8nE21tEmjzGUO6A_9_0"/>
      <w:bookmarkStart w:id="185" w:name="Tc_LonOI-KPNEqvbvRRBAPYAg_8_0"/>
      <w:bookmarkStart w:id="186" w:name="Tc_cRrIOQT960Gsk3rkAICJ6A_7_0"/>
      <w:bookmarkStart w:id="187" w:name="Tc_icim3DPJwUGckoA8ibYuNg_6_0"/>
      <w:bookmarkStart w:id="188" w:name="Tc_frT_wNsWn0GZAHQrprubpA_5_0"/>
      <w:bookmarkStart w:id="189" w:name="Tc_R_MWDhsXpkSUmYL27Lsg7w_4_12"/>
      <w:bookmarkStart w:id="190" w:name="Tc__LpeH1020068UdAQh1NpGw_4_9"/>
      <w:bookmarkStart w:id="191" w:name="Tc_HNyINnDTE06VtxIDVT4gAA_4_5"/>
      <w:bookmarkStart w:id="192" w:name="Tc_p1M5XnFhYke_HeLGuRZL3g_4_2"/>
      <w:bookmarkStart w:id="193" w:name="Tc_setTSWFrmUeYc5rncQHR0w_4_0"/>
      <w:bookmarkStart w:id="194" w:name="Tc_SpzeH2GPXEyKy9vRwEVrBQ_3_13"/>
      <w:bookmarkStart w:id="195" w:name="Tc_82IwtGxuFUaQ2zluUSpsYA_3_10"/>
      <w:bookmarkStart w:id="196" w:name="Tc_XrzcmCqp-0CpgB_crby37A_3_5"/>
      <w:bookmarkStart w:id="197" w:name="Tc_b1Rxfjza6UipyoSBVFoECg_3_2"/>
      <w:bookmarkStart w:id="198" w:name="Tc_wTOW6QvDmEy2OHPOh1OhMA_2_12"/>
      <w:bookmarkStart w:id="199" w:name="Tc_9hIK0kZGZ0eGYhkEvFhukA_2_9"/>
      <w:bookmarkStart w:id="200" w:name="Tc_ICzRK8FtPk2F8kSvkO1ydQ_2_5"/>
      <w:bookmarkStart w:id="201" w:name="Tc_k_qX30bOZkaPz8bhcfbYYw_2_2"/>
      <w:bookmarkStart w:id="202" w:name="Tc_ZibQB_UXI0GHyP6ib98VrA_1_9"/>
      <w:bookmarkStart w:id="203" w:name="Tc_mxOq3_P2kUmtwVYLQy4Buw_1_2"/>
      <w:bookmarkStart w:id="204" w:name="_e8f6d46b_2ef9_4048_b0c0_1a6772b8081e"/>
      <w:bookmarkStart w:id="205" w:name="Tc_IngZa8vxHUKhxLrQ1fSlhQ_19_0"/>
      <w:bookmarkStart w:id="206" w:name="Tc_-lySRo338UStpilTWurFBA_18_0"/>
      <w:bookmarkStart w:id="207" w:name="Tc_621oM2syx0CSy8KqwKVDeA_17_12"/>
      <w:bookmarkStart w:id="208" w:name="Tc_z81kxqAjvEeCEItXGn4JDw_17_9"/>
      <w:bookmarkStart w:id="209" w:name="Tc_Ejk2TERju0yLtOwP__WmHQ_17_5"/>
      <w:bookmarkStart w:id="210" w:name="Tc_MRZeqRjDuUWIUrKcN7Mu6A_17_2"/>
      <w:bookmarkStart w:id="211" w:name="Tc_G9L1Pb87g0m5-fbX4XItfQ_17_0"/>
      <w:bookmarkStart w:id="212" w:name="Tc_rD6TWTSZoEOVyM2p2dGcyg_16_12"/>
      <w:bookmarkStart w:id="213" w:name="Tc_3WqtNqSfPki_Aj-6lrrhBw_16_9"/>
      <w:bookmarkStart w:id="214" w:name="Tc_SQ6a8bTsDkS7-arSXlamtg_16_5"/>
      <w:bookmarkStart w:id="215" w:name="Tc_ydCiN476g0uvaeJz4OY9PA_16_2"/>
      <w:bookmarkStart w:id="216" w:name="Tc_ELKNGTFm_kiAqcXrBAt2Mw_16_0"/>
      <w:bookmarkStart w:id="217" w:name="Tc_BTqBMm9JfEmHZmGNZ1bQew_14_0"/>
      <w:bookmarkStart w:id="218" w:name="Tc_uB1dt0b-h0WQ4jb561gk0Q_13_0"/>
      <w:bookmarkStart w:id="219" w:name="Tc_DUX3oPa4nEiV0BvevamEeQ_12_0"/>
      <w:bookmarkStart w:id="220" w:name="Tc_9Vx3vT9HoUuuETRbBbiQjw_11_0"/>
      <w:bookmarkStart w:id="221" w:name="Tc_LRYirKkHUkWHsJYDdOgOyQ_10_0"/>
      <w:bookmarkStart w:id="222" w:name="Tc_i9OlHke8nE21tEmjzGUO6A_9_0"/>
      <w:bookmarkStart w:id="223" w:name="Tc_LonOI-KPNEqvbvRRBAPYAg_8_0"/>
      <w:bookmarkStart w:id="224" w:name="Tc_cRrIOQT960Gsk3rkAICJ6A_7_0"/>
      <w:bookmarkStart w:id="225" w:name="Tc_icim3DPJwUGckoA8ibYuNg_6_0"/>
      <w:bookmarkStart w:id="226" w:name="Tc_frT_wNsWn0GZAHQrprubpA_5_0"/>
      <w:bookmarkStart w:id="227" w:name="Tc_R_MWDhsXpkSUmYL27Lsg7w_4_12"/>
      <w:bookmarkStart w:id="228" w:name="Tc__LpeH1020068UdAQh1NpGw_4_9"/>
      <w:bookmarkStart w:id="229" w:name="Tc_HNyINnDTE06VtxIDVT4gAA_4_5"/>
      <w:bookmarkStart w:id="230" w:name="Tc_p1M5XnFhYke_HeLGuRZL3g_4_2"/>
      <w:bookmarkStart w:id="231" w:name="Tc_setTSWFrmUeYc5rncQHR0w_4_0"/>
      <w:bookmarkStart w:id="232" w:name="Tc_SpzeH2GPXEyKy9vRwEVrBQ_3_13"/>
      <w:bookmarkStart w:id="233" w:name="Tc_82IwtGxuFUaQ2zluUSpsYA_3_10"/>
      <w:bookmarkStart w:id="234" w:name="Tc_XrzcmCqp-0CpgB_crby37A_3_5"/>
      <w:bookmarkStart w:id="235" w:name="Tc_b1Rxfjza6UipyoSBVFoECg_3_2"/>
      <w:bookmarkStart w:id="236" w:name="Tc_wTOW6QvDmEy2OHPOh1OhMA_2_12"/>
      <w:bookmarkStart w:id="237" w:name="Tc_9hIK0kZGZ0eGYhkEvFhukA_2_9"/>
      <w:bookmarkStart w:id="238" w:name="Tc_ICzRK8FtPk2F8kSvkO1ydQ_2_5"/>
      <w:bookmarkStart w:id="239" w:name="Tc_k_qX30bOZkaPz8bhcfbYYw_2_2"/>
      <w:bookmarkStart w:id="240" w:name="Tc_ZibQB_UXI0GHyP6ib98VrA_1_9"/>
      <w:bookmarkStart w:id="241" w:name="Tc_mxOq3_P2kUmtwVYLQy4Buw_1_2"/>
      <w:bookmarkStart w:id="242" w:name="_e8f6d46b_2ef9_4048_b0c0_1a6772b8081e"/>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tbl>
      <w:tblPr>
        <w:tblW w:w="10179" w:type="dxa"/>
        <w:jc w:val="left"/>
        <w:tblInd w:w="0" w:type="dxa"/>
        <w:tblLayout w:type="fixed"/>
        <w:tblCellMar>
          <w:top w:w="0" w:type="dxa"/>
          <w:left w:w="0" w:type="dxa"/>
          <w:bottom w:w="0" w:type="dxa"/>
          <w:right w:w="0" w:type="dxa"/>
        </w:tblCellMar>
      </w:tblPr>
      <w:tblGrid>
        <w:gridCol w:w="3841"/>
        <w:gridCol w:w="326"/>
        <w:gridCol w:w="211"/>
        <w:gridCol w:w="1036"/>
        <w:gridCol w:w="326"/>
        <w:gridCol w:w="211"/>
        <w:gridCol w:w="1036"/>
        <w:gridCol w:w="109"/>
        <w:gridCol w:w="109"/>
        <w:gridCol w:w="211"/>
        <w:gridCol w:w="1036"/>
        <w:gridCol w:w="326"/>
        <w:gridCol w:w="211"/>
        <w:gridCol w:w="1036"/>
        <w:gridCol w:w="154"/>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439035" cy="175260"/>
                      <wp:effectExtent l="0" t="0" r="0" b="0"/>
                      <wp:wrapNone/>
                      <wp:docPr id="11" name="Frame10"/>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4" name="Frame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4" name="Frame2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7790" cy="175260"/>
                      <wp:effectExtent l="0" t="0" r="0" b="0"/>
                      <wp:wrapNone/>
                      <wp:docPr id="25" name="Frame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54" w:type="dxa"/>
            <w:tcBorders/>
            <w:vAlign w:val="center"/>
          </w:tcPr>
          <w:p>
            <w:pPr>
              <w:pStyle w:val="TableContents"/>
              <w:bidi w:val="0"/>
              <w:spacing w:before="0" w:after="0"/>
              <w:ind w:left="0" w:right="0" w:hanging="0"/>
              <w:jc w:val="center"/>
              <w:rPr/>
            </w:pPr>
            <w:r>
              <w:rPr/>
              <w:t>​</w: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91,966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106,122</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197,098</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58,726</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94,696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111,741</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47,396</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85,357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24,670</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42,607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44,159</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24,396</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48,744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(7,546)</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and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pPr>
            <w:r>
              <w:rPr/>
              <w:t> </w:t>
            </w:r>
            <w:r>
              <w:rPr>
                <w:rFonts w:ascii="Times New Roman;Times;serif" w:hAnsi="Times New Roman;Times;serif"/>
                <w:sz w:val="20"/>
              </w:rPr>
              <w:t>Basic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pPr>
            <w:r>
              <w:rPr/>
              <w:t> </w:t>
            </w:r>
            <w:r>
              <w:rPr>
                <w:rFonts w:ascii="Times New Roman;Times;serif" w:hAnsi="Times New Roman;Times;serif"/>
                <w:sz w:val="20"/>
              </w:rPr>
              <w:t>Diluted 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pPr>
            <w:r>
              <w:rPr/>
              <w:t> </w:t>
            </w:r>
            <w:r>
              <w:rPr>
                <w:rFonts w:ascii="Times New Roman;Times;serif" w:hAnsi="Times New Roman;Times;serif"/>
                <w:sz w:val="20"/>
              </w:rPr>
              <w:t>Basic 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41,356,780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39,680,908</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41,188,150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39,457,607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pPr>
            <w:r>
              <w:rPr/>
              <w:t> </w:t>
            </w:r>
            <w:r>
              <w:rPr>
                <w:rFonts w:ascii="Times New Roman;Times;serif" w:hAnsi="Times New Roman;Times;serif"/>
                <w:sz w:val="20"/>
              </w:rPr>
              <w:t>Diluted weighted-average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41,356,780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39,680,908</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41,188,150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39,457,607</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4"/>
        </w:rPr>
      </w:pPr>
      <w:bookmarkStart w:id="243" w:name="_417fb730_9c5b_4135_a46c_0ce9648c3338"/>
      <w:bookmarkEnd w:id="243"/>
      <w:r>
        <w:rPr>
          <w:rFonts w:ascii="Times New Roman;Times;serif" w:hAnsi="Times New Roman;Times;serif"/>
          <w:b/>
          <w:sz w:val="24"/>
        </w:rPr>
        <w:t xml:space="preserve">LULU’S FASHION LOUNGE HOLDINGS, INC. </w:t>
      </w:r>
    </w:p>
    <w:p>
      <w:pPr>
        <w:pStyle w:val="TextBody"/>
        <w:bidi w:val="0"/>
        <w:spacing w:before="0" w:after="0"/>
        <w:ind w:left="0" w:right="0" w:hanging="0"/>
        <w:jc w:val="center"/>
        <w:rPr>
          <w:rFonts w:ascii="Times New Roman;Times;serif" w:hAnsi="Times New Roman;Times;serif"/>
          <w:b/>
          <w:sz w:val="24"/>
        </w:rPr>
      </w:pPr>
      <w:bookmarkStart w:id="244" w:name="StockholdersEquity_449154"/>
      <w:bookmarkEnd w:id="244"/>
      <w:r>
        <w:rPr>
          <w:rFonts w:ascii="Times New Roman;Times;serif" w:hAnsi="Times New Roman;Times;serif"/>
          <w:b/>
          <w:sz w:val="24"/>
        </w:rPr>
        <w:t>Condensed Consolidated Statements of Stockholders’ Equity</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 except share amounts)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45" w:name="Tc_a-zeZRP9AUeJ5b5aZF_J0g_20_18"/>
      <w:bookmarkStart w:id="246" w:name="Tc_p6NiY3jx0kK_Ja7d4tjdVw_20_15"/>
      <w:bookmarkStart w:id="247" w:name="Tc_bd0oD4oVdE6RCL1YlZGRBg_20_10"/>
      <w:bookmarkStart w:id="248" w:name="Tc_jzbTIBzGAk6gM0narf_0vw_20_7"/>
      <w:bookmarkStart w:id="249" w:name="Tc_SuHrW40zTEGSLhhsyth3uw_20_4"/>
      <w:bookmarkStart w:id="250" w:name="Tc_g9JusjeyHEOp1YJvz30Nhg_20_0"/>
      <w:bookmarkStart w:id="251" w:name="Tc_yiOAB-vsJUGbGOmpKKtDhQ_19_16"/>
      <w:bookmarkStart w:id="252" w:name="Tc_bdy4Sxyxqk2OnR5IKf3s4A_19_13"/>
      <w:bookmarkStart w:id="253" w:name="Tc_EQp_dwUmVEWbp61GrDh-7g_19_8"/>
      <w:bookmarkStart w:id="254" w:name="Tc_LA_8eNYfWUyvOtH4gmtpww_19_5"/>
      <w:bookmarkStart w:id="255" w:name="Tc_dMHiRhp_H0yHM8j5HWJ-5w_19_2"/>
      <w:bookmarkStart w:id="256" w:name="Tc_RmcSeCmJTUC23icWQn4S0w_19_0"/>
      <w:bookmarkStart w:id="257" w:name="Tc_NYWq8sqPXUuARYRECgNm6Q_18_11"/>
      <w:bookmarkStart w:id="258" w:name="Tc_snlaCFHd4EutPOle35TEAQ_18_8"/>
      <w:bookmarkStart w:id="259" w:name="Tc_9f7MCFSBPkK4YYoWc5i5zw_18_5"/>
      <w:bookmarkStart w:id="260" w:name="Tc_lCKmbct_dk6CW2BA-TmGcg_18_2"/>
      <w:bookmarkStart w:id="261" w:name="Tc_SNgaYXpcCE2aVTX7NbzDyg_18_0"/>
      <w:bookmarkStart w:id="262" w:name="Tc_iOh8hHvpNUuDFG6ShV64UQ_17_16"/>
      <w:bookmarkStart w:id="263" w:name="Tc_OtdVThzDYkmMmlf5-p8oTQ_17_13"/>
      <w:bookmarkStart w:id="264" w:name="Tc_QCdb0npbkUq-9Lf7efEN3w_17_11"/>
      <w:bookmarkStart w:id="265" w:name="Tc_kADdU_o0B0ucUv5Uh-zP_w_17_5"/>
      <w:bookmarkStart w:id="266" w:name="Tc_qX-x0xIw0kejBHfEATgCYQ_17_2"/>
      <w:bookmarkStart w:id="267" w:name="Tc_aqKCeEpPDEmYUPFmwwJLzQ_17_0"/>
      <w:bookmarkStart w:id="268" w:name="Tc_hmYQpLwd-UGYF1HGcHq0wg_16_0"/>
      <w:bookmarkStart w:id="269" w:name="Tc_thorEbecakO4ADnE54fAXA_15_16"/>
      <w:bookmarkStart w:id="270" w:name="Tc_vTDd30YMBkeEPOreU41vaw_15_13"/>
      <w:bookmarkStart w:id="271" w:name="Tc_SOebhA9OzEusQTTc3vo9aQ_15_11"/>
      <w:bookmarkStart w:id="272" w:name="Tc_fgwLxZHkTEmeIPMqbFykQw_15_5"/>
      <w:bookmarkStart w:id="273" w:name="Tc_LVm2-TU-VkWWV-Cs_xNmBQ_15_0"/>
      <w:bookmarkStart w:id="274" w:name="Tc_654Srb3tY0CIAaQpgtPwCA_14_0"/>
      <w:bookmarkStart w:id="275" w:name="Tc_c_KBTi7k1kiHweTxRwor4A_13_16"/>
      <w:bookmarkStart w:id="276" w:name="Tc_Uf699VoZgEaKMWFyxS-lAA_13_13"/>
      <w:bookmarkStart w:id="277" w:name="Tc_9RMPAVqiikCYqRzbMcdyjA_13_11"/>
      <w:bookmarkStart w:id="278" w:name="Tc_24gqM0yPlE6xR_bTkcR8FQ_13_8"/>
      <w:bookmarkStart w:id="279" w:name="Tc_br-FR_oJNUmekfX78aqKtQ_13_0"/>
      <w:bookmarkStart w:id="280" w:name="Tc_U0DXvRV38UK7WD5yCIbo8w_12_18"/>
      <w:bookmarkStart w:id="281" w:name="Tc_wyM-VHlb8kmm_8f5gknZJQ_12_16"/>
      <w:bookmarkStart w:id="282" w:name="Tc_qbvpf9TOq0m0JgPibcK8Vg_12_15"/>
      <w:bookmarkStart w:id="283" w:name="Tc_ljNSVNLrsUuqlMwZcXCfMw_12_13"/>
      <w:bookmarkStart w:id="284" w:name="Tc_CmqTD4FdAE-CwWYO5d2xGw_12_10"/>
      <w:bookmarkStart w:id="285" w:name="Tc_C-WOw4y5z0WRUIw1vFncRg_12_7"/>
      <w:bookmarkStart w:id="286" w:name="Tc_H1tdmMTVe0WTilnjbRwIWQ_12_4"/>
      <w:bookmarkStart w:id="287" w:name="Tc_-8lF8ZoOpk6oemZfiLPl_g_12_0"/>
      <w:bookmarkStart w:id="288" w:name="Tc_zLq53WpkpEySgCAxzkpjhA_11_16"/>
      <w:bookmarkStart w:id="289" w:name="Tc__fcuJytll0mw8C6WPO7ZWg_11_13"/>
      <w:bookmarkStart w:id="290" w:name="Tc_jHF2_OxFsU6pe2Grlq2c0g_11_8"/>
      <w:bookmarkStart w:id="291" w:name="Tc_fmAA3BdT30mAEU-_DJUPOg_11_5"/>
      <w:bookmarkStart w:id="292" w:name="Tc_BmmiXpd25U6m1uTXf-ehJA_11_2"/>
      <w:bookmarkStart w:id="293" w:name="Tc_Hc6wg77jo0mDUBmQErOq_A_11_0"/>
      <w:bookmarkStart w:id="294" w:name="Tc_Apmm8vPzvkOMy-xCgLm28A_10_16"/>
      <w:bookmarkStart w:id="295" w:name="Tc_Ru5qzVfZ30abMrxSNNDumQ_10_13"/>
      <w:bookmarkStart w:id="296" w:name="Tc_BviOBut990ypePU-oV2Bxg_10_11"/>
      <w:bookmarkStart w:id="297" w:name="Tc_h3mvQIVUA0C5DUhJgldZrA_10_5"/>
      <w:bookmarkStart w:id="298" w:name="Tc_jYJ0XoGoT0m_OnPS4QTxCw_10_2"/>
      <w:bookmarkStart w:id="299" w:name="Tc_Jm7NzDW0t0eycQOqSzZSow_10_0"/>
      <w:bookmarkStart w:id="300" w:name="Tc_0r7JWzZlJ0qkEbS4-cDy0w_9_19"/>
      <w:bookmarkStart w:id="301" w:name="Tc_2adsSdG0t0q-qNf0pFiunQ_9_16"/>
      <w:bookmarkStart w:id="302" w:name="Tc_AC1x-L0YJ0mzrFzGHNVNPg_9_13"/>
      <w:bookmarkStart w:id="303" w:name="Tc_KgrPdo98u0OgU4sYQmEaHw_9_11"/>
      <w:bookmarkStart w:id="304" w:name="Tc_HeQFFxxb_0KIwdpwdIq3tA_9_8"/>
      <w:bookmarkStart w:id="305" w:name="Tc_e1dZyxDOpkKOnr4dhzsdhw_9_5"/>
      <w:bookmarkStart w:id="306" w:name="Tc_p45uyVsxykqHUvwFB7ctZg_9_0"/>
      <w:bookmarkStart w:id="307" w:name="Tc_jen23MvH30acuqb6rHeMcw_8_16"/>
      <w:bookmarkStart w:id="308" w:name="Tc_4TX9M1tl5062SA_2H7cVPw_8_13"/>
      <w:bookmarkStart w:id="309" w:name="Tc_UH06V_oB2UeDukf-wKI-hQ_8_11"/>
      <w:bookmarkStart w:id="310" w:name="Tc_RkZ2BoLZkEqp1QnTXhmK-Q_8_5"/>
      <w:bookmarkStart w:id="311" w:name="Tc_kv7qCMufFkupFAMphd_csw_8_0"/>
      <w:bookmarkStart w:id="312" w:name="Tc_3GIZc5RfzkeN9umF-eyY9Q_7_16"/>
      <w:bookmarkStart w:id="313" w:name="Tc_ikyMD0KknkeXRHAh_uym7w_7_13"/>
      <w:bookmarkStart w:id="314" w:name="Tc_euomir86QEGqyEOyT39hWQ_7_11"/>
      <w:bookmarkStart w:id="315" w:name="Tc_CakBCjy2PEmBRRIl_TUUGQ_7_5"/>
      <w:bookmarkStart w:id="316" w:name="Tc_zOUnp7dnYEGHZs1K6OwnVg_7_0"/>
      <w:bookmarkStart w:id="317" w:name="Tc_t8IYZ8muNESvYu4mvKL25g_6_19"/>
      <w:bookmarkStart w:id="318" w:name="Tc_fTNZXzcVGk2LCQkkmDWRkw_6_16"/>
      <w:bookmarkStart w:id="319" w:name="Tc_Z1t5NbcSL0GsJczGgo4PeA_6_13"/>
      <w:bookmarkStart w:id="320" w:name="Tc_5w-A8QF7aE2Y8Q4Eh6Yb5Q_6_11"/>
      <w:bookmarkStart w:id="321" w:name="Tc_SOiUvvhHRkCJDybtK7ewug_6_8"/>
      <w:bookmarkStart w:id="322" w:name="Tc_9D5B74yV_UqYWjwEjVknLg_6_5"/>
      <w:bookmarkStart w:id="323" w:name="Tc_Tgidh6WKFUq31P0pcEIdDA_6_0"/>
      <w:bookmarkStart w:id="324" w:name="Tc_Usu7cCBCbUGs4I9YG9_RNw_5_18"/>
      <w:bookmarkStart w:id="325" w:name="Tc_g9Oeto1NRUiYLOCFa2D0VQ_5_16"/>
      <w:bookmarkStart w:id="326" w:name="Tc_9A3L1pFWekm8x5aJGxIKmw_5_15"/>
      <w:bookmarkStart w:id="327" w:name="Tc_oRBhvCiaiEObMjbf_NI5WA_5_13"/>
      <w:bookmarkStart w:id="328" w:name="Tc_37rZ04o4-0-gPMABWc6U3g_5_10"/>
      <w:bookmarkStart w:id="329" w:name="Tc_helMKBsqFU2mIU0CwIlh7g_5_7"/>
      <w:bookmarkStart w:id="330" w:name="Tc_S5FFlvSitkqyETuPbqrLbA_5_4"/>
      <w:bookmarkStart w:id="331" w:name="Tc_T9hVOaw82UaDlwESXyFeRw_5_0"/>
      <w:bookmarkStart w:id="332" w:name="Tc_BO4-BA-w2Eecz73r2bQ37Q_4_18"/>
      <w:bookmarkStart w:id="333" w:name="Tc__q9D0-KfpUKmpT1nM8lAYg_4_15"/>
      <w:bookmarkStart w:id="334" w:name="Tc_Yo6NAAWin0OEEs9pI9QmVg_4_13"/>
      <w:bookmarkStart w:id="335" w:name="Tc__aFp26E8MkClYFvrSGG-4g_4_10"/>
      <w:bookmarkStart w:id="336" w:name="Tc_vt5OBKe2u0uYAslJ_9RbxA_4_7"/>
      <w:bookmarkStart w:id="337" w:name="Tc_UZErrGNLHUuBsf8aK2aNEw_4_4"/>
      <w:bookmarkStart w:id="338" w:name="Tc_bTzc8PROUEOhYkFmJsjASw_4_2"/>
      <w:bookmarkStart w:id="339" w:name="Tc_RChD_YbBc0-Dxek968523g_3_18"/>
      <w:bookmarkStart w:id="340" w:name="Tc_D1w86QTSIEuTdxmFwJBxdQ_3_13"/>
      <w:bookmarkStart w:id="341" w:name="Tc_d1E0OGlQaU2BsO6iU2nTAw_3_10"/>
      <w:bookmarkStart w:id="342" w:name="Tc_XQhzSpIckE6oxv3iInjkMA_3_7"/>
      <w:bookmarkStart w:id="343" w:name="Tc_bMESfjWRnU-AJ80K00W4OA_3_2"/>
      <w:bookmarkStart w:id="344" w:name="Tc_H1Fc1ObcQUmFpufOhazYaA_2_18"/>
      <w:bookmarkStart w:id="345" w:name="Tc_nY3me18pI0qiJMLc5VNSiA_2_7"/>
      <w:bookmarkStart w:id="346" w:name="Tc_0L6qrRqx8EGUBWq1LeaCyg_1_2"/>
      <w:bookmarkStart w:id="347" w:name="_0546eec8_2122_4aba_8648_dcb761a56f8f"/>
      <w:bookmarkStart w:id="348" w:name="Tc_a-zeZRP9AUeJ5b5aZF_J0g_20_18"/>
      <w:bookmarkStart w:id="349" w:name="Tc_p6NiY3jx0kK_Ja7d4tjdVw_20_15"/>
      <w:bookmarkStart w:id="350" w:name="Tc_bd0oD4oVdE6RCL1YlZGRBg_20_10"/>
      <w:bookmarkStart w:id="351" w:name="Tc_jzbTIBzGAk6gM0narf_0vw_20_7"/>
      <w:bookmarkStart w:id="352" w:name="Tc_SuHrW40zTEGSLhhsyth3uw_20_4"/>
      <w:bookmarkStart w:id="353" w:name="Tc_g9JusjeyHEOp1YJvz30Nhg_20_0"/>
      <w:bookmarkStart w:id="354" w:name="Tc_yiOAB-vsJUGbGOmpKKtDhQ_19_16"/>
      <w:bookmarkStart w:id="355" w:name="Tc_bdy4Sxyxqk2OnR5IKf3s4A_19_13"/>
      <w:bookmarkStart w:id="356" w:name="Tc_EQp_dwUmVEWbp61GrDh-7g_19_8"/>
      <w:bookmarkStart w:id="357" w:name="Tc_LA_8eNYfWUyvOtH4gmtpww_19_5"/>
      <w:bookmarkStart w:id="358" w:name="Tc_dMHiRhp_H0yHM8j5HWJ-5w_19_2"/>
      <w:bookmarkStart w:id="359" w:name="Tc_RmcSeCmJTUC23icWQn4S0w_19_0"/>
      <w:bookmarkStart w:id="360" w:name="Tc_NYWq8sqPXUuARYRECgNm6Q_18_11"/>
      <w:bookmarkStart w:id="361" w:name="Tc_snlaCFHd4EutPOle35TEAQ_18_8"/>
      <w:bookmarkStart w:id="362" w:name="Tc_9f7MCFSBPkK4YYoWc5i5zw_18_5"/>
      <w:bookmarkStart w:id="363" w:name="Tc_lCKmbct_dk6CW2BA-TmGcg_18_2"/>
      <w:bookmarkStart w:id="364" w:name="Tc_SNgaYXpcCE2aVTX7NbzDyg_18_0"/>
      <w:bookmarkStart w:id="365" w:name="Tc_iOh8hHvpNUuDFG6ShV64UQ_17_16"/>
      <w:bookmarkStart w:id="366" w:name="Tc_OtdVThzDYkmMmlf5-p8oTQ_17_13"/>
      <w:bookmarkStart w:id="367" w:name="Tc_QCdb0npbkUq-9Lf7efEN3w_17_11"/>
      <w:bookmarkStart w:id="368" w:name="Tc_kADdU_o0B0ucUv5Uh-zP_w_17_5"/>
      <w:bookmarkStart w:id="369" w:name="Tc_qX-x0xIw0kejBHfEATgCYQ_17_2"/>
      <w:bookmarkStart w:id="370" w:name="Tc_aqKCeEpPDEmYUPFmwwJLzQ_17_0"/>
      <w:bookmarkStart w:id="371" w:name="Tc_hmYQpLwd-UGYF1HGcHq0wg_16_0"/>
      <w:bookmarkStart w:id="372" w:name="Tc_thorEbecakO4ADnE54fAXA_15_16"/>
      <w:bookmarkStart w:id="373" w:name="Tc_vTDd30YMBkeEPOreU41vaw_15_13"/>
      <w:bookmarkStart w:id="374" w:name="Tc_SOebhA9OzEusQTTc3vo9aQ_15_11"/>
      <w:bookmarkStart w:id="375" w:name="Tc_fgwLxZHkTEmeIPMqbFykQw_15_5"/>
      <w:bookmarkStart w:id="376" w:name="Tc_LVm2-TU-VkWWV-Cs_xNmBQ_15_0"/>
      <w:bookmarkStart w:id="377" w:name="Tc_654Srb3tY0CIAaQpgtPwCA_14_0"/>
      <w:bookmarkStart w:id="378" w:name="Tc_c_KBTi7k1kiHweTxRwor4A_13_16"/>
      <w:bookmarkStart w:id="379" w:name="Tc_Uf699VoZgEaKMWFyxS-lAA_13_13"/>
      <w:bookmarkStart w:id="380" w:name="Tc_9RMPAVqiikCYqRzbMcdyjA_13_11"/>
      <w:bookmarkStart w:id="381" w:name="Tc_24gqM0yPlE6xR_bTkcR8FQ_13_8"/>
      <w:bookmarkStart w:id="382" w:name="Tc_br-FR_oJNUmekfX78aqKtQ_13_0"/>
      <w:bookmarkStart w:id="383" w:name="Tc_U0DXvRV38UK7WD5yCIbo8w_12_18"/>
      <w:bookmarkStart w:id="384" w:name="Tc_wyM-VHlb8kmm_8f5gknZJQ_12_16"/>
      <w:bookmarkStart w:id="385" w:name="Tc_qbvpf9TOq0m0JgPibcK8Vg_12_15"/>
      <w:bookmarkStart w:id="386" w:name="Tc_ljNSVNLrsUuqlMwZcXCfMw_12_13"/>
      <w:bookmarkStart w:id="387" w:name="Tc_CmqTD4FdAE-CwWYO5d2xGw_12_10"/>
      <w:bookmarkStart w:id="388" w:name="Tc_C-WOw4y5z0WRUIw1vFncRg_12_7"/>
      <w:bookmarkStart w:id="389" w:name="Tc_H1tdmMTVe0WTilnjbRwIWQ_12_4"/>
      <w:bookmarkStart w:id="390" w:name="Tc_-8lF8ZoOpk6oemZfiLPl_g_12_0"/>
      <w:bookmarkStart w:id="391" w:name="Tc_zLq53WpkpEySgCAxzkpjhA_11_16"/>
      <w:bookmarkStart w:id="392" w:name="Tc__fcuJytll0mw8C6WPO7ZWg_11_13"/>
      <w:bookmarkStart w:id="393" w:name="Tc_jHF2_OxFsU6pe2Grlq2c0g_11_8"/>
      <w:bookmarkStart w:id="394" w:name="Tc_fmAA3BdT30mAEU-_DJUPOg_11_5"/>
      <w:bookmarkStart w:id="395" w:name="Tc_BmmiXpd25U6m1uTXf-ehJA_11_2"/>
      <w:bookmarkStart w:id="396" w:name="Tc_Hc6wg77jo0mDUBmQErOq_A_11_0"/>
      <w:bookmarkStart w:id="397" w:name="Tc_Apmm8vPzvkOMy-xCgLm28A_10_16"/>
      <w:bookmarkStart w:id="398" w:name="Tc_Ru5qzVfZ30abMrxSNNDumQ_10_13"/>
      <w:bookmarkStart w:id="399" w:name="Tc_BviOBut990ypePU-oV2Bxg_10_11"/>
      <w:bookmarkStart w:id="400" w:name="Tc_h3mvQIVUA0C5DUhJgldZrA_10_5"/>
      <w:bookmarkStart w:id="401" w:name="Tc_jYJ0XoGoT0m_OnPS4QTxCw_10_2"/>
      <w:bookmarkStart w:id="402" w:name="Tc_Jm7NzDW0t0eycQOqSzZSow_10_0"/>
      <w:bookmarkStart w:id="403" w:name="Tc_0r7JWzZlJ0qkEbS4-cDy0w_9_19"/>
      <w:bookmarkStart w:id="404" w:name="Tc_2adsSdG0t0q-qNf0pFiunQ_9_16"/>
      <w:bookmarkStart w:id="405" w:name="Tc_AC1x-L0YJ0mzrFzGHNVNPg_9_13"/>
      <w:bookmarkStart w:id="406" w:name="Tc_KgrPdo98u0OgU4sYQmEaHw_9_11"/>
      <w:bookmarkStart w:id="407" w:name="Tc_HeQFFxxb_0KIwdpwdIq3tA_9_8"/>
      <w:bookmarkStart w:id="408" w:name="Tc_e1dZyxDOpkKOnr4dhzsdhw_9_5"/>
      <w:bookmarkStart w:id="409" w:name="Tc_p45uyVsxykqHUvwFB7ctZg_9_0"/>
      <w:bookmarkStart w:id="410" w:name="Tc_jen23MvH30acuqb6rHeMcw_8_16"/>
      <w:bookmarkStart w:id="411" w:name="Tc_4TX9M1tl5062SA_2H7cVPw_8_13"/>
      <w:bookmarkStart w:id="412" w:name="Tc_UH06V_oB2UeDukf-wKI-hQ_8_11"/>
      <w:bookmarkStart w:id="413" w:name="Tc_RkZ2BoLZkEqp1QnTXhmK-Q_8_5"/>
      <w:bookmarkStart w:id="414" w:name="Tc_kv7qCMufFkupFAMphd_csw_8_0"/>
      <w:bookmarkStart w:id="415" w:name="Tc_3GIZc5RfzkeN9umF-eyY9Q_7_16"/>
      <w:bookmarkStart w:id="416" w:name="Tc_ikyMD0KknkeXRHAh_uym7w_7_13"/>
      <w:bookmarkStart w:id="417" w:name="Tc_euomir86QEGqyEOyT39hWQ_7_11"/>
      <w:bookmarkStart w:id="418" w:name="Tc_CakBCjy2PEmBRRIl_TUUGQ_7_5"/>
      <w:bookmarkStart w:id="419" w:name="Tc_zOUnp7dnYEGHZs1K6OwnVg_7_0"/>
      <w:bookmarkStart w:id="420" w:name="Tc_t8IYZ8muNESvYu4mvKL25g_6_19"/>
      <w:bookmarkStart w:id="421" w:name="Tc_fTNZXzcVGk2LCQkkmDWRkw_6_16"/>
      <w:bookmarkStart w:id="422" w:name="Tc_Z1t5NbcSL0GsJczGgo4PeA_6_13"/>
      <w:bookmarkStart w:id="423" w:name="Tc_5w-A8QF7aE2Y8Q4Eh6Yb5Q_6_11"/>
      <w:bookmarkStart w:id="424" w:name="Tc_SOiUvvhHRkCJDybtK7ewug_6_8"/>
      <w:bookmarkStart w:id="425" w:name="Tc_9D5B74yV_UqYWjwEjVknLg_6_5"/>
      <w:bookmarkStart w:id="426" w:name="Tc_Tgidh6WKFUq31P0pcEIdDA_6_0"/>
      <w:bookmarkStart w:id="427" w:name="Tc_Usu7cCBCbUGs4I9YG9_RNw_5_18"/>
      <w:bookmarkStart w:id="428" w:name="Tc_g9Oeto1NRUiYLOCFa2D0VQ_5_16"/>
      <w:bookmarkStart w:id="429" w:name="Tc_9A3L1pFWekm8x5aJGxIKmw_5_15"/>
      <w:bookmarkStart w:id="430" w:name="Tc_oRBhvCiaiEObMjbf_NI5WA_5_13"/>
      <w:bookmarkStart w:id="431" w:name="Tc_37rZ04o4-0-gPMABWc6U3g_5_10"/>
      <w:bookmarkStart w:id="432" w:name="Tc_helMKBsqFU2mIU0CwIlh7g_5_7"/>
      <w:bookmarkStart w:id="433" w:name="Tc_S5FFlvSitkqyETuPbqrLbA_5_4"/>
      <w:bookmarkStart w:id="434" w:name="Tc_T9hVOaw82UaDlwESXyFeRw_5_0"/>
      <w:bookmarkStart w:id="435" w:name="Tc_BO4-BA-w2Eecz73r2bQ37Q_4_18"/>
      <w:bookmarkStart w:id="436" w:name="Tc__q9D0-KfpUKmpT1nM8lAYg_4_15"/>
      <w:bookmarkStart w:id="437" w:name="Tc_Yo6NAAWin0OEEs9pI9QmVg_4_13"/>
      <w:bookmarkStart w:id="438" w:name="Tc__aFp26E8MkClYFvrSGG-4g_4_10"/>
      <w:bookmarkStart w:id="439" w:name="Tc_vt5OBKe2u0uYAslJ_9RbxA_4_7"/>
      <w:bookmarkStart w:id="440" w:name="Tc_UZErrGNLHUuBsf8aK2aNEw_4_4"/>
      <w:bookmarkStart w:id="441" w:name="Tc_bTzc8PROUEOhYkFmJsjASw_4_2"/>
      <w:bookmarkStart w:id="442" w:name="Tc_RChD_YbBc0-Dxek968523g_3_18"/>
      <w:bookmarkStart w:id="443" w:name="Tc_D1w86QTSIEuTdxmFwJBxdQ_3_13"/>
      <w:bookmarkStart w:id="444" w:name="Tc_d1E0OGlQaU2BsO6iU2nTAw_3_10"/>
      <w:bookmarkStart w:id="445" w:name="Tc_XQhzSpIckE6oxv3iInjkMA_3_7"/>
      <w:bookmarkStart w:id="446" w:name="Tc_bMESfjWRnU-AJ80K00W4OA_3_2"/>
      <w:bookmarkStart w:id="447" w:name="Tc_H1Fc1ObcQUmFpufOhazYaA_2_18"/>
      <w:bookmarkStart w:id="448" w:name="Tc_nY3me18pI0qiJMLc5VNSiA_2_7"/>
      <w:bookmarkStart w:id="449" w:name="Tc_0L6qrRqx8EGUBWq1LeaCyg_1_2"/>
      <w:bookmarkStart w:id="450" w:name="_0546eec8_2122_4aba_8648_dcb761a56f8f"/>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tbl>
      <w:tblPr>
        <w:tblW w:w="10205" w:type="dxa"/>
        <w:jc w:val="left"/>
        <w:tblInd w:w="0" w:type="dxa"/>
        <w:tblLayout w:type="fixed"/>
        <w:tblCellMar>
          <w:top w:w="0" w:type="dxa"/>
          <w:left w:w="0" w:type="dxa"/>
          <w:bottom w:w="0" w:type="dxa"/>
          <w:right w:w="0" w:type="dxa"/>
        </w:tblCellMar>
      </w:tblPr>
      <w:tblGrid>
        <w:gridCol w:w="2952"/>
        <w:gridCol w:w="206"/>
        <w:gridCol w:w="766"/>
        <w:gridCol w:w="326"/>
        <w:gridCol w:w="196"/>
        <w:gridCol w:w="375"/>
        <w:gridCol w:w="326"/>
        <w:gridCol w:w="181"/>
        <w:gridCol w:w="586"/>
        <w:gridCol w:w="326"/>
        <w:gridCol w:w="194"/>
        <w:gridCol w:w="677"/>
        <w:gridCol w:w="326"/>
        <w:gridCol w:w="577"/>
        <w:gridCol w:w="326"/>
        <w:gridCol w:w="196"/>
        <w:gridCol w:w="375"/>
        <w:gridCol w:w="326"/>
        <w:gridCol w:w="223"/>
        <w:gridCol w:w="745"/>
      </w:tblGrid>
      <w:tr>
        <w:trPr/>
        <w:tc>
          <w:tcPr>
            <w:tcW w:w="2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874520" cy="175260"/>
                      <wp:effectExtent l="0" t="0" r="0" b="0"/>
                      <wp:wrapNone/>
                      <wp:docPr id="26" name="Frame25"/>
                      <a:graphic xmlns:a="http://schemas.openxmlformats.org/drawingml/2006/main">
                        <a:graphicData uri="http://schemas.microsoft.com/office/word/2010/wordprocessingShape">
                          <wps:wsp>
                            <wps:cNvSpPr txBox="1"/>
                            <wps:spPr>
                              <a:xfrm>
                                <a:off x="0" y="0"/>
                                <a:ext cx="187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0810" cy="175260"/>
                      <wp:effectExtent l="0" t="0" r="0" b="0"/>
                      <wp:wrapNone/>
                      <wp:docPr id="27" name="Frame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86410" cy="175260"/>
                      <wp:effectExtent l="0" t="0" r="0" b="0"/>
                      <wp:wrapNone/>
                      <wp:docPr id="28" name="Frame2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8125" cy="175260"/>
                      <wp:effectExtent l="0" t="0" r="0" b="0"/>
                      <wp:wrapNone/>
                      <wp:docPr id="31" name="Frame3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14935" cy="175260"/>
                      <wp:effectExtent l="0" t="0" r="0" b="0"/>
                      <wp:wrapNone/>
                      <wp:docPr id="33" name="Frame3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72110" cy="175260"/>
                      <wp:effectExtent l="0" t="0" r="0" b="0"/>
                      <wp:wrapNone/>
                      <wp:docPr id="34" name="Frame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3190" cy="175260"/>
                      <wp:effectExtent l="0" t="0" r="0" b="0"/>
                      <wp:wrapNone/>
                      <wp:docPr id="36" name="Frame35"/>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29895" cy="175260"/>
                      <wp:effectExtent l="0" t="0" r="0" b="0"/>
                      <wp:wrapNone/>
                      <wp:docPr id="37" name="Frame36"/>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66395" cy="175260"/>
                      <wp:effectExtent l="0" t="0" r="0" b="0"/>
                      <wp:wrapNone/>
                      <wp:docPr id="39" name="Frame38"/>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1"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38125" cy="175260"/>
                      <wp:effectExtent l="0" t="0" r="0" b="0"/>
                      <wp:wrapNone/>
                      <wp:docPr id="42" name="Frame4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1605" cy="175260"/>
                      <wp:effectExtent l="0" t="0" r="0" b="0"/>
                      <wp:wrapNone/>
                      <wp:docPr id="44" name="Frame4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73075" cy="175260"/>
                      <wp:effectExtent l="0" t="0" r="0" b="0"/>
                      <wp:wrapNone/>
                      <wp:docPr id="45" name="Frame44"/>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047"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Twenty-Six Weeks Ended June 30, 2024</w:t>
            </w:r>
          </w:p>
        </w:tc>
      </w:tr>
      <w:tr>
        <w:trPr/>
        <w:tc>
          <w:tcPr>
            <w:tcW w:w="29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8"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9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6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4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0"/>
              <w:ind w:left="0" w:right="0" w:hanging="0"/>
              <w:jc w:val="left"/>
              <w:rPr/>
            </w:pPr>
            <w:r>
              <w:rPr/>
              <w:t>​</w:t>
            </w:r>
          </w:p>
        </w:tc>
        <w:tc>
          <w:tcPr>
            <w:tcW w:w="968"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29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5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952"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December 31, 2023</w:t>
            </w:r>
          </w:p>
        </w:tc>
        <w:tc>
          <w:tcPr>
            <w:tcW w:w="20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40,618,206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254,116</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(193,205)</w:t>
            </w:r>
          </w:p>
        </w:tc>
        <w:tc>
          <w:tcPr>
            <w:tcW w:w="326"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60,952</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restricted stock units (RSUs), net of forfeiture</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983,460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pPr>
            <w:r>
              <w:rPr/>
              <w:t>—</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employee stock purchase plan (ESPP)</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52,043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(396,708)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Forfeited shares of restricted stock</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pPr>
            <w:r>
              <w:rPr/>
              <w:t>—</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3,023</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3,023</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(5,736)</w:t>
            </w:r>
          </w:p>
        </w:tc>
        <w:tc>
          <w:tcPr>
            <w:tcW w:w="326" w:type="dxa"/>
            <w:tcBorders/>
            <w:shd w:fill="CCEEFF" w:val="clear"/>
            <w:vAlign w:val="center"/>
          </w:tcPr>
          <w:p>
            <w:pPr>
              <w:pStyle w:val="TableContents"/>
              <w:bidi w:val="0"/>
              <w:spacing w:before="0" w:after="0"/>
              <w:ind w:left="0" w:right="0" w:hanging="0"/>
              <w:jc w:val="left"/>
              <w:rPr/>
            </w:pPr>
            <w:r>
              <w:rPr/>
              <w:t>​</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(5,736)</w:t>
            </w:r>
          </w:p>
        </w:tc>
      </w:tr>
      <w:tr>
        <w:trPr/>
        <w:tc>
          <w:tcPr>
            <w:tcW w:w="2952"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March 31, 2024</w:t>
            </w:r>
          </w:p>
        </w:tc>
        <w:tc>
          <w:tcPr>
            <w:tcW w:w="20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41,255,966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256,646</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(198,941)</w:t>
            </w:r>
          </w:p>
        </w:tc>
        <w:tc>
          <w:tcPr>
            <w:tcW w:w="326"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57,746</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575,697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2023 Bonus Plan</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95,588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(151,001)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2023 Bonus Plan</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2,171</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2,171</w:t>
            </w:r>
          </w:p>
        </w:tc>
      </w:tr>
      <w:tr>
        <w:trPr/>
        <w:tc>
          <w:tcPr>
            <w:tcW w:w="295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(47,850)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r>
      <w:tr>
        <w:trPr/>
        <w:tc>
          <w:tcPr>
            <w:tcW w:w="295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(10,796)</w:t>
            </w:r>
          </w:p>
        </w:tc>
        <w:tc>
          <w:tcPr>
            <w:tcW w:w="326" w:type="dxa"/>
            <w:tcBorders/>
            <w:shd w:fill="CCEEFF" w:val="clear"/>
            <w:vAlign w:val="center"/>
          </w:tcPr>
          <w:p>
            <w:pPr>
              <w:pStyle w:val="TableContents"/>
              <w:bidi w:val="0"/>
              <w:spacing w:before="0" w:after="0"/>
              <w:ind w:left="0" w:right="0" w:hanging="0"/>
              <w:jc w:val="left"/>
              <w:rPr/>
            </w:pPr>
            <w:r>
              <w:rPr/>
              <w:t>​</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(10,796)</w:t>
            </w:r>
          </w:p>
        </w:tc>
      </w:tr>
      <w:tr>
        <w:trPr/>
        <w:tc>
          <w:tcPr>
            <w:tcW w:w="2952"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June 30, 2024</w:t>
            </w:r>
          </w:p>
        </w:tc>
        <w:tc>
          <w:tcPr>
            <w:tcW w:w="20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41,739,875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258,493</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(209,737)</w:t>
            </w:r>
          </w:p>
        </w:tc>
        <w:tc>
          <w:tcPr>
            <w:tcW w:w="326"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(47,850)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45"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48,711</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51" w:name="Tc_KOiJBz5J8kCXc29qXmEpYw_18_18"/>
      <w:bookmarkStart w:id="452" w:name="Tc_MkHnxcq_ZUm78fch1tMiSw_18_16"/>
      <w:bookmarkStart w:id="453" w:name="Tc_DzLeUhvjQEeqyGBajyrdsw_18_15"/>
      <w:bookmarkStart w:id="454" w:name="Tc_K5DC7pWerkKNU9xwMfFhXQ_18_13"/>
      <w:bookmarkStart w:id="455" w:name="Tc_WjfF-UZpHES1pK8N4wEYVg_18_10"/>
      <w:bookmarkStart w:id="456" w:name="Tc_z6h2FwpARk6Tu-9u5Gl-cA_18_7"/>
      <w:bookmarkStart w:id="457" w:name="Tc_7KMjSx2lqUyRjaca0lBMew_18_4"/>
      <w:bookmarkStart w:id="458" w:name="Tc__L_B8Ec-cUaNCQH0Ois0rg_18_0"/>
      <w:bookmarkStart w:id="459" w:name="Tc_g5ZdMlqGaUqVTlJA-92lGw_17_16"/>
      <w:bookmarkStart w:id="460" w:name="Tc_sVCyMy3200KCNIP1xyWEWw_17_13"/>
      <w:bookmarkStart w:id="461" w:name="Tc_9UflGi2J4UqBfvMbZCLTcg_17_8"/>
      <w:bookmarkStart w:id="462" w:name="Tc_gwIJuV7RAkGZ6BUUnMkGFA_17_5"/>
      <w:bookmarkStart w:id="463" w:name="Tc_JD4Il4sYUUSYNPYy4CDB0w_17_2"/>
      <w:bookmarkStart w:id="464" w:name="Tc_L2Zeaihk2katm6aDxWW5Vw_17_0"/>
      <w:bookmarkStart w:id="465" w:name="Tc_5-2kpRTJ80u7t6ovb7nAKA_16_16"/>
      <w:bookmarkStart w:id="466" w:name="Tc_6cHaCWB0tE2tTw1QI6b1lQ_16_13"/>
      <w:bookmarkStart w:id="467" w:name="Tc_6CSdHQc4v0y25EeXH4DnxA_16_11"/>
      <w:bookmarkStart w:id="468" w:name="Tc_tCu1sxadtE2jk2p7BqFRxg_16_5"/>
      <w:bookmarkStart w:id="469" w:name="Tc_Re69LNF_DUSSumn1ukeqZA_16_2"/>
      <w:bookmarkStart w:id="470" w:name="Tc_xGpBEDKSLka2nrisOkONZw_16_0"/>
      <w:bookmarkStart w:id="471" w:name="Tc_MudmNSHBN0a4NYHeJUwpag_15_16"/>
      <w:bookmarkStart w:id="472" w:name="Tc_y5-WeOAzmk2XL0v9n4Ya6w_15_13"/>
      <w:bookmarkStart w:id="473" w:name="Tc_9KITKr1arUKs1ZJplvy_pw_15_11"/>
      <w:bookmarkStart w:id="474" w:name="Tc_EU3hzvgtg0W78OY9E6glpw_15_5"/>
      <w:bookmarkStart w:id="475" w:name="Tc_BKK9bblU8kej_QdlmsvObQ_15_0"/>
      <w:bookmarkStart w:id="476" w:name="Tc_hRgFYEswFUeHP7pS7YPIWQ_14_19"/>
      <w:bookmarkStart w:id="477" w:name="Tc_meJNopECYUOiVTTrWD41iA_14_16"/>
      <w:bookmarkStart w:id="478" w:name="Tc_td9ETEgyDEO-RKsK88ahYg_14_13"/>
      <w:bookmarkStart w:id="479" w:name="Tc_te2MnV-6L0yiw0_ZcHd5gw_14_11"/>
      <w:bookmarkStart w:id="480" w:name="Tc_BGOiIWRDU0ulAL4SJlKlQA_14_8"/>
      <w:bookmarkStart w:id="481" w:name="Tc_ScL31xa7CkeOgK4T8lyp3Q_14_5"/>
      <w:bookmarkStart w:id="482" w:name="Tc_MkIvHBB410aO4AoOB1qOyA_14_0"/>
      <w:bookmarkStart w:id="483" w:name="Tc_XyrdKSkj90yY55gyYTENbA_13_18"/>
      <w:bookmarkStart w:id="484" w:name="Tc_sRSW5kAucECsAyToFKkezA_13_16"/>
      <w:bookmarkStart w:id="485" w:name="Tc_dXCf1oHxzESLuvHAXUscXw_13_15"/>
      <w:bookmarkStart w:id="486" w:name="Tc_QcmOKzyrNk2NC979sNo45w_13_13"/>
      <w:bookmarkStart w:id="487" w:name="Tc_yEAcHdYXxk-3e4VVZxGZ1w_13_10"/>
      <w:bookmarkStart w:id="488" w:name="Tc_hzjxFdLmZUWKkimtxnEPCw_13_7"/>
      <w:bookmarkStart w:id="489" w:name="Tc_5LaryE0jKkSbkoDQ_L8J4Q_13_4"/>
      <w:bookmarkStart w:id="490" w:name="Tc_ODjnJ6Yb6kuN4hZXDOvC-Q_13_0"/>
      <w:bookmarkStart w:id="491" w:name="Tc_ovyH5kHV0kCUw-sH6VI-qQ_12_16"/>
      <w:bookmarkStart w:id="492" w:name="Tc_p-8Ce9q4RU6lkS-H0mOL2w_12_13"/>
      <w:bookmarkStart w:id="493" w:name="Tc_3ZlSd89S7k2dADxZwTFgpg_12_8"/>
      <w:bookmarkStart w:id="494" w:name="Tc_H5QIYJk3Wk6nTP4TH4R3gA_12_5"/>
      <w:bookmarkStart w:id="495" w:name="Tc___w_H0WVeU6tv0ME2tRmDA_12_2"/>
      <w:bookmarkStart w:id="496" w:name="Tc_0wdkE0cpFEyceIyL51Y5jg_12_0"/>
      <w:bookmarkStart w:id="497" w:name="Tc_qDr1REeRT0Sbjv8U-DEzXA_11_16"/>
      <w:bookmarkStart w:id="498" w:name="Tc_AX588VqsAke_bVZbB0-ctA_11_13"/>
      <w:bookmarkStart w:id="499" w:name="Tc_pNwX9JUkIUKIH3CC9j8x0Q_11_11"/>
      <w:bookmarkStart w:id="500" w:name="Tc_comZfN0rSUKXKVif4eChEg_11_5"/>
      <w:bookmarkStart w:id="501" w:name="Tc_EEs6RXhILUWHhApM65Ht4Q_11_2"/>
      <w:bookmarkStart w:id="502" w:name="Tc_VJu1EXVYR0ixYmbi9KM9Zg_11_0"/>
      <w:bookmarkStart w:id="503" w:name="Tc_UkeCunN23EmFAr3ZZj4iBA_10_19"/>
      <w:bookmarkStart w:id="504" w:name="Tc_wywmELO87Uewj87JOWjldg_10_16"/>
      <w:bookmarkStart w:id="505" w:name="Tc_BzFa3k-XY0OWBP3coes1FQ_10_13"/>
      <w:bookmarkStart w:id="506" w:name="Tc_O-9pV-edAk2_flBvwonb7g_10_11"/>
      <w:bookmarkStart w:id="507" w:name="Tc_Tf8UTro-LEeTSpvHI2RI3g_10_8"/>
      <w:bookmarkStart w:id="508" w:name="Tc_AmUQWh-YKUO1Hbg9HRtpoQ_10_5"/>
      <w:bookmarkStart w:id="509" w:name="Tc_c9J0hjkj7kGMW47U18JoBA_10_0"/>
      <w:bookmarkStart w:id="510" w:name="Tc_ukDtPKtZzEmyJd8c1gcFPw_9_16"/>
      <w:bookmarkStart w:id="511" w:name="Tc_Yn3egy_AUkW85eig-rN_Bg_9_13"/>
      <w:bookmarkStart w:id="512" w:name="Tc_X535N3V-Bkiw7a3enRIivg_9_11"/>
      <w:bookmarkStart w:id="513" w:name="Tc_29aJF62OxEa1LODrQ4Bg_A_9_5"/>
      <w:bookmarkStart w:id="514" w:name="Tc_J1EVvj5ZqkOb5uj1EaGHaQ_9_0"/>
      <w:bookmarkStart w:id="515" w:name="Tc_cuqZ_BCT_Uyy7G0MENG5Iw_8_16"/>
      <w:bookmarkStart w:id="516" w:name="Tc_20ut0recskGDdP_Zz_3mPA_8_13"/>
      <w:bookmarkStart w:id="517" w:name="Tc_zYSbW12k5kiyyjaiPS1tZQ_8_11"/>
      <w:bookmarkStart w:id="518" w:name="Tc_yprE-XYoikerafC3lh1dVQ_8_5"/>
      <w:bookmarkStart w:id="519" w:name="Tc_OxYpCr1pwUWNGwVC--rsuA_8_0"/>
      <w:bookmarkStart w:id="520" w:name="Tc_mWXg9Zy6Ck6iLTmPoIIROg_7_19"/>
      <w:bookmarkStart w:id="521" w:name="Tc_Qf89sej9XUal-0bhL9yvLw_7_16"/>
      <w:bookmarkStart w:id="522" w:name="Tc_WpBx6bnX70S6SD_yQgOuAw_7_13"/>
      <w:bookmarkStart w:id="523" w:name="Tc_vcJf0L-0YEu3tMk-T3SytA_7_11"/>
      <w:bookmarkStart w:id="524" w:name="Tc_Lq0e_1qb2ka-Vb4zPtMYeg_7_8"/>
      <w:bookmarkStart w:id="525" w:name="Tc_SFU-JccuBkuy-SH6L7U-lQ_7_5"/>
      <w:bookmarkStart w:id="526" w:name="Tc_4dMTDPUoz0qE6FAPfkZyYw_7_0"/>
      <w:bookmarkStart w:id="527" w:name="Tc_D9Cg4oUlE0i6dJQ1Z_DtMw_6_16"/>
      <w:bookmarkStart w:id="528" w:name="Tc_mSnuR4OofEeV4EftylCNSQ_6_13"/>
      <w:bookmarkStart w:id="529" w:name="Tc_AXnv3wifhkKzqwxvuivguA_6_11"/>
      <w:bookmarkStart w:id="530" w:name="Tc_IvVHODXxh0eJGgPKzgErUA_6_8"/>
      <w:bookmarkStart w:id="531" w:name="Tc_jTTKt5sR9EiOcPkSNwdLwA_6_0"/>
      <w:bookmarkStart w:id="532" w:name="Tc_rCAqeDaJuUO11xVucOxSNg_5_18"/>
      <w:bookmarkStart w:id="533" w:name="Tc_LUoJiItdMEOswUXlnD1c8A_5_16"/>
      <w:bookmarkStart w:id="534" w:name="Tc_NCuNkS4G5kGTWgnrN4T1Dw_5_15"/>
      <w:bookmarkStart w:id="535" w:name="Tc_Yk0vCTRh8kee2Rz-oNRA7A_5_13"/>
      <w:bookmarkStart w:id="536" w:name="Tc_JXHgf8kHHkWBy04gQ5HJPQ_5_10"/>
      <w:bookmarkStart w:id="537" w:name="Tc_-HnlyMGXok65HF4bIfk7hA_5_7"/>
      <w:bookmarkStart w:id="538" w:name="Tc_4FMJvLYVzEO0wwHP5voj7w_5_4"/>
      <w:bookmarkStart w:id="539" w:name="Tc_GQnPT-D5ykCykDktP-MHOQ_5_0"/>
      <w:bookmarkStart w:id="540" w:name="Tc_z6pjzvHYF0K9pZJCFAO2ng_4_18"/>
      <w:bookmarkStart w:id="541" w:name="Tc_ZcxkgfjdO0ak4YcaBlNFJQ_4_15"/>
      <w:bookmarkStart w:id="542" w:name="Tc_9HFfJd0o2U-1QLK7Oo7M8w_4_13"/>
      <w:bookmarkStart w:id="543" w:name="Tc_xnNF66W1pEmHj_ZkKdGtwQ_4_10"/>
      <w:bookmarkStart w:id="544" w:name="Tc_D1UedZxxhke44RsNhBqg8g_4_7"/>
      <w:bookmarkStart w:id="545" w:name="Tc_aH28J1F_8US4mrW6EK-OQA_4_4"/>
      <w:bookmarkStart w:id="546" w:name="Tc_2SrU4PQwz02vvZtn4rhZnQ_4_2"/>
      <w:bookmarkStart w:id="547" w:name="Tc_C3VsZR13VEO4h7gamcOxVg_3_18"/>
      <w:bookmarkStart w:id="548" w:name="Tc_OLurBJ7yqkm2LgIrc35B3A_3_13"/>
      <w:bookmarkStart w:id="549" w:name="Tc_6NsoVeEZs0G3FhiQzndy0A_3_10"/>
      <w:bookmarkStart w:id="550" w:name="Tc_ZCrMk0nHHkCsKAw6E5NTxA_3_7"/>
      <w:bookmarkStart w:id="551" w:name="Tc_z3lj5HkSc0ytKbQ7IoTcjw_3_2"/>
      <w:bookmarkStart w:id="552" w:name="Tc_6tYsQir-IkSRmJXVXoPLtw_2_18"/>
      <w:bookmarkStart w:id="553" w:name="Tc_wkHW8mL9zkKcSt899GRmfQ_2_7"/>
      <w:bookmarkStart w:id="554" w:name="Tc_0yB-XiQks0Ky1IgI8Cho3w_1_2"/>
      <w:bookmarkStart w:id="555" w:name="_dbb584a0_7a49_4b5e_8380_df3b50f1be8a"/>
      <w:bookmarkStart w:id="556" w:name="Tc_KOiJBz5J8kCXc29qXmEpYw_18_18"/>
      <w:bookmarkStart w:id="557" w:name="Tc_MkHnxcq_ZUm78fch1tMiSw_18_16"/>
      <w:bookmarkStart w:id="558" w:name="Tc_DzLeUhvjQEeqyGBajyrdsw_18_15"/>
      <w:bookmarkStart w:id="559" w:name="Tc_K5DC7pWerkKNU9xwMfFhXQ_18_13"/>
      <w:bookmarkStart w:id="560" w:name="Tc_WjfF-UZpHES1pK8N4wEYVg_18_10"/>
      <w:bookmarkStart w:id="561" w:name="Tc_z6h2FwpARk6Tu-9u5Gl-cA_18_7"/>
      <w:bookmarkStart w:id="562" w:name="Tc_7KMjSx2lqUyRjaca0lBMew_18_4"/>
      <w:bookmarkStart w:id="563" w:name="Tc__L_B8Ec-cUaNCQH0Ois0rg_18_0"/>
      <w:bookmarkStart w:id="564" w:name="Tc_g5ZdMlqGaUqVTlJA-92lGw_17_16"/>
      <w:bookmarkStart w:id="565" w:name="Tc_sVCyMy3200KCNIP1xyWEWw_17_13"/>
      <w:bookmarkStart w:id="566" w:name="Tc_9UflGi2J4UqBfvMbZCLTcg_17_8"/>
      <w:bookmarkStart w:id="567" w:name="Tc_gwIJuV7RAkGZ6BUUnMkGFA_17_5"/>
      <w:bookmarkStart w:id="568" w:name="Tc_JD4Il4sYUUSYNPYy4CDB0w_17_2"/>
      <w:bookmarkStart w:id="569" w:name="Tc_L2Zeaihk2katm6aDxWW5Vw_17_0"/>
      <w:bookmarkStart w:id="570" w:name="Tc_5-2kpRTJ80u7t6ovb7nAKA_16_16"/>
      <w:bookmarkStart w:id="571" w:name="Tc_6cHaCWB0tE2tTw1QI6b1lQ_16_13"/>
      <w:bookmarkStart w:id="572" w:name="Tc_6CSdHQc4v0y25EeXH4DnxA_16_11"/>
      <w:bookmarkStart w:id="573" w:name="Tc_tCu1sxadtE2jk2p7BqFRxg_16_5"/>
      <w:bookmarkStart w:id="574" w:name="Tc_Re69LNF_DUSSumn1ukeqZA_16_2"/>
      <w:bookmarkStart w:id="575" w:name="Tc_xGpBEDKSLka2nrisOkONZw_16_0"/>
      <w:bookmarkStart w:id="576" w:name="Tc_MudmNSHBN0a4NYHeJUwpag_15_16"/>
      <w:bookmarkStart w:id="577" w:name="Tc_y5-WeOAzmk2XL0v9n4Ya6w_15_13"/>
      <w:bookmarkStart w:id="578" w:name="Tc_9KITKr1arUKs1ZJplvy_pw_15_11"/>
      <w:bookmarkStart w:id="579" w:name="Tc_EU3hzvgtg0W78OY9E6glpw_15_5"/>
      <w:bookmarkStart w:id="580" w:name="Tc_BKK9bblU8kej_QdlmsvObQ_15_0"/>
      <w:bookmarkStart w:id="581" w:name="Tc_hRgFYEswFUeHP7pS7YPIWQ_14_19"/>
      <w:bookmarkStart w:id="582" w:name="Tc_meJNopECYUOiVTTrWD41iA_14_16"/>
      <w:bookmarkStart w:id="583" w:name="Tc_td9ETEgyDEO-RKsK88ahYg_14_13"/>
      <w:bookmarkStart w:id="584" w:name="Tc_te2MnV-6L0yiw0_ZcHd5gw_14_11"/>
      <w:bookmarkStart w:id="585" w:name="Tc_BGOiIWRDU0ulAL4SJlKlQA_14_8"/>
      <w:bookmarkStart w:id="586" w:name="Tc_ScL31xa7CkeOgK4T8lyp3Q_14_5"/>
      <w:bookmarkStart w:id="587" w:name="Tc_MkIvHBB410aO4AoOB1qOyA_14_0"/>
      <w:bookmarkStart w:id="588" w:name="Tc_XyrdKSkj90yY55gyYTENbA_13_18"/>
      <w:bookmarkStart w:id="589" w:name="Tc_sRSW5kAucECsAyToFKkezA_13_16"/>
      <w:bookmarkStart w:id="590" w:name="Tc_dXCf1oHxzESLuvHAXUscXw_13_15"/>
      <w:bookmarkStart w:id="591" w:name="Tc_QcmOKzyrNk2NC979sNo45w_13_13"/>
      <w:bookmarkStart w:id="592" w:name="Tc_yEAcHdYXxk-3e4VVZxGZ1w_13_10"/>
      <w:bookmarkStart w:id="593" w:name="Tc_hzjxFdLmZUWKkimtxnEPCw_13_7"/>
      <w:bookmarkStart w:id="594" w:name="Tc_5LaryE0jKkSbkoDQ_L8J4Q_13_4"/>
      <w:bookmarkStart w:id="595" w:name="Tc_ODjnJ6Yb6kuN4hZXDOvC-Q_13_0"/>
      <w:bookmarkStart w:id="596" w:name="Tc_ovyH5kHV0kCUw-sH6VI-qQ_12_16"/>
      <w:bookmarkStart w:id="597" w:name="Tc_p-8Ce9q4RU6lkS-H0mOL2w_12_13"/>
      <w:bookmarkStart w:id="598" w:name="Tc_3ZlSd89S7k2dADxZwTFgpg_12_8"/>
      <w:bookmarkStart w:id="599" w:name="Tc_H5QIYJk3Wk6nTP4TH4R3gA_12_5"/>
      <w:bookmarkStart w:id="600" w:name="Tc___w_H0WVeU6tv0ME2tRmDA_12_2"/>
      <w:bookmarkStart w:id="601" w:name="Tc_0wdkE0cpFEyceIyL51Y5jg_12_0"/>
      <w:bookmarkStart w:id="602" w:name="Tc_qDr1REeRT0Sbjv8U-DEzXA_11_16"/>
      <w:bookmarkStart w:id="603" w:name="Tc_AX588VqsAke_bVZbB0-ctA_11_13"/>
      <w:bookmarkStart w:id="604" w:name="Tc_pNwX9JUkIUKIH3CC9j8x0Q_11_11"/>
      <w:bookmarkStart w:id="605" w:name="Tc_comZfN0rSUKXKVif4eChEg_11_5"/>
      <w:bookmarkStart w:id="606" w:name="Tc_EEs6RXhILUWHhApM65Ht4Q_11_2"/>
      <w:bookmarkStart w:id="607" w:name="Tc_VJu1EXVYR0ixYmbi9KM9Zg_11_0"/>
      <w:bookmarkStart w:id="608" w:name="Tc_UkeCunN23EmFAr3ZZj4iBA_10_19"/>
      <w:bookmarkStart w:id="609" w:name="Tc_wywmELO87Uewj87JOWjldg_10_16"/>
      <w:bookmarkStart w:id="610" w:name="Tc_BzFa3k-XY0OWBP3coes1FQ_10_13"/>
      <w:bookmarkStart w:id="611" w:name="Tc_O-9pV-edAk2_flBvwonb7g_10_11"/>
      <w:bookmarkStart w:id="612" w:name="Tc_Tf8UTro-LEeTSpvHI2RI3g_10_8"/>
      <w:bookmarkStart w:id="613" w:name="Tc_AmUQWh-YKUO1Hbg9HRtpoQ_10_5"/>
      <w:bookmarkStart w:id="614" w:name="Tc_c9J0hjkj7kGMW47U18JoBA_10_0"/>
      <w:bookmarkStart w:id="615" w:name="Tc_ukDtPKtZzEmyJd8c1gcFPw_9_16"/>
      <w:bookmarkStart w:id="616" w:name="Tc_Yn3egy_AUkW85eig-rN_Bg_9_13"/>
      <w:bookmarkStart w:id="617" w:name="Tc_X535N3V-Bkiw7a3enRIivg_9_11"/>
      <w:bookmarkStart w:id="618" w:name="Tc_29aJF62OxEa1LODrQ4Bg_A_9_5"/>
      <w:bookmarkStart w:id="619" w:name="Tc_J1EVvj5ZqkOb5uj1EaGHaQ_9_0"/>
      <w:bookmarkStart w:id="620" w:name="Tc_cuqZ_BCT_Uyy7G0MENG5Iw_8_16"/>
      <w:bookmarkStart w:id="621" w:name="Tc_20ut0recskGDdP_Zz_3mPA_8_13"/>
      <w:bookmarkStart w:id="622" w:name="Tc_zYSbW12k5kiyyjaiPS1tZQ_8_11"/>
      <w:bookmarkStart w:id="623" w:name="Tc_yprE-XYoikerafC3lh1dVQ_8_5"/>
      <w:bookmarkStart w:id="624" w:name="Tc_OxYpCr1pwUWNGwVC--rsuA_8_0"/>
      <w:bookmarkStart w:id="625" w:name="Tc_mWXg9Zy6Ck6iLTmPoIIROg_7_19"/>
      <w:bookmarkStart w:id="626" w:name="Tc_Qf89sej9XUal-0bhL9yvLw_7_16"/>
      <w:bookmarkStart w:id="627" w:name="Tc_WpBx6bnX70S6SD_yQgOuAw_7_13"/>
      <w:bookmarkStart w:id="628" w:name="Tc_vcJf0L-0YEu3tMk-T3SytA_7_11"/>
      <w:bookmarkStart w:id="629" w:name="Tc_Lq0e_1qb2ka-Vb4zPtMYeg_7_8"/>
      <w:bookmarkStart w:id="630" w:name="Tc_SFU-JccuBkuy-SH6L7U-lQ_7_5"/>
      <w:bookmarkStart w:id="631" w:name="Tc_4dMTDPUoz0qE6FAPfkZyYw_7_0"/>
      <w:bookmarkStart w:id="632" w:name="Tc_D9Cg4oUlE0i6dJQ1Z_DtMw_6_16"/>
      <w:bookmarkStart w:id="633" w:name="Tc_mSnuR4OofEeV4EftylCNSQ_6_13"/>
      <w:bookmarkStart w:id="634" w:name="Tc_AXnv3wifhkKzqwxvuivguA_6_11"/>
      <w:bookmarkStart w:id="635" w:name="Tc_IvVHODXxh0eJGgPKzgErUA_6_8"/>
      <w:bookmarkStart w:id="636" w:name="Tc_jTTKt5sR9EiOcPkSNwdLwA_6_0"/>
      <w:bookmarkStart w:id="637" w:name="Tc_rCAqeDaJuUO11xVucOxSNg_5_18"/>
      <w:bookmarkStart w:id="638" w:name="Tc_LUoJiItdMEOswUXlnD1c8A_5_16"/>
      <w:bookmarkStart w:id="639" w:name="Tc_NCuNkS4G5kGTWgnrN4T1Dw_5_15"/>
      <w:bookmarkStart w:id="640" w:name="Tc_Yk0vCTRh8kee2Rz-oNRA7A_5_13"/>
      <w:bookmarkStart w:id="641" w:name="Tc_JXHgf8kHHkWBy04gQ5HJPQ_5_10"/>
      <w:bookmarkStart w:id="642" w:name="Tc_-HnlyMGXok65HF4bIfk7hA_5_7"/>
      <w:bookmarkStart w:id="643" w:name="Tc_4FMJvLYVzEO0wwHP5voj7w_5_4"/>
      <w:bookmarkStart w:id="644" w:name="Tc_GQnPT-D5ykCykDktP-MHOQ_5_0"/>
      <w:bookmarkStart w:id="645" w:name="Tc_z6pjzvHYF0K9pZJCFAO2ng_4_18"/>
      <w:bookmarkStart w:id="646" w:name="Tc_ZcxkgfjdO0ak4YcaBlNFJQ_4_15"/>
      <w:bookmarkStart w:id="647" w:name="Tc_9HFfJd0o2U-1QLK7Oo7M8w_4_13"/>
      <w:bookmarkStart w:id="648" w:name="Tc_xnNF66W1pEmHj_ZkKdGtwQ_4_10"/>
      <w:bookmarkStart w:id="649" w:name="Tc_D1UedZxxhke44RsNhBqg8g_4_7"/>
      <w:bookmarkStart w:id="650" w:name="Tc_aH28J1F_8US4mrW6EK-OQA_4_4"/>
      <w:bookmarkStart w:id="651" w:name="Tc_2SrU4PQwz02vvZtn4rhZnQ_4_2"/>
      <w:bookmarkStart w:id="652" w:name="Tc_C3VsZR13VEO4h7gamcOxVg_3_18"/>
      <w:bookmarkStart w:id="653" w:name="Tc_OLurBJ7yqkm2LgIrc35B3A_3_13"/>
      <w:bookmarkStart w:id="654" w:name="Tc_6NsoVeEZs0G3FhiQzndy0A_3_10"/>
      <w:bookmarkStart w:id="655" w:name="Tc_ZCrMk0nHHkCsKAw6E5NTxA_3_7"/>
      <w:bookmarkStart w:id="656" w:name="Tc_z3lj5HkSc0ytKbQ7IoTcjw_3_2"/>
      <w:bookmarkStart w:id="657" w:name="Tc_6tYsQir-IkSRmJXVXoPLtw_2_18"/>
      <w:bookmarkStart w:id="658" w:name="Tc_wkHW8mL9zkKcSt899GRmfQ_2_7"/>
      <w:bookmarkStart w:id="659" w:name="Tc_0yB-XiQks0Ky1IgI8Cho3w_1_2"/>
      <w:bookmarkStart w:id="660" w:name="_dbb584a0_7a49_4b5e_8380_df3b50f1be8a"/>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tbl>
      <w:tblPr>
        <w:tblW w:w="10205" w:type="dxa"/>
        <w:jc w:val="left"/>
        <w:tblInd w:w="0" w:type="dxa"/>
        <w:tblLayout w:type="fixed"/>
        <w:tblCellMar>
          <w:top w:w="0" w:type="dxa"/>
          <w:left w:w="0" w:type="dxa"/>
          <w:bottom w:w="0" w:type="dxa"/>
          <w:right w:w="0" w:type="dxa"/>
        </w:tblCellMar>
      </w:tblPr>
      <w:tblGrid>
        <w:gridCol w:w="2950"/>
        <w:gridCol w:w="206"/>
        <w:gridCol w:w="796"/>
        <w:gridCol w:w="326"/>
        <w:gridCol w:w="196"/>
        <w:gridCol w:w="375"/>
        <w:gridCol w:w="326"/>
        <w:gridCol w:w="181"/>
        <w:gridCol w:w="601"/>
        <w:gridCol w:w="326"/>
        <w:gridCol w:w="181"/>
        <w:gridCol w:w="690"/>
        <w:gridCol w:w="326"/>
        <w:gridCol w:w="511"/>
        <w:gridCol w:w="326"/>
        <w:gridCol w:w="196"/>
        <w:gridCol w:w="375"/>
        <w:gridCol w:w="326"/>
        <w:gridCol w:w="228"/>
        <w:gridCol w:w="763"/>
      </w:tblGrid>
      <w:tr>
        <w:trPr/>
        <w:tc>
          <w:tcPr>
            <w:tcW w:w="2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873250" cy="175260"/>
                      <wp:effectExtent l="0" t="0" r="0" b="0"/>
                      <wp:wrapNone/>
                      <wp:docPr id="46" name="Frame45"/>
                      <a:graphic xmlns:a="http://schemas.openxmlformats.org/drawingml/2006/main">
                        <a:graphicData uri="http://schemas.microsoft.com/office/word/2010/wordprocessingShape">
                          <wps:wsp>
                            <wps:cNvSpPr txBox="1"/>
                            <wps:spPr>
                              <a:xfrm>
                                <a:off x="0" y="0"/>
                                <a:ext cx="187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0810" cy="175260"/>
                      <wp:effectExtent l="0" t="0" r="0" b="0"/>
                      <wp:wrapNone/>
                      <wp:docPr id="47" name="Frame4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5460" cy="175260"/>
                      <wp:effectExtent l="0" t="0" r="0" b="0"/>
                      <wp:wrapNone/>
                      <wp:docPr id="48" name="Frame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38125" cy="175260"/>
                      <wp:effectExtent l="0" t="0" r="0" b="0"/>
                      <wp:wrapNone/>
                      <wp:docPr id="51" name="Frame5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14935" cy="175260"/>
                      <wp:effectExtent l="0" t="0" r="0" b="0"/>
                      <wp:wrapNone/>
                      <wp:docPr id="53" name="Frame5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81635" cy="175260"/>
                      <wp:effectExtent l="0" t="0" r="0" b="0"/>
                      <wp:wrapNone/>
                      <wp:docPr id="54" name="Frame5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14935" cy="175260"/>
                      <wp:effectExtent l="0" t="0" r="0" b="0"/>
                      <wp:wrapNone/>
                      <wp:docPr id="56" name="Frame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38150" cy="175260"/>
                      <wp:effectExtent l="0" t="0" r="0" b="0"/>
                      <wp:wrapNone/>
                      <wp:docPr id="57" name="Frame5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24485" cy="175260"/>
                      <wp:effectExtent l="0" t="0" r="0" b="0"/>
                      <wp:wrapNone/>
                      <wp:docPr id="59" name="Frame5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38125" cy="175260"/>
                      <wp:effectExtent l="0" t="0" r="0" b="0"/>
                      <wp:wrapNone/>
                      <wp:docPr id="62" name="Frame6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4780" cy="175260"/>
                      <wp:effectExtent l="0" t="0" r="0" b="0"/>
                      <wp:wrapNone/>
                      <wp:docPr id="64" name="Frame6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84505" cy="175260"/>
                      <wp:effectExtent l="0" t="0" r="0" b="0"/>
                      <wp:wrapNone/>
                      <wp:docPr id="65" name="Frame64"/>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0"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7049"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Twenty-Six Weeks Ended July 2, 2023</w:t>
            </w:r>
          </w:p>
        </w:tc>
      </w:tr>
      <w:tr>
        <w:trPr/>
        <w:tc>
          <w:tcPr>
            <w:tcW w:w="2950"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9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950"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69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4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2950"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950" w:type="dxa"/>
            <w:tcBorders/>
            <w:shd w:fill="CCEEFF" w:val="clear"/>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Balance as of January 1, 2023</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39,259,328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238,725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(173,871)</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64,893</w:t>
            </w:r>
          </w:p>
        </w:tc>
      </w:tr>
      <w:tr>
        <w:trPr/>
        <w:tc>
          <w:tcPr>
            <w:tcW w:w="295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491,769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295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special compensation award</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208,914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pPr>
            <w:r>
              <w:rPr/>
              <w:t>—</w:t>
            </w:r>
          </w:p>
        </w:tc>
      </w:tr>
      <w:tr>
        <w:trPr/>
        <w:tc>
          <w:tcPr>
            <w:tcW w:w="295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ESPP</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r>
      <w:tr>
        <w:trPr/>
        <w:tc>
          <w:tcPr>
            <w:tcW w:w="295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(277,606)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r>
      <w:tr>
        <w:trPr/>
        <w:tc>
          <w:tcPr>
            <w:tcW w:w="295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Forfeited shares of restricted stock</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pPr>
            <w:r>
              <w:rPr/>
              <w:t>—</w:t>
            </w:r>
          </w:p>
        </w:tc>
      </w:tr>
      <w:tr>
        <w:trPr/>
        <w:tc>
          <w:tcPr>
            <w:tcW w:w="295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4,892</w:t>
            </w:r>
          </w:p>
        </w:tc>
      </w:tr>
      <w:tr>
        <w:trPr/>
        <w:tc>
          <w:tcPr>
            <w:tcW w:w="295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(5,618)</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(5,618)</w:t>
            </w:r>
          </w:p>
        </w:tc>
      </w:tr>
      <w:tr>
        <w:trPr/>
        <w:tc>
          <w:tcPr>
            <w:tcW w:w="2950"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April 2, 2023</w:t>
            </w:r>
          </w:p>
        </w:tc>
        <w:tc>
          <w:tcPr>
            <w:tcW w:w="20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39,727,187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243,224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(179,489)</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63,775</w:t>
            </w:r>
          </w:p>
        </w:tc>
      </w:tr>
      <w:tr>
        <w:trPr/>
        <w:tc>
          <w:tcPr>
            <w:tcW w:w="295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634,567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pPr>
            <w:r>
              <w:rPr/>
              <w:t>—</w:t>
            </w:r>
          </w:p>
        </w:tc>
      </w:tr>
      <w:tr>
        <w:trPr/>
        <w:tc>
          <w:tcPr>
            <w:tcW w:w="295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(220,843)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6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(558)</w:t>
            </w:r>
          </w:p>
        </w:tc>
      </w:tr>
      <w:tr>
        <w:trPr/>
        <w:tc>
          <w:tcPr>
            <w:tcW w:w="295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6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4,054</w:t>
            </w:r>
          </w:p>
        </w:tc>
      </w:tr>
      <w:tr>
        <w:trPr/>
        <w:tc>
          <w:tcPr>
            <w:tcW w:w="295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(2,597)</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(2,597)</w:t>
            </w:r>
          </w:p>
        </w:tc>
      </w:tr>
      <w:tr>
        <w:trPr/>
        <w:tc>
          <w:tcPr>
            <w:tcW w:w="2950"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July 2, 2023</w:t>
            </w:r>
          </w:p>
        </w:tc>
        <w:tc>
          <w:tcPr>
            <w:tcW w:w="20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40,140,911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246,720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(182,086)</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3"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64,674</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4"/>
        </w:rPr>
      </w:pPr>
      <w:bookmarkStart w:id="661" w:name="_f34fd22e_2456_4e9e_ba8a_13e8eea6fb67"/>
      <w:bookmarkEnd w:id="661"/>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bookmarkStart w:id="662" w:name="CondensedConsolidatedStatementsofCashFlo"/>
      <w:bookmarkEnd w:id="662"/>
      <w:r>
        <w:rPr>
          <w:rFonts w:ascii="Times New Roman;Times;serif" w:hAnsi="Times New Roman;Times;serif"/>
          <w:b/>
          <w:sz w:val="24"/>
        </w:rPr>
        <w:t>Condensed Consolidated Statements of Cash Flows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240"/>
        <w:ind w:left="0" w:right="0" w:hanging="0"/>
        <w:jc w:val="both"/>
        <w:rPr>
          <w:shd w:fill="FFFF00" w:val="clear"/>
        </w:rPr>
      </w:pPr>
      <w:r>
        <w:rPr>
          <w:shd w:fill="FFFF00" w:val="clear"/>
        </w:rPr>
        <w:t>​</w:t>
      </w:r>
    </w:p>
    <w:p>
      <w:pPr>
        <w:pStyle w:val="Normal"/>
        <w:bidi w:val="0"/>
        <w:spacing w:before="0" w:after="0"/>
        <w:jc w:val="left"/>
        <w:rPr>
          <w:sz w:val="4"/>
          <w:szCs w:val="4"/>
        </w:rPr>
      </w:pPr>
      <w:r>
        <w:rPr>
          <w:sz w:val="4"/>
          <w:szCs w:val="4"/>
        </w:rPr>
      </w:r>
      <w:bookmarkStart w:id="663" w:name="Tc_NW1q4NP7aUecm77yFp-CcQ_39_5"/>
      <w:bookmarkStart w:id="664" w:name="Tc_Hurd5ttBA0OIzh9hxZ3yAg_38_5"/>
      <w:bookmarkStart w:id="665" w:name="Tc_GvxxSL77S0Sdiehe7nPVIQ_38_2"/>
      <w:bookmarkStart w:id="666" w:name="Tc_QDTI1Ya2R0Gp6Gpm0x_qEg_38_0"/>
      <w:bookmarkStart w:id="667" w:name="Tc_8h_RC-632k2g1rBvggettw_37_0"/>
      <w:bookmarkStart w:id="668" w:name="Tc_CQAlDzdil0-64MGX_mpLxg_36_0"/>
      <w:bookmarkStart w:id="669" w:name="Tc_q0-nKX-6TUq_D48YcQVYpQ_35_0"/>
      <w:bookmarkStart w:id="670" w:name="Tc_Eyt9WZsNnkSrumEFTwXg9A_34_3"/>
      <w:bookmarkStart w:id="671" w:name="Tc_mrOeXRb8lk6JnPKShmGszQ_34_0"/>
      <w:bookmarkStart w:id="672" w:name="Tc__0fzFbQqjUuVlvyd_OiZDw_33_6"/>
      <w:bookmarkStart w:id="673" w:name="Tc_tIETZMkF0Uuj3YxUe4pHZw_33_0"/>
      <w:bookmarkStart w:id="674" w:name="Tc_Lh_2XHTM_EWk8-GrHWx33A_32_0"/>
      <w:bookmarkStart w:id="675" w:name="Tc_HpbccjC_0U6RFpJVefcH9w_31_0"/>
      <w:bookmarkStart w:id="676" w:name="Tc_xhjf_Oz5YEK2iuAVcD_B3w_30_0"/>
      <w:bookmarkStart w:id="677" w:name="Tc_iHJ-DWw6gUOSrndwqr7LGQ_29_0"/>
      <w:bookmarkStart w:id="678" w:name="Tc_4W5qK3uKZEm-xcWLosxb3Q_28_0"/>
      <w:bookmarkStart w:id="679" w:name="Tc_61OcWd_-iUKIEJHixH5Mvg_27_0"/>
      <w:bookmarkStart w:id="680" w:name="Tc_R0mcHb5WZUWruPgHNOMA1Q_26_0"/>
      <w:bookmarkStart w:id="681" w:name="Tc_5pOyNP24aUm2BFPenmyFtQ_25_0"/>
      <w:bookmarkStart w:id="682" w:name="Tc_y6Rqtc9VEEaGeD4I-jERmw_24_0"/>
      <w:bookmarkStart w:id="683" w:name="Tc_nmr2uJJY4UW0doVNBavCKA_23_0"/>
      <w:bookmarkStart w:id="684" w:name="Tc_JxhRV0RJeECgMTKe_dGZqA_22_0"/>
      <w:bookmarkStart w:id="685" w:name="Tc_bAr9qTcSTEu01cAutK7kmA_21_0"/>
      <w:bookmarkStart w:id="686" w:name="Tc_XYYp8uyEnUSmg7K-4adYVw_20_0"/>
      <w:bookmarkStart w:id="687" w:name="Tc_imWcRuimfEKVK6_C1JOCOg_19_0"/>
      <w:bookmarkStart w:id="688" w:name="Tc_cehFwXUwVEmXJ6VyPMT44A_18_0"/>
      <w:bookmarkStart w:id="689" w:name="Tc_BA_fj6leVkKlpuOfjSZn4w_17_0"/>
      <w:bookmarkStart w:id="690" w:name="Tc_sA2sjfMD00u8nSLkr-o9LA_16_0"/>
      <w:bookmarkStart w:id="691" w:name="Tc_P40e06OvU0aN-TWDCFhbxg_15_0"/>
      <w:bookmarkStart w:id="692" w:name="Tc_RN1dxJyBt0iGPGG_fT41bA_14_0"/>
      <w:bookmarkStart w:id="693" w:name="Tc_1nA5lDXwuUmm9X1CV5JTlg_13_0"/>
      <w:bookmarkStart w:id="694" w:name="Tc_SGHp0X99CkCA0Nsn6CLeLg_12_0"/>
      <w:bookmarkStart w:id="695" w:name="Tc_bUKf4VGb5UqCTBtc90_3yA_11_0"/>
      <w:bookmarkStart w:id="696" w:name="Tc_vPSjIHANokGGspfIjzaP0w_10_0"/>
      <w:bookmarkStart w:id="697" w:name="Tc_hnRnVIe35USo5LkqURtxcg_9_0"/>
      <w:bookmarkStart w:id="698" w:name="Tc_V2hOb7xICU-nIFXv_Vs8xg_8_0"/>
      <w:bookmarkStart w:id="699" w:name="Tc_LCHUNy7Ev0qSGz7SJj_SXQ_7_0"/>
      <w:bookmarkStart w:id="700" w:name="Tc__6moIjqiD0Ka-Xpfk459mQ_6_0"/>
      <w:bookmarkStart w:id="701" w:name="Tc_0uPQl1cWe0WfTFb9KgpuUg_5_5"/>
      <w:bookmarkStart w:id="702" w:name="Tc_IGstX8c5G0OZBmHNGeCokA_5_2"/>
      <w:bookmarkStart w:id="703" w:name="Tc_p2XbRNYJuEGA-Jwq4EB0Hg_5_0"/>
      <w:bookmarkStart w:id="704" w:name="Tc_g5r3cdliZkya4NaGztbUSA_4_0"/>
      <w:bookmarkStart w:id="705" w:name="Tc_GxtoNjixLUC1xjA3jS2Urw_3_5"/>
      <w:bookmarkStart w:id="706" w:name="Tc_VwA4Vpn9KUuU7ln9wBb1xA_3_2"/>
      <w:bookmarkStart w:id="707" w:name="Tc_FiatvqWIdEyuR8ARSq7hGA_2_5"/>
      <w:bookmarkStart w:id="708" w:name="Tc_tBc_IDxxHUGsO0i-ZyUvZg_2_2"/>
      <w:bookmarkStart w:id="709" w:name="Tc_AdhnTtleZkamTgAAJzpHxQ_1_2"/>
      <w:bookmarkStart w:id="710" w:name="_9e91f264_e05c_4b91_9aa3_8f6652224d63"/>
      <w:bookmarkStart w:id="711" w:name="Tc_NW1q4NP7aUecm77yFp-CcQ_39_5"/>
      <w:bookmarkStart w:id="712" w:name="Tc_Hurd5ttBA0OIzh9hxZ3yAg_38_5"/>
      <w:bookmarkStart w:id="713" w:name="Tc_GvxxSL77S0Sdiehe7nPVIQ_38_2"/>
      <w:bookmarkStart w:id="714" w:name="Tc_QDTI1Ya2R0Gp6Gpm0x_qEg_38_0"/>
      <w:bookmarkStart w:id="715" w:name="Tc_8h_RC-632k2g1rBvggettw_37_0"/>
      <w:bookmarkStart w:id="716" w:name="Tc_CQAlDzdil0-64MGX_mpLxg_36_0"/>
      <w:bookmarkStart w:id="717" w:name="Tc_q0-nKX-6TUq_D48YcQVYpQ_35_0"/>
      <w:bookmarkStart w:id="718" w:name="Tc_Eyt9WZsNnkSrumEFTwXg9A_34_3"/>
      <w:bookmarkStart w:id="719" w:name="Tc_mrOeXRb8lk6JnPKShmGszQ_34_0"/>
      <w:bookmarkStart w:id="720" w:name="Tc__0fzFbQqjUuVlvyd_OiZDw_33_6"/>
      <w:bookmarkStart w:id="721" w:name="Tc_tIETZMkF0Uuj3YxUe4pHZw_33_0"/>
      <w:bookmarkStart w:id="722" w:name="Tc_Lh_2XHTM_EWk8-GrHWx33A_32_0"/>
      <w:bookmarkStart w:id="723" w:name="Tc_HpbccjC_0U6RFpJVefcH9w_31_0"/>
      <w:bookmarkStart w:id="724" w:name="Tc_xhjf_Oz5YEK2iuAVcD_B3w_30_0"/>
      <w:bookmarkStart w:id="725" w:name="Tc_iHJ-DWw6gUOSrndwqr7LGQ_29_0"/>
      <w:bookmarkStart w:id="726" w:name="Tc_4W5qK3uKZEm-xcWLosxb3Q_28_0"/>
      <w:bookmarkStart w:id="727" w:name="Tc_61OcWd_-iUKIEJHixH5Mvg_27_0"/>
      <w:bookmarkStart w:id="728" w:name="Tc_R0mcHb5WZUWruPgHNOMA1Q_26_0"/>
      <w:bookmarkStart w:id="729" w:name="Tc_5pOyNP24aUm2BFPenmyFtQ_25_0"/>
      <w:bookmarkStart w:id="730" w:name="Tc_y6Rqtc9VEEaGeD4I-jERmw_24_0"/>
      <w:bookmarkStart w:id="731" w:name="Tc_nmr2uJJY4UW0doVNBavCKA_23_0"/>
      <w:bookmarkStart w:id="732" w:name="Tc_JxhRV0RJeECgMTKe_dGZqA_22_0"/>
      <w:bookmarkStart w:id="733" w:name="Tc_bAr9qTcSTEu01cAutK7kmA_21_0"/>
      <w:bookmarkStart w:id="734" w:name="Tc_XYYp8uyEnUSmg7K-4adYVw_20_0"/>
      <w:bookmarkStart w:id="735" w:name="Tc_imWcRuimfEKVK6_C1JOCOg_19_0"/>
      <w:bookmarkStart w:id="736" w:name="Tc_cehFwXUwVEmXJ6VyPMT44A_18_0"/>
      <w:bookmarkStart w:id="737" w:name="Tc_BA_fj6leVkKlpuOfjSZn4w_17_0"/>
      <w:bookmarkStart w:id="738" w:name="Tc_sA2sjfMD00u8nSLkr-o9LA_16_0"/>
      <w:bookmarkStart w:id="739" w:name="Tc_P40e06OvU0aN-TWDCFhbxg_15_0"/>
      <w:bookmarkStart w:id="740" w:name="Tc_RN1dxJyBt0iGPGG_fT41bA_14_0"/>
      <w:bookmarkStart w:id="741" w:name="Tc_1nA5lDXwuUmm9X1CV5JTlg_13_0"/>
      <w:bookmarkStart w:id="742" w:name="Tc_SGHp0X99CkCA0Nsn6CLeLg_12_0"/>
      <w:bookmarkStart w:id="743" w:name="Tc_bUKf4VGb5UqCTBtc90_3yA_11_0"/>
      <w:bookmarkStart w:id="744" w:name="Tc_vPSjIHANokGGspfIjzaP0w_10_0"/>
      <w:bookmarkStart w:id="745" w:name="Tc_hnRnVIe35USo5LkqURtxcg_9_0"/>
      <w:bookmarkStart w:id="746" w:name="Tc_V2hOb7xICU-nIFXv_Vs8xg_8_0"/>
      <w:bookmarkStart w:id="747" w:name="Tc_LCHUNy7Ev0qSGz7SJj_SXQ_7_0"/>
      <w:bookmarkStart w:id="748" w:name="Tc__6moIjqiD0Ka-Xpfk459mQ_6_0"/>
      <w:bookmarkStart w:id="749" w:name="Tc_0uPQl1cWe0WfTFb9KgpuUg_5_5"/>
      <w:bookmarkStart w:id="750" w:name="Tc_IGstX8c5G0OZBmHNGeCokA_5_2"/>
      <w:bookmarkStart w:id="751" w:name="Tc_p2XbRNYJuEGA-Jwq4EB0Hg_5_0"/>
      <w:bookmarkStart w:id="752" w:name="Tc_g5r3cdliZkya4NaGztbUSA_4_0"/>
      <w:bookmarkStart w:id="753" w:name="Tc_GxtoNjixLUC1xjA3jS2Urw_3_5"/>
      <w:bookmarkStart w:id="754" w:name="Tc_VwA4Vpn9KUuU7ln9wBb1xA_3_2"/>
      <w:bookmarkStart w:id="755" w:name="Tc_FiatvqWIdEyuR8ARSq7hGA_2_5"/>
      <w:bookmarkStart w:id="756" w:name="Tc_tBc_IDxxHUGsO0i-ZyUvZg_2_2"/>
      <w:bookmarkStart w:id="757" w:name="Tc_AdhnTtleZkamTgAAJzpHxQ_1_2"/>
      <w:bookmarkStart w:id="758" w:name="_9e91f264_e05c_4b91_9aa3_8f6652224d63"/>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tbl>
      <w:tblPr>
        <w:tblW w:w="8789" w:type="dxa"/>
        <w:jc w:val="left"/>
        <w:tblInd w:w="0" w:type="dxa"/>
        <w:tblLayout w:type="fixed"/>
        <w:tblCellMar>
          <w:top w:w="0" w:type="dxa"/>
          <w:left w:w="0" w:type="dxa"/>
          <w:bottom w:w="0" w:type="dxa"/>
          <w:right w:w="0" w:type="dxa"/>
        </w:tblCellMar>
      </w:tblPr>
      <w:tblGrid>
        <w:gridCol w:w="6121"/>
        <w:gridCol w:w="326"/>
        <w:gridCol w:w="196"/>
        <w:gridCol w:w="721"/>
        <w:gridCol w:w="326"/>
        <w:gridCol w:w="202"/>
        <w:gridCol w:w="743"/>
        <w:gridCol w:w="154"/>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886835" cy="175260"/>
                      <wp:effectExtent l="0" t="0" r="0" b="0"/>
                      <wp:wrapNone/>
                      <wp:docPr id="66" name="Frame65"/>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57835" cy="175260"/>
                      <wp:effectExtent l="0" t="0" r="0" b="0"/>
                      <wp:wrapNone/>
                      <wp:docPr id="69" name="Frame6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8270" cy="175260"/>
                      <wp:effectExtent l="0" t="0" r="0" b="0"/>
                      <wp:wrapNone/>
                      <wp:docPr id="71" name="Frame70"/>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71805" cy="175260"/>
                      <wp:effectExtent l="0" t="0" r="0" b="0"/>
                      <wp:wrapNone/>
                      <wp:docPr id="72" name="Frame71"/>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97790" cy="175260"/>
                      <wp:effectExtent l="0" t="0" r="0" b="0"/>
                      <wp:wrapNone/>
                      <wp:docPr id="73" name="Frame7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54" w:type="dxa"/>
            <w:tcBorders/>
            <w:vAlign w:val="center"/>
          </w:tcPr>
          <w:p>
            <w:pPr>
              <w:pStyle w:val="TableContents"/>
              <w:bidi w:val="0"/>
              <w:spacing w:before="0" w:after="0"/>
              <w:ind w:left="0" w:right="0" w:hanging="0"/>
              <w:jc w:val="center"/>
              <w:rPr/>
            </w:pPr>
            <w:r>
              <w:rPr/>
              <w:t>​</w:t>
            </w:r>
          </w:p>
        </w:tc>
      </w:tr>
      <w:tr>
        <w:trPr/>
        <w:tc>
          <w:tcPr>
            <w:tcW w:w="6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6121"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(16,532)</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(8,215)</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Adjustments to reconcile net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2,710</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2,306</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1,956</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discount and debt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4,128</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3,802</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(1,569)</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(2,195)</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(859)</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2,980</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15,221</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4,756</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(1,928)</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10,637</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8,351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Capitalized software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(1,623)</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on revolving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revolving line of credit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(28,000)</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under employee stock purchase plan (ESPP)</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 obligations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(1,056)</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Withholding tax payments related to vesting of RSUs and 2023 Bonus Plan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(9,739)</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(10,871)</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Net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(725)</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2,506</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10,219</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5,947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(Continued)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Condensed Consolidated Statements of Cash Flows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59" w:name="Tc_GYPAuhJQW0aeRLc9Cq4PXw_15_6"/>
      <w:bookmarkStart w:id="760" w:name="Tc_mrHVReqb40uMVHuwZDF6UA_14_5"/>
      <w:bookmarkStart w:id="761" w:name="Tc_lE17UguPJkuiaVO-7iFXAQ_14_2"/>
      <w:bookmarkStart w:id="762" w:name="Tc_zIZFTkeZWE2xiZ61qYONzg_14_0"/>
      <w:bookmarkStart w:id="763" w:name="Tc_vivvC0oaeEWmQJFMeSoa6A_13_5"/>
      <w:bookmarkStart w:id="764" w:name="Tc_V14H27GhiU-J8fMk5wKXVw_13_2"/>
      <w:bookmarkStart w:id="765" w:name="Tc_Ye1t_DGZRU2vaX4lMc3igA_13_0"/>
      <w:bookmarkStart w:id="766" w:name="Tc_VuB4IqwOjEaxteV5D5migA_12_5"/>
      <w:bookmarkStart w:id="767" w:name="Tc_CPEqNNxRG0SEF76JZeJPkg_12_3"/>
      <w:bookmarkStart w:id="768" w:name="Tc_bIK0aDz2jEmcwPzuK8EDlw_12_2"/>
      <w:bookmarkStart w:id="769" w:name="Tc_nbEE66hPRUuirDn1ySjdUw_12_0"/>
      <w:bookmarkStart w:id="770" w:name="Tc_yfEknl9UsUCEYyfvQwd0Kg_11_0"/>
      <w:bookmarkStart w:id="771" w:name="Tc_XiCCwbrW2kC5M1Wv85um_g_9_5"/>
      <w:bookmarkStart w:id="772" w:name="Tc__2clLDYLe0Gs-ml2XI74tg_9_2"/>
      <w:bookmarkStart w:id="773" w:name="Tc_X0BMCdJ6bk2qT_-On29AcQ_9_0"/>
      <w:bookmarkStart w:id="774" w:name="Tc_yRY13z5VSUqfED01kt7vfw_8_5"/>
      <w:bookmarkStart w:id="775" w:name="Tc_JjdQdeRA5kacy3x0N8Lv3g_8_2"/>
      <w:bookmarkStart w:id="776" w:name="Tc_qvKLEZv_gEOZsdhr-xHthw_8_0"/>
      <w:bookmarkStart w:id="777" w:name="Tc__MIBRUWdlkazoceKFjgXow_7_5"/>
      <w:bookmarkStart w:id="778" w:name="Tc_Pfj-d_EcZkO4OxZGT1r2cA_7_2"/>
      <w:bookmarkStart w:id="779" w:name="Tc_Og_zcfHHCE2qo53xFb3agg_7_0"/>
      <w:bookmarkStart w:id="780" w:name="Tc_J9PcfXNVjkOv77ZeR6DPRQ_6_5"/>
      <w:bookmarkStart w:id="781" w:name="Tc_xYzkf30V10a49c7rOmyFmw_6_2"/>
      <w:bookmarkStart w:id="782" w:name="Tc_2uigwYU7fEOJXr5-y0fXsA_6_0"/>
      <w:bookmarkStart w:id="783" w:name="Tc_qRfOn_jWKECpDtV-vbK37g_5_0"/>
      <w:bookmarkStart w:id="784" w:name="Tc_O9pIGZrWxUmnWRSe4a3OiQ_4_0"/>
      <w:bookmarkStart w:id="785" w:name="Tc_qFG2ALLmekOJIVf9KxhT9Q_3_5"/>
      <w:bookmarkStart w:id="786" w:name="Tc_lIHf_-OYMkuVWBhUrSZgxA_3_2"/>
      <w:bookmarkStart w:id="787" w:name="Tc_g-uyrapJWECJe8mVF5efDA_2_5"/>
      <w:bookmarkStart w:id="788" w:name="Tc_cZbLIzzHXkmsVfCJV4tILg_2_2"/>
      <w:bookmarkStart w:id="789" w:name="Tc_Z3fgWfeKJUWcEC95K_Rcjw_1_2"/>
      <w:bookmarkStart w:id="790" w:name="_e8ebb597_397a_4e9b_8c17_daa6018deb26"/>
      <w:bookmarkStart w:id="791" w:name="Tc_GYPAuhJQW0aeRLc9Cq4PXw_15_6"/>
      <w:bookmarkStart w:id="792" w:name="Tc_mrHVReqb40uMVHuwZDF6UA_14_5"/>
      <w:bookmarkStart w:id="793" w:name="Tc_lE17UguPJkuiaVO-7iFXAQ_14_2"/>
      <w:bookmarkStart w:id="794" w:name="Tc_zIZFTkeZWE2xiZ61qYONzg_14_0"/>
      <w:bookmarkStart w:id="795" w:name="Tc_vivvC0oaeEWmQJFMeSoa6A_13_5"/>
      <w:bookmarkStart w:id="796" w:name="Tc_V14H27GhiU-J8fMk5wKXVw_13_2"/>
      <w:bookmarkStart w:id="797" w:name="Tc_Ye1t_DGZRU2vaX4lMc3igA_13_0"/>
      <w:bookmarkStart w:id="798" w:name="Tc_VuB4IqwOjEaxteV5D5migA_12_5"/>
      <w:bookmarkStart w:id="799" w:name="Tc_CPEqNNxRG0SEF76JZeJPkg_12_3"/>
      <w:bookmarkStart w:id="800" w:name="Tc_bIK0aDz2jEmcwPzuK8EDlw_12_2"/>
      <w:bookmarkStart w:id="801" w:name="Tc_nbEE66hPRUuirDn1ySjdUw_12_0"/>
      <w:bookmarkStart w:id="802" w:name="Tc_yfEknl9UsUCEYyfvQwd0Kg_11_0"/>
      <w:bookmarkStart w:id="803" w:name="Tc_XiCCwbrW2kC5M1Wv85um_g_9_5"/>
      <w:bookmarkStart w:id="804" w:name="Tc__2clLDYLe0Gs-ml2XI74tg_9_2"/>
      <w:bookmarkStart w:id="805" w:name="Tc_X0BMCdJ6bk2qT_-On29AcQ_9_0"/>
      <w:bookmarkStart w:id="806" w:name="Tc_yRY13z5VSUqfED01kt7vfw_8_5"/>
      <w:bookmarkStart w:id="807" w:name="Tc_JjdQdeRA5kacy3x0N8Lv3g_8_2"/>
      <w:bookmarkStart w:id="808" w:name="Tc_qvKLEZv_gEOZsdhr-xHthw_8_0"/>
      <w:bookmarkStart w:id="809" w:name="Tc__MIBRUWdlkazoceKFjgXow_7_5"/>
      <w:bookmarkStart w:id="810" w:name="Tc_Pfj-d_EcZkO4OxZGT1r2cA_7_2"/>
      <w:bookmarkStart w:id="811" w:name="Tc_Og_zcfHHCE2qo53xFb3agg_7_0"/>
      <w:bookmarkStart w:id="812" w:name="Tc_J9PcfXNVjkOv77ZeR6DPRQ_6_5"/>
      <w:bookmarkStart w:id="813" w:name="Tc_xYzkf30V10a49c7rOmyFmw_6_2"/>
      <w:bookmarkStart w:id="814" w:name="Tc_2uigwYU7fEOJXr5-y0fXsA_6_0"/>
      <w:bookmarkStart w:id="815" w:name="Tc_qRfOn_jWKECpDtV-vbK37g_5_0"/>
      <w:bookmarkStart w:id="816" w:name="Tc_O9pIGZrWxUmnWRSe4a3OiQ_4_0"/>
      <w:bookmarkStart w:id="817" w:name="Tc_qFG2ALLmekOJIVf9KxhT9Q_3_5"/>
      <w:bookmarkStart w:id="818" w:name="Tc_lIHf_-OYMkuVWBhUrSZgxA_3_2"/>
      <w:bookmarkStart w:id="819" w:name="Tc_g-uyrapJWECJe8mVF5efDA_2_5"/>
      <w:bookmarkStart w:id="820" w:name="Tc_cZbLIzzHXkmsVfCJV4tILg_2_2"/>
      <w:bookmarkStart w:id="821" w:name="Tc_Z3fgWfeKJUWcEC95K_Rcjw_1_2"/>
      <w:bookmarkStart w:id="822" w:name="_e8ebb597_397a_4e9b_8c17_daa6018deb26"/>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tbl>
      <w:tblPr>
        <w:tblW w:w="9014" w:type="dxa"/>
        <w:jc w:val="left"/>
        <w:tblInd w:w="0" w:type="dxa"/>
        <w:tblLayout w:type="fixed"/>
        <w:tblCellMar>
          <w:top w:w="0" w:type="dxa"/>
          <w:left w:w="0" w:type="dxa"/>
          <w:bottom w:w="0" w:type="dxa"/>
          <w:right w:w="0" w:type="dxa"/>
        </w:tblCellMar>
      </w:tblPr>
      <w:tblGrid>
        <w:gridCol w:w="6316"/>
        <w:gridCol w:w="326"/>
        <w:gridCol w:w="199"/>
        <w:gridCol w:w="521"/>
        <w:gridCol w:w="326"/>
        <w:gridCol w:w="196"/>
        <w:gridCol w:w="976"/>
        <w:gridCol w:w="154"/>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010660" cy="175260"/>
                      <wp:effectExtent l="0" t="0" r="0" b="0"/>
                      <wp:wrapNone/>
                      <wp:docPr id="74" name="Frame73"/>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6365" cy="175260"/>
                      <wp:effectExtent l="0" t="0" r="0" b="0"/>
                      <wp:wrapNone/>
                      <wp:docPr id="76" name="Frame75"/>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30835" cy="175260"/>
                      <wp:effectExtent l="0" t="0" r="0" b="0"/>
                      <wp:wrapNone/>
                      <wp:docPr id="77" name="Frame76"/>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19760" cy="175260"/>
                      <wp:effectExtent l="0" t="0" r="0" b="0"/>
                      <wp:wrapNone/>
                      <wp:docPr id="80" name="Frame7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7790" cy="175260"/>
                      <wp:effectExtent l="0" t="0" r="0" b="0"/>
                      <wp:wrapNone/>
                      <wp:docPr id="81" name="Frame8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11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taxes, net </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Right-of-use assets acquired under operating lease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Assets acquired under finance lease obligations</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983</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Purchases of property and equipment included in 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(Concluded)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18"/>
        </w:rPr>
      </w:pPr>
      <w:r>
        <w:rPr>
          <w:rFonts w:ascii="Times New Roman;Times;serif" w:hAnsi="Times New Roman;Times;serif"/>
          <w:i/>
          <w:sz w:val="18"/>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23" w:name="_cp_change_3"/>
      <w:bookmarkStart w:id="824" w:name="DescriptionofBusinessOrganizationandLiqu"/>
      <w:bookmarkStart w:id="825" w:name="_cp_change_4"/>
      <w:bookmarkEnd w:id="823"/>
      <w:bookmarkEnd w:id="824"/>
      <w:bookmarkEnd w:id="825"/>
      <w:r>
        <w:rPr>
          <w:rFonts w:ascii="Times New Roman;Times;serif" w:hAnsi="Times New Roman;Times;serif"/>
          <w:b/>
          <w:i w:val="false"/>
          <w:caps w:val="false"/>
          <w:smallCaps w:val="false"/>
          <w:sz w:val="20"/>
        </w:rPr>
        <w:t>1.</w:t>
      </w:r>
      <w:r>
        <w:rPr>
          <w:rFonts w:ascii="Times New Roman;Times;serif" w:hAnsi="Times New Roman;Times;serif"/>
          <w:b/>
          <w:sz w:val="20"/>
        </w:rPr>
        <w:t>Description of Business, Organization and Liquidity</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Business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a reorganization, Lulu’s Fashion Lounge Holdings, Inc., a Delaware Corporation (“Lulus”, “we”, “our”, or the “Company”), was formed on August 25, 2017 as a holding company and its primary asset is an indirect membership interest in Lulu’s Fashion Lounge, LLC (“Lulus LLC”). Prior to the Company’s initial public offering, the Company was majority-owned by Lulu’s Holdings, L.P. (the “LP”). In connection with the Company’s initial public offering, the LP was liquidated.</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Lulus LLC was founded in 1996, starting as a vintage boutique in Chico, CA that began selling online in 2005 and transitioned to a purely online business in 2008. The LP was formed in 2014 as a holding company and purchased 100% of Lulus LLC’s outstanding common stock in 2014. The Company, through Lulus LLC, is a customer-driven, digitally-native, attainable luxury fashion brand for women, offering modern, unapologetically feminine designs at accessible prices for all of life’s fashionable moments.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Macroeconomic Trends on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student loan repayment resumption, as well as world events, wars and domestic and international conflicts, affect overall consumer confidence with respect to current and future economic conditions and continue to impact our sales as discretionary consumer spending levels and shopping behavior fluctuate with these factors. We continue to respond to these factors, as needed, by taking appropriate pricing, promotional and other actions to stimulate customer demand. These factors may continue to have an impact on our business, results of operations, our growth and financial condition.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firstLine="360"/>
        <w:jc w:val="both"/>
        <w:rPr/>
      </w:pPr>
      <w:r>
        <w:rPr/>
        <w:t>​</w:t>
      </w:r>
    </w:p>
    <w:p>
      <w:pPr>
        <w:pStyle w:val="TextBody"/>
        <w:bidi w:val="0"/>
        <w:spacing w:before="0" w:after="200"/>
        <w:ind w:left="0" w:right="0" w:firstLine="360"/>
        <w:jc w:val="both"/>
        <w:rPr>
          <w:rFonts w:ascii="Verdana" w:hAnsi="Verdana"/>
          <w:sz w:val="20"/>
        </w:rPr>
      </w:pPr>
      <w:r>
        <w:rPr>
          <w:rFonts w:ascii="Times New Roman;Times;serif" w:hAnsi="Times New Roman;Times;serif"/>
          <w:sz w:val="20"/>
        </w:rPr>
        <w:t>The accompanying condensed consolidated financial statements have been prepared on a going concern basis, which contemplates the realization of assets and the satisfaction of liabilities in the normal course of business. During the thirteen and twenty-six weeks ended June 30, 2024, the Company incurred net losses of $10.8</w:t>
      </w:r>
      <w:r>
        <w:rPr>
          <w:rFonts w:ascii="Verdana" w:hAnsi="Verdana"/>
          <w:sz w:val="20"/>
        </w:rPr>
        <w:t xml:space="preserve"> </w:t>
      </w:r>
      <w:r>
        <w:rPr>
          <w:rFonts w:ascii="Times New Roman;Times;serif" w:hAnsi="Times New Roman;Times;serif"/>
          <w:sz w:val="20"/>
        </w:rPr>
        <w:t>million and $16.5</w:t>
      </w:r>
      <w:r>
        <w:rPr>
          <w:rFonts w:ascii="Verdana" w:hAnsi="Verdana"/>
          <w:sz w:val="20"/>
        </w:rPr>
        <w:t xml:space="preserve"> </w:t>
      </w:r>
      <w:r>
        <w:rPr>
          <w:rFonts w:ascii="Times New Roman;Times;serif" w:hAnsi="Times New Roman;Times;serif"/>
          <w:sz w:val="20"/>
        </w:rPr>
        <w:t>million, respectively.  </w:t>
      </w:r>
    </w:p>
    <w:p>
      <w:pPr>
        <w:pStyle w:val="TextBody"/>
        <w:bidi w:val="0"/>
        <w:spacing w:before="0" w:after="200"/>
        <w:ind w:left="0" w:right="0" w:firstLine="360"/>
        <w:jc w:val="both"/>
        <w:rPr>
          <w:rFonts w:ascii="Verdana" w:hAnsi="Verdana"/>
          <w:sz w:val="20"/>
        </w:rPr>
      </w:pPr>
      <w:r>
        <w:rPr>
          <w:rFonts w:ascii="Times New Roman;Times;serif" w:hAnsi="Times New Roman;Times;serif"/>
          <w:sz w:val="20"/>
        </w:rPr>
        <w:t>In November 2021 the Company entered into a Credit Agreement (the “2021 Credit Agreement”) with Bank of America to provide a Revolving Facility (the “2021 Revolving Facility”) that provided for borrowings up to $50.0</w:t>
      </w:r>
      <w:r>
        <w:rPr>
          <w:rFonts w:ascii="Verdana" w:hAnsi="Verdana"/>
          <w:sz w:val="20"/>
        </w:rPr>
        <w:t> </w:t>
      </w:r>
      <w:r>
        <w:rPr>
          <w:rFonts w:ascii="Times New Roman;Times;serif" w:hAnsi="Times New Roman;Times;serif"/>
          <w:sz w:val="20"/>
        </w:rPr>
        <w:t xml:space="preserve">million. The 2021 Credit Agreement contained various financial covenants and had a maturity date of November 15, 2024 as described in Note 5, </w:t>
      </w:r>
      <w:r>
        <w:rPr>
          <w:rFonts w:ascii="Times New Roman;Times;serif" w:hAnsi="Times New Roman;Times;serif"/>
          <w:i/>
          <w:sz w:val="20"/>
        </w:rPr>
        <w:t>Debt</w:t>
      </w:r>
      <w:r>
        <w:rPr>
          <w:rFonts w:ascii="Times New Roman;Times;serif" w:hAnsi="Times New Roman;Times;serif"/>
          <w:sz w:val="20"/>
        </w:rPr>
        <w:t>.  As of June 30, 2024, the Company had total cash and cash equivalents of $1.8</w:t>
      </w:r>
      <w:r>
        <w:rPr>
          <w:rFonts w:ascii="Verdana" w:hAnsi="Verdana"/>
          <w:sz w:val="20"/>
        </w:rPr>
        <w:t xml:space="preserve"> </w:t>
      </w:r>
      <w:r>
        <w:rPr>
          <w:rFonts w:ascii="Times New Roman;Times;serif" w:hAnsi="Times New Roman;Times;serif"/>
          <w:sz w:val="20"/>
        </w:rPr>
        <w:t>million and no</w:t>
      </w:r>
      <w:r>
        <w:rPr>
          <w:rFonts w:ascii="Verdana" w:hAnsi="Verdana"/>
          <w:sz w:val="20"/>
        </w:rPr>
        <w:t xml:space="preserve"> </w:t>
      </w:r>
      <w:r>
        <w:rPr>
          <w:rFonts w:ascii="Times New Roman;Times;serif" w:hAnsi="Times New Roman;Times;serif"/>
          <w:sz w:val="20"/>
        </w:rPr>
        <w:t>amounts due under the 2021 Revolving Facility.  </w:t>
      </w:r>
    </w:p>
    <w:p>
      <w:pPr>
        <w:pStyle w:val="TextBody"/>
        <w:bidi w:val="0"/>
        <w:spacing w:before="0" w:after="200"/>
        <w:ind w:left="0" w:right="0" w:firstLine="360"/>
        <w:jc w:val="both"/>
        <w:rPr>
          <w:rFonts w:ascii="Verdana" w:hAnsi="Verdana"/>
          <w:sz w:val="20"/>
        </w:rPr>
      </w:pPr>
      <w:r>
        <w:rPr>
          <w:rFonts w:ascii="Times New Roman;Times;serif" w:hAnsi="Times New Roman;Times;serif"/>
          <w:sz w:val="20"/>
        </w:rPr>
        <w:t xml:space="preserve">On July 22, 2024, the Company entered into an amendment to the 2021 Credit Agreement (the “2024 Amended Credit Agreement”) as described in Note 13, </w:t>
      </w:r>
      <w:r>
        <w:rPr>
          <w:rFonts w:ascii="Times New Roman;Times;serif" w:hAnsi="Times New Roman;Times;serif"/>
          <w:i/>
          <w:sz w:val="20"/>
        </w:rPr>
        <w:t>Subsequent Events</w:t>
      </w:r>
      <w:r>
        <w:rPr>
          <w:rFonts w:ascii="Times New Roman;Times;serif" w:hAnsi="Times New Roman;Times;serif"/>
          <w:sz w:val="20"/>
        </w:rPr>
        <w:t>.</w:t>
      </w:r>
    </w:p>
    <w:p>
      <w:pPr>
        <w:pStyle w:val="TextBody"/>
        <w:bidi w:val="0"/>
        <w:spacing w:before="0" w:after="200"/>
        <w:ind w:left="0" w:right="0" w:firstLine="360"/>
        <w:jc w:val="both"/>
        <w:rPr>
          <w:rFonts w:ascii="Verdana" w:hAnsi="Verdana"/>
          <w:sz w:val="20"/>
        </w:rPr>
      </w:pPr>
      <w:r>
        <w:rPr>
          <w:rFonts w:ascii="Times New Roman;Times;serif" w:hAnsi="Times New Roman;Times;serif"/>
          <w:sz w:val="20"/>
        </w:rPr>
        <w:t>The Company continues to take certain cash conservation measures, including adjustments to marketing and other variable and capital spend to meet its obligations as needed. As the ability to raise additional debt financing is outside of management’s control, we cannot conclude that management’s plans will be effectively implemented within twelve months from the date the condensed consolidated financial statements are issued. Accordingly, we have concluded that these plans do not alleviate substantial doubt about our ability to continue as a going concern. The condensed consolidated financial statements do not reflect any adjustments relating to the outcome of this uncertainty</w:t>
      </w:r>
      <w:r>
        <w:rPr>
          <w:rFonts w:ascii="Verdana" w:hAnsi="Verdana"/>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Fiscal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fiscal year consists of a 52-week or 53-week period ending on the Sunday nearest December 31. The fiscal years ending December 29, 2024 and ended December 31, 2023 consist of 52-weeks.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Unites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June 30, 2024 and its results of operations for the thirteen and twenty-six weeks ended June 30, 2024 and July 2, 2023 and its cash flows for the twenty-six weeks ended June 30, 2024 and July 2, 2023. The results of operations for the twenty-six weeks ended June 30, 2024 are not necessarily indicative of the results to be expected for the fiscal year ending December 29, 2024 or for any other future annual or interim period</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condensed consolidated balance sheet as of December 31, 2023 was derived from the Company’s audited consolidated financial statements, which are included in the Company’s Annual Report on Form 10-K as filed with the SEC on March 6, 2024.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are consistent with those discussed in Note 2 to the audited consolidated financial statements included in the Company’s Annual Report on Form 10-K for the year ended December 31, 2023, except as noted below and within the "Recently Issued Accounting Pronouncements" section.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income tax valuation allowance and fair value of equity awards.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Financial instruments that potentially subject the Company to concentrations of credit risk consist of cash, cash equivalents and restricted cash. Such amounts may exceed federally insured limits. The Company reduces credit risk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depositing its cash with a major credit-worthy financial institution within the United States. To date, the Company has not experienced any losses on its cash deposits. As of June 30, 2024 and December 31, 2023,  </w:t>
      </w:r>
      <w:r>
        <w:rPr>
          <w:rFonts w:ascii="Times New Roman;Times;serif" w:hAnsi="Times New Roman;Times;serif"/>
          <w:sz w:val="20"/>
          <w:shd w:fill="FFFFFF" w:val="clear"/>
        </w:rPr>
        <w:t>no single customer represented greater than 10% o</w:t>
      </w:r>
      <w:r>
        <w:rPr>
          <w:rFonts w:ascii="Times New Roman;Times;serif" w:hAnsi="Times New Roman;Times;serif"/>
          <w:sz w:val="20"/>
        </w:rPr>
        <w:t>f the Company’s accounts receivable balance</w:t>
      </w:r>
      <w:r>
        <w:rPr>
          <w:rFonts w:ascii="Times New Roman;Times;serif" w:hAnsi="Times New Roman;Times;serif"/>
          <w:sz w:val="20"/>
          <w:shd w:fill="FFFFFF" w:val="clear"/>
        </w:rPr>
        <w:t>. No customer accounted for greater than 10% of the Company’s net revenue during the thirteen and twenty-six weeks ended June 30, 2024 and July 2,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Leases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The Company adjusts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condensed consolidated balance sheets.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lease expense for operating leases is recognized on a straight-line basis, unless the right-of-use assets have been impaired, over the reasonably assured lease term based on the total lease payments and is included in operating expenses in the condensed consolidated statements of operations and comprehensive loss. Fixed and variable lease expense on operating leases is recognized within operating expenses in the condensed consolidated statements of operations and comprehensive loss.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point of sale for merchandise product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Revenue from merchandise product sales is reported net of sales returns, which includes an estimate of future returns based on historical return rates, with a corresponding reduction to cost of sales. There is judgment in utilizing historical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pBdr/>
        <w:bidi w:val="0"/>
        <w:spacing w:before="0" w:after="0"/>
        <w:ind w:left="0" w:right="0" w:hanging="0"/>
        <w:jc w:val="both"/>
        <w:rPr>
          <w:rFonts w:ascii="Times New Roman;Times;serif" w:hAnsi="Times New Roman;Times;serif"/>
          <w:sz w:val="20"/>
        </w:rPr>
      </w:pPr>
      <w:bookmarkStart w:id="826" w:name="Tc_ce9GfnD_TkC26PLO0lC8ag_9_0"/>
      <w:bookmarkStart w:id="827" w:name="Tc_wZ9x1d7YJ0yFi5YG01vGMw_8_0"/>
      <w:bookmarkStart w:id="828" w:name="Tc_J6dbbKcI8kqkt9zie0Qx9w_7_0"/>
      <w:bookmarkStart w:id="829" w:name="Tc_uIWeYHkOP0KrVudDIBz3Bw_6_0"/>
      <w:bookmarkStart w:id="830" w:name="Tc_7x5fxSzJt0q5bDlKkT84zw_5_0"/>
      <w:bookmarkStart w:id="831" w:name="Tc_mugKr8d3u02xPguXDXTZQg_4_0"/>
      <w:bookmarkStart w:id="832" w:name="Tc_DhBsmpBmgkyu3x10WZkbIw_3_5"/>
      <w:bookmarkStart w:id="833" w:name="Tc_GAGp-oN-0EGzqfswheEkCg_3_2"/>
      <w:bookmarkStart w:id="834" w:name="Tc_6O9kdVONykW3rmQAtjuLJw_3_0"/>
      <w:bookmarkStart w:id="835" w:name="Tc_K5rFfeIcF0OwyvkdjGJ0OQ_2_5"/>
      <w:bookmarkStart w:id="836" w:name="Tc_cFRSQscPE064GbWYubJOJQ_2_2"/>
      <w:bookmarkStart w:id="837" w:name="Tc_M2csF1C1P0ee_wT-EZhRqw_1_5"/>
      <w:bookmarkStart w:id="838" w:name="Tc_S8xCOabWhEuOHv4Nk7jzHw_1_2"/>
      <w:bookmarkStart w:id="839" w:name="_9ccf7e4f_3f92_40c4_bc31_46abeffb666c"/>
      <w:bookmarkStart w:id="840" w:name="Tc_VIm3Nz7-PUWOcWj9Auwb8A_9_0"/>
      <w:bookmarkStart w:id="841" w:name="Tc_41QNrtS4vkW9NBt4TNvhWQ_8_0"/>
      <w:bookmarkStart w:id="842" w:name="Tc_fs2ZbeWYak-KE-aat6FFgA_7_0"/>
      <w:bookmarkStart w:id="843" w:name="Tc_BSoBw4R6vEC4TGlr6I1T6w_6_0"/>
      <w:bookmarkStart w:id="844" w:name="Tc_3uf-ww5m5kqvySN6Kwuh2A_5_0"/>
      <w:bookmarkStart w:id="845" w:name="Tc_VSDBJGkXgEiM_BwKsrm2bA_4_0"/>
      <w:bookmarkStart w:id="846" w:name="Tc_zaHjBRaDz0u9clkz7BYwyQ_3_5"/>
      <w:bookmarkStart w:id="847" w:name="Tc_7wZw2U0eDUGkLo7V_nlYnw_3_2"/>
      <w:bookmarkStart w:id="848" w:name="Tc_KixxI1BfukKrDnkwheWuSA_3_0"/>
      <w:bookmarkStart w:id="849" w:name="Tc_Ic0zwHIFwUWyv4KAAbLwLA_2_5"/>
      <w:bookmarkStart w:id="850" w:name="Tc_zAU_Jp3IAUaXZvQ7ve0LjQ_2_2"/>
      <w:bookmarkStart w:id="851" w:name="Tc_78WCU51VyU6DxoL8QHVOAw_1_5"/>
      <w:bookmarkStart w:id="852" w:name="Tc_qdAsaqNLb0CESgfdHb5Zug_1_2"/>
      <w:bookmarkStart w:id="853" w:name="_47da9e46_bd4d_4bef_ab6b_3c71838dc47f"/>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Pr>
          <w:rFonts w:ascii="Times New Roman;Times;serif" w:hAnsi="Times New Roman;Times;serif"/>
          <w:sz w:val="20"/>
        </w:rPr>
        <w:t>trends for estimating future returns. The Company’s refund liability for sales returns is included in the returns reserve on its condensed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sells stored-value gift cards to customers and offers merchandise credit stored-value cards for certain returns.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w:t>
      </w:r>
      <w:r>
        <w:rPr>
          <w:rFonts w:ascii="Times New Roman;Times;serif" w:hAnsi="Times New Roman;Times;serif"/>
          <w:b w:val="false"/>
          <w:i w:val="false"/>
          <w:caps w:val="false"/>
          <w:smallCaps w:val="false"/>
          <w:sz w:val="20"/>
        </w:rPr>
        <w:t>thirty-six months</w:t>
      </w:r>
      <w:r>
        <w:rPr>
          <w:rFonts w:ascii="Times New Roman;Times;serif" w:hAnsi="Times New Roman;Times;serif"/>
          <w:sz w:val="20"/>
        </w:rPr>
        <w:t> from the date of issuance. The amount of breakage recognized in revenue during the thirteen and twenty-six weeks ended June 30, 2024 and July 2, 2023 was not material.</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significant changes in the contract liabilities balances included in accrued expenses and other current liabilities during the thirteen and twenty-six weeks ended June 30, 2024 and July 2, 2023 (in thousands):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649"/>
        <w:gridCol w:w="326"/>
        <w:gridCol w:w="222"/>
        <w:gridCol w:w="570"/>
        <w:gridCol w:w="326"/>
        <w:gridCol w:w="236"/>
        <w:gridCol w:w="876"/>
      </w:tblGrid>
      <w:tr>
        <w:trPr/>
        <w:tc>
          <w:tcPr>
            <w:tcW w:w="7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857115" cy="175260"/>
                      <wp:effectExtent l="0" t="0" r="0" b="0"/>
                      <wp:wrapNone/>
                      <wp:docPr id="82" name="Frame81"/>
                      <a:graphic xmlns:a="http://schemas.openxmlformats.org/drawingml/2006/main">
                        <a:graphicData uri="http://schemas.microsoft.com/office/word/2010/wordprocessingShape">
                          <wps:wsp>
                            <wps:cNvSpPr txBox="1"/>
                            <wps:spPr>
                              <a:xfrm>
                                <a:off x="0" y="0"/>
                                <a:ext cx="4857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0970" cy="175260"/>
                      <wp:effectExtent l="0" t="0" r="0" b="0"/>
                      <wp:wrapNone/>
                      <wp:docPr id="84" name="Frame8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61950" cy="175260"/>
                      <wp:effectExtent l="0" t="0" r="0" b="0"/>
                      <wp:wrapNone/>
                      <wp:docPr id="85" name="Frame84"/>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49860" cy="175260"/>
                      <wp:effectExtent l="0" t="0" r="0" b="0"/>
                      <wp:wrapNone/>
                      <wp:docPr id="87" name="Frame8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56260" cy="175260"/>
                      <wp:effectExtent l="0" t="0" r="0" b="0"/>
                      <wp:wrapNone/>
                      <wp:docPr id="88" name="Frame87"/>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Deferred </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March 31, 2024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13,209</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5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15,143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90"/>
        <w:gridCol w:w="326"/>
        <w:gridCol w:w="211"/>
        <w:gridCol w:w="540"/>
        <w:gridCol w:w="326"/>
        <w:gridCol w:w="236"/>
        <w:gridCol w:w="876"/>
      </w:tblGrid>
      <w:tr>
        <w:trPr/>
        <w:tc>
          <w:tcPr>
            <w:tcW w:w="7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883150" cy="175260"/>
                      <wp:effectExtent l="0" t="0" r="0" b="0"/>
                      <wp:wrapNone/>
                      <wp:docPr id="89" name="Frame88"/>
                      <a:graphic xmlns:a="http://schemas.openxmlformats.org/drawingml/2006/main">
                        <a:graphicData uri="http://schemas.microsoft.com/office/word/2010/wordprocessingShape">
                          <wps:wsp>
                            <wps:cNvSpPr txBox="1"/>
                            <wps:spPr>
                              <a:xfrm>
                                <a:off x="0" y="0"/>
                                <a:ext cx="4883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42900" cy="175260"/>
                      <wp:effectExtent l="0" t="0" r="0" b="0"/>
                      <wp:wrapNone/>
                      <wp:docPr id="92" name="Frame9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9860" cy="175260"/>
                      <wp:effectExtent l="0" t="0" r="0" b="0"/>
                      <wp:wrapNone/>
                      <wp:docPr id="94" name="Frame93"/>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56260" cy="175260"/>
                      <wp:effectExtent l="0" t="0" r="0" b="0"/>
                      <wp:wrapNone/>
                      <wp:docPr id="95" name="Frame94"/>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10,828</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April 2,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11,130</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July 2,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12,356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854" w:name="Tc_IQPy5Gqkb0Wq90a0-TNrhw_5_7"/>
      <w:bookmarkStart w:id="855" w:name="Tc_ckZVQgeqfkaRbabKpoRtsw_5_4"/>
      <w:bookmarkStart w:id="856" w:name="Tc_gDfUHNR-AUO9j2q74NSe-Q_5_0"/>
      <w:bookmarkStart w:id="857" w:name="Tc_QHsDOyZqNESZi-U9S6UsNw_4_11"/>
      <w:bookmarkStart w:id="858" w:name="Tc_pCn0bhZ_qUqQiUD5zaOAEg_4_7"/>
      <w:bookmarkStart w:id="859" w:name="Tc_jO5I_uDnzU2j6WyiMngvpw_4_4"/>
      <w:bookmarkStart w:id="860" w:name="Tc_5PknNPc6PkumPIop49WHfg_4_2"/>
      <w:bookmarkStart w:id="861" w:name="Tc_dLQmkaXCmU-y6BnIsHw3Jw_4_0"/>
      <w:bookmarkStart w:id="862" w:name="Tc_EI_LHdFC80Oo8JPZrXY8jw_3_11"/>
      <w:bookmarkStart w:id="863" w:name="Tc_mB8JoqLRckKmPQ3M1V6C7A_3_7"/>
      <w:bookmarkStart w:id="864" w:name="Tc_ERQbuk4JN0W4StLaqjVDOw_3_4"/>
      <w:bookmarkStart w:id="865" w:name="Tc_sQH2pnk-Kkiq69FY_WjL_A_3_2"/>
      <w:bookmarkStart w:id="866" w:name="Tc_rgBPIVCjoECRyB3a1KVbIg_2_11"/>
      <w:bookmarkStart w:id="867" w:name="Tc_7BOxyMhukkuekXaUBVNC7Q_2_7"/>
      <w:bookmarkStart w:id="868" w:name="Tc_I6_DIxbdtE6TyxGdqGM9_w_2_4"/>
      <w:bookmarkStart w:id="869" w:name="Tc_FaOY1S9KSEuz2x1Uvcjrcw_2_2"/>
      <w:bookmarkStart w:id="870" w:name="Tc_3oZ9HLCwyk-bkPIZdV6LBw_1_11"/>
      <w:bookmarkStart w:id="871" w:name="_7e49239c_6c12_4e5f_9ef0_afd7ec790ea4"/>
      <w:bookmarkStart w:id="872" w:name="Tc_WfnRNVxB90i1qgmOT_hEoQ_9_0"/>
      <w:bookmarkStart w:id="873" w:name="Tc_0p5LhxnDXU2Emv9pankqSg_8_6"/>
      <w:bookmarkStart w:id="874" w:name="Tc_LO9EEFid6ESj05T1_QnFkw_8_2"/>
      <w:bookmarkStart w:id="875" w:name="Tc_f-h-eYvfA06UWrg9MLn0dA_8_0"/>
      <w:bookmarkStart w:id="876" w:name="Tc_m3lb_IVLtUmkaSMxAY_PnQ_7_0"/>
      <w:bookmarkStart w:id="877" w:name="Tc_Fo7y1VSJUkSw8g0o-Zq6dg_6_0"/>
      <w:bookmarkStart w:id="878" w:name="Tc_fNMJVs97IUWHaQReJA8DYA_5_0"/>
      <w:bookmarkStart w:id="879" w:name="Tc_vaPBqGqoEEuKf_uKb4MMqQ_4_0"/>
      <w:bookmarkStart w:id="880" w:name="Tc_gmq6LTVzL0i4UnCJ_mNw8w_3_0"/>
      <w:bookmarkStart w:id="881" w:name="Tc_ags4JMW8rEiljm_tqhgKNQ_2_8"/>
      <w:bookmarkStart w:id="882" w:name="Tc_9biRVuChoEq3iZr-oimBUw_2_6"/>
      <w:bookmarkStart w:id="883" w:name="Tc_sgdPY4FBdUi-ick9PeQRsA_2_4"/>
      <w:bookmarkStart w:id="884" w:name="Tc_62AzlZb8_U6OSd3NdS95sw_2_2"/>
      <w:bookmarkStart w:id="885" w:name="Tc_Tj2T0vS4rEe8vNU75OB_Pw_1_6"/>
      <w:bookmarkStart w:id="886" w:name="Tc_982aqQX6zECdD6wumzQ8GQ_1_2"/>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Advertising costs included in selling and marketing expenses were $20.0 million and $19.5 million for the thirteen weeks ended </w:t>
      </w:r>
      <w:r>
        <w:rPr>
          <w:rFonts w:ascii="Times New Roman;Times;serif" w:hAnsi="Times New Roman;Times;serif"/>
          <w:sz w:val="20"/>
        </w:rPr>
        <w:t>June 30, 2024 and July 2, 2023</w:t>
      </w:r>
      <w:r>
        <w:rPr>
          <w:rFonts w:ascii="Times New Roman;Times;serif" w:hAnsi="Times New Roman;Times;serif"/>
          <w:sz w:val="20"/>
          <w:shd w:fill="FFFFFF" w:val="clear"/>
        </w:rPr>
        <w:t xml:space="preserve">, respectively, and $33.1 million and $34.5 million for the twenty-six weeks ended </w:t>
      </w:r>
      <w:r>
        <w:rPr>
          <w:rFonts w:ascii="Times New Roman;Times;serif" w:hAnsi="Times New Roman;Times;serif"/>
          <w:sz w:val="20"/>
        </w:rPr>
        <w:t>June 30, 2024 and July 2, 2023</w:t>
      </w:r>
      <w:r>
        <w:rPr>
          <w:rFonts w:ascii="Times New Roman;Times;serif" w:hAnsi="Times New Roman;Times;serif"/>
          <w:sz w:val="20"/>
          <w:shd w:fill="FFFFFF" w:val="clear"/>
        </w:rPr>
        <w:t>, respectively.</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Share Attributable to Common Stockholders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Basic net loss per share attributable to common stockholders is computed using net loss attributable to common stockholders divided by the weighted average number of common shares outstanding during the period. Diluted net loss per share attributable to common stockholders represents net loss attributable to common stockholders divided by the weighted average number of common shares outstanding during the period, including the effects of any dilutive securities outstanding. Due to the net loss for all periods presented, no potentially dilutive securities had an impact on diluted loss per share for any period. </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following securities were excluded from the computation of diluted net loss per share attributable to common stockholders for the periods presented because including them would have been anti-dilutive (on an as-converted basis)</w:t>
      </w:r>
      <w:r>
        <w:rPr>
          <w:rFonts w:ascii="Times New Roman;Times;serif" w:hAnsi="Times New Roman;Times;serif"/>
          <w:sz w:val="20"/>
        </w:rPr>
        <w:t>:</w:t>
      </w:r>
    </w:p>
    <w:p>
      <w:pPr>
        <w:pStyle w:val="TextBody"/>
        <w:bidi w:val="0"/>
        <w:spacing w:before="0" w:after="240"/>
        <w:ind w:left="0" w:right="0" w:firstLine="360"/>
        <w:jc w:val="both"/>
        <w:rPr/>
      </w:pPr>
      <w:r>
        <w:rPr/>
        <w:t>​</w:t>
      </w:r>
    </w:p>
    <w:tbl>
      <w:tblPr>
        <w:tblW w:w="7329" w:type="dxa"/>
        <w:jc w:val="left"/>
        <w:tblInd w:w="0" w:type="dxa"/>
        <w:tblLayout w:type="fixed"/>
        <w:tblCellMar>
          <w:top w:w="0" w:type="dxa"/>
          <w:left w:w="0" w:type="dxa"/>
          <w:bottom w:w="0" w:type="dxa"/>
          <w:right w:w="0" w:type="dxa"/>
        </w:tblCellMar>
      </w:tblPr>
      <w:tblGrid>
        <w:gridCol w:w="2161"/>
        <w:gridCol w:w="109"/>
        <w:gridCol w:w="1126"/>
        <w:gridCol w:w="109"/>
        <w:gridCol w:w="1006"/>
        <w:gridCol w:w="109"/>
        <w:gridCol w:w="1126"/>
        <w:gridCol w:w="266"/>
        <w:gridCol w:w="1006"/>
        <w:gridCol w:w="31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72235" cy="175260"/>
                      <wp:effectExtent l="0" t="0" r="0" b="0"/>
                      <wp:wrapNone/>
                      <wp:docPr id="96" name="Frame95"/>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15010" cy="175260"/>
                      <wp:effectExtent l="0" t="0" r="0" b="0"/>
                      <wp:wrapNone/>
                      <wp:docPr id="98" name="Frame9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38810" cy="175260"/>
                      <wp:effectExtent l="0" t="0" r="0" b="0"/>
                      <wp:wrapNone/>
                      <wp:docPr id="100" name="Frame9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15010" cy="175260"/>
                      <wp:effectExtent l="0" t="0" r="0" b="0"/>
                      <wp:wrapNone/>
                      <wp:docPr id="102" name="Frame10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68910" cy="175260"/>
                      <wp:effectExtent l="0" t="0" r="0" b="0"/>
                      <wp:wrapNone/>
                      <wp:docPr id="103" name="Frame10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38810" cy="175260"/>
                      <wp:effectExtent l="0" t="0" r="0" b="0"/>
                      <wp:wrapNone/>
                      <wp:docPr id="104" name="Frame10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97485" cy="175260"/>
                      <wp:effectExtent l="0" t="0" r="0" b="0"/>
                      <wp:wrapNone/>
                      <wp:docPr id="105" name="Frame104"/>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4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7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 2023</w:t>
            </w:r>
          </w:p>
        </w:tc>
        <w:tc>
          <w:tcPr>
            <w:tcW w:w="109"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26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 2023</w:t>
            </w:r>
          </w:p>
        </w:tc>
        <w:tc>
          <w:tcPr>
            <w:tcW w:w="311" w:type="dxa"/>
            <w:tcBorders/>
            <w:vAlign w:val="center"/>
          </w:tcPr>
          <w:p>
            <w:pPr>
              <w:pStyle w:val="TableContents"/>
              <w:bidi w:val="0"/>
              <w:spacing w:before="0" w:after="0"/>
              <w:ind w:left="0" w:right="0" w:hanging="0"/>
              <w:jc w:val="center"/>
              <w:rPr/>
            </w:pPr>
            <w:r>
              <w:rPr/>
              <w:t>   </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26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11"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Unvested restricted stock</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9,140</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57,287</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9,140</w:t>
            </w:r>
          </w:p>
        </w:tc>
        <w:tc>
          <w:tcPr>
            <w:tcW w:w="26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57,287</w:t>
            </w:r>
          </w:p>
        </w:tc>
        <w:tc>
          <w:tcPr>
            <w:tcW w:w="311"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Unvested RSUs</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4,327,969</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4,033,576</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4,327,969</w:t>
            </w:r>
          </w:p>
        </w:tc>
        <w:tc>
          <w:tcPr>
            <w:tcW w:w="26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4,033,576</w:t>
            </w:r>
          </w:p>
        </w:tc>
        <w:tc>
          <w:tcPr>
            <w:tcW w:w="311"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PSUs</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2,161,571</w:t>
            </w:r>
          </w:p>
        </w:tc>
        <w:tc>
          <w:tcPr>
            <w:tcW w:w="109"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2,161,571</w:t>
            </w:r>
          </w:p>
        </w:tc>
        <w:tc>
          <w:tcPr>
            <w:tcW w:w="26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1,811,571</w:t>
            </w:r>
          </w:p>
        </w:tc>
        <w:tc>
          <w:tcPr>
            <w:tcW w:w="311"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ESPP shares</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103,766</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137,847</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103,766</w:t>
            </w:r>
          </w:p>
        </w:tc>
        <w:tc>
          <w:tcPr>
            <w:tcW w:w="26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137,847</w:t>
            </w:r>
          </w:p>
        </w:tc>
        <w:tc>
          <w:tcPr>
            <w:tcW w:w="311"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2023 Bonus Plan</w:t>
            </w:r>
          </w:p>
        </w:tc>
        <w:tc>
          <w:tcPr>
            <w:tcW w:w="109"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210,381</w:t>
            </w:r>
          </w:p>
        </w:tc>
        <w:tc>
          <w:tcPr>
            <w:tcW w:w="109"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210,381</w:t>
            </w:r>
          </w:p>
        </w:tc>
        <w:tc>
          <w:tcPr>
            <w:tcW w:w="311"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6,763,843</w:t>
            </w:r>
          </w:p>
        </w:tc>
        <w:tc>
          <w:tcPr>
            <w:tcW w:w="109"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6,412,059</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6,763,843</w:t>
            </w:r>
          </w:p>
        </w:tc>
        <w:tc>
          <w:tcPr>
            <w:tcW w:w="266" w:type="dxa"/>
            <w:tcBorders/>
            <w:shd w:fill="CCEEFF" w:val="cle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6,412,059</w:t>
            </w:r>
          </w:p>
        </w:tc>
        <w:tc>
          <w:tcPr>
            <w:tcW w:w="31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shd w:fill="FFFFFF" w:val="clear"/>
        </w:rPr>
        <w:t>2024 Stock</w:t>
      </w:r>
      <w:r>
        <w:rPr>
          <w:rFonts w:ascii="Times New Roman;Times;serif" w:hAnsi="Times New Roman;Times;serif"/>
          <w:sz w:val="20"/>
        </w:rPr>
        <w:t xml:space="preserve"> </w:t>
      </w:r>
      <w:r>
        <w:rPr>
          <w:rFonts w:ascii="Times New Roman;Times;serif" w:hAnsi="Times New Roman;Times;serif"/>
          <w:b/>
          <w:i/>
          <w:sz w:val="20"/>
        </w:rPr>
        <w:t>Repurchase Program</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On May 3, 2024, the Company's Board of Directors authorized a stock repurchase program to repurchase up to $2.5 million of our common stock (the “2024 Repurchase Program”). The actual timing, number, and value of shares repurchased in the future will be determined by the Company in its discretion and will depend on a number of factors, including market conditions, applicable legal requirements, our capital needs, and whether there is a better alternative use of capital.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2024, $2.4 million remained available under the 2024 Repurchase Program authorization. The table below summarizes the share repurchase activity during the thirteen and twenty-six weeks ended June 30, 2024 under our 2024 Repurchase Program:</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51"/>
        <w:gridCol w:w="326"/>
        <w:gridCol w:w="1126"/>
        <w:gridCol w:w="326"/>
        <w:gridCol w:w="373"/>
        <w:gridCol w:w="828"/>
        <w:gridCol w:w="109"/>
        <w:gridCol w:w="211"/>
        <w:gridCol w:w="676"/>
        <w:gridCol w:w="109"/>
        <w:gridCol w:w="109"/>
        <w:gridCol w:w="1861"/>
      </w:tblGrid>
      <w:tr>
        <w:trPr/>
        <w:tc>
          <w:tcPr>
            <w:tcW w:w="4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635885" cy="175260"/>
                      <wp:effectExtent l="0" t="0" r="0" b="0"/>
                      <wp:wrapNone/>
                      <wp:docPr id="106" name="Frame105"/>
                      <a:graphic xmlns:a="http://schemas.openxmlformats.org/drawingml/2006/main">
                        <a:graphicData uri="http://schemas.microsoft.com/office/word/2010/wordprocessingShape">
                          <wps:wsp>
                            <wps:cNvSpPr txBox="1"/>
                            <wps:spPr>
                              <a:xfrm>
                                <a:off x="0" y="0"/>
                                <a:ext cx="263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15010" cy="175260"/>
                      <wp:effectExtent l="0" t="0" r="0" b="0"/>
                      <wp:wrapNone/>
                      <wp:docPr id="108" name="Frame10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36855" cy="175260"/>
                      <wp:effectExtent l="0" t="0" r="0" b="0"/>
                      <wp:wrapNone/>
                      <wp:docPr id="110" name="Frame109"/>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25780" cy="175260"/>
                      <wp:effectExtent l="0" t="0" r="0" b="0"/>
                      <wp:wrapNone/>
                      <wp:docPr id="111" name="Frame110"/>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9260" cy="175260"/>
                      <wp:effectExtent l="0" t="0" r="0" b="0"/>
                      <wp:wrapNone/>
                      <wp:docPr id="114" name="Frame1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181735" cy="175260"/>
                      <wp:effectExtent l="0" t="0" r="0" b="0"/>
                      <wp:wrapNone/>
                      <wp:docPr id="117" name="Frame116"/>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w:t>
            </w:r>
          </w:p>
        </w:tc>
      </w:tr>
      <w:tr>
        <w:trPr/>
        <w:tc>
          <w:tcPr>
            <w:tcW w:w="4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 Yet</w:t>
            </w:r>
          </w:p>
        </w:tc>
      </w:tr>
      <w:tr>
        <w:trPr/>
        <w:tc>
          <w:tcPr>
            <w:tcW w:w="4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 Under</w:t>
            </w:r>
          </w:p>
        </w:tc>
      </w:tr>
      <w:tr>
        <w:trPr/>
        <w:tc>
          <w:tcPr>
            <w:tcW w:w="41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Purchased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Price </w:t>
            </w:r>
            <w:r>
              <w:rPr>
                <w:rFonts w:ascii="Times New Roman;Times;serif" w:hAnsi="Times New Roman;Times;serif"/>
                <w:b/>
                <w:sz w:val="12"/>
              </w:rPr>
              <w:t>(2)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Plan</w:t>
            </w:r>
          </w:p>
        </w:tc>
      </w:tr>
      <w:tr>
        <w:trPr/>
        <w:tc>
          <w:tcPr>
            <w:tcW w:w="4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Thirteen and twenty-six weeks ended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47,850</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87,243</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2,412,757</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shares of common stock were purchased in open market transactions pursuant to a 10b5-1 purchase plan entered into by the Company</w:t>
            </w:r>
            <w:r>
              <w:rPr>
                <w:rFonts w:ascii="Times New Roman;Times;serif" w:hAnsi="Times New Roman;Times;serif"/>
                <w:b w:val="false"/>
                <w:i w:val="false"/>
                <w:caps w:val="false"/>
                <w:smallCaps w:val="false"/>
                <w:sz w:val="20"/>
              </w:rPr>
              <w:t>.</w:t>
            </w:r>
          </w:p>
        </w:tc>
      </w:tr>
    </w:tbl>
    <w:tbl>
      <w:tblPr>
        <w:tblW w:w="3666" w:type="dxa"/>
        <w:jc w:val="left"/>
        <w:tblInd w:w="0" w:type="dxa"/>
        <w:tblLayout w:type="fixed"/>
        <w:tblCellMar>
          <w:top w:w="28" w:type="dxa"/>
          <w:left w:w="28" w:type="dxa"/>
          <w:bottom w:w="28" w:type="dxa"/>
          <w:right w:w="28" w:type="dxa"/>
        </w:tblCellMar>
      </w:tblPr>
      <w:tblGrid>
        <w:gridCol w:w="124"/>
        <w:gridCol w:w="331"/>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broker commissions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Goodwill and 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tests for goodwill impairment at the reporting unit level on the first day of the fourth quarter of each year and between annual tests if significant indicators exist that would suggest the Company's goodwill and intangible assets could potentially be impaired.  The Company monitors changing business conditions as well as industry and economic factors, among others, for events which could trigger the need for an interim impairment analysis. The Company concluded that a sustained decline in its stock price coupled with continuing net losses, were significant enough factors to warrant an impairment analysis of its goodwill, tradename and intangible assets (which constitutes the Company's sole reporting unit) during the thirteen weeks ended March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Accordingly, the Company performed an interim quantitative assessment as of March 31, 2024 using a market-based quantitative assessment utilizing a combination of the (i) the guideline public company method applying revenue and EBITDA multiples of similar companies and (ii) the discounted cash flow method. The fair value determination used in the impairment assessment requires estimates of the fair values based on present value or other valuation techniques or a combination thereof, necessitating subjective judgments and assumptions by management. These estimates and assumptions could result in significant differences to the amounts reported if underlying circumstances were to change. The results from the quantitative assessment indicated that the fair value exceeded the carrying value by approximately 17%.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June 30, 2024, the Company </w:t>
      </w:r>
      <w:r>
        <w:rPr>
          <w:rFonts w:ascii="Times New Roman;Times;serif" w:hAnsi="Times New Roman;Times;serif"/>
          <w:sz w:val="20"/>
          <w:shd w:fill="FFFFFF" w:val="clear"/>
        </w:rPr>
        <w:t>performed a qualitative assessment of its goodwill</w:t>
      </w:r>
      <w:r>
        <w:rPr>
          <w:rFonts w:ascii="Times New Roman;Times;serif" w:hAnsi="Times New Roman;Times;serif"/>
          <w:sz w:val="20"/>
        </w:rPr>
        <w:t>, tradename and intangible assets</w:t>
      </w:r>
      <w:r>
        <w:rPr>
          <w:rFonts w:ascii="Times New Roman;Times;serif" w:hAnsi="Times New Roman;Times;serif"/>
          <w:sz w:val="20"/>
          <w:shd w:fill="FFFFFF" w:val="clear"/>
        </w:rPr>
        <w:t xml:space="preserve"> and determined that it is more likely than not that the fair value of its reporting unit exceeds the carrying value of the reporting unit. As a result, there was no </w:t>
      </w:r>
      <w:r>
        <w:rPr>
          <w:rFonts w:ascii="Times New Roman;Times;serif" w:hAnsi="Times New Roman;Times;serif"/>
          <w:sz w:val="20"/>
        </w:rPr>
        <w:t xml:space="preserve">impairment relating to the goodwill, tradename and intangible assets as of </w:t>
      </w:r>
      <w:r>
        <w:rPr>
          <w:rFonts w:ascii="Times New Roman;Times;serif" w:hAnsi="Times New Roman;Times;serif"/>
          <w:sz w:val="20"/>
          <w:shd w:fill="FFFFFF" w:val="clear"/>
        </w:rPr>
        <w:t>June 30, 2024.</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2023, FASB issued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which updates reportable segment disclosure requirements primarily through enhanced disclosures about significant segment expenses and information used to assess segment performance. ASU 2023-07 is effective for annual periods beginning after December 15, 2023, and interim periods within fiscal years beginning after December 15, 2024, with early adoption permitted. The amendments should be applied retrospectively to all prior periods presented in the financial statements. We are currently evaluating the effects of this pronouncement on our consolidated financial statements and related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2023, FASB issued ASU 2023-09, </w:t>
      </w:r>
      <w:r>
        <w:rPr>
          <w:rFonts w:ascii="Times New Roman;Times;serif" w:hAnsi="Times New Roman;Times;serif"/>
          <w:i/>
          <w:sz w:val="20"/>
        </w:rPr>
        <w:t>Income Taxes (Topic 740): Improvements to Income Tax Disclosures, </w:t>
      </w:r>
      <w:r>
        <w:rPr>
          <w:rFonts w:ascii="Times New Roman;Times;serif" w:hAnsi="Times New Roman;Times;serif"/>
          <w:sz w:val="20"/>
        </w:rPr>
        <w:t xml:space="preserve">which amends existing income tax disclosure guidance, primarily requiring more detailed disclosure for income taxes paid and the effective tax rate reconciliation. ASU 2023-09 is effective for annual reporting periods beginning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December 15, 2024, with early adoption permitted and can be applied on either a prospective or retroactive basis. We are currently evaluating this pronouncement to determine its impact on our income tax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2024, FASB issued ASU 2024-01, </w:t>
      </w:r>
      <w:r>
        <w:rPr>
          <w:rFonts w:ascii="Times New Roman;Times;serif" w:hAnsi="Times New Roman;Times;serif"/>
          <w:i/>
          <w:sz w:val="20"/>
        </w:rPr>
        <w:t>Compensation—Stock Compensation (Topic 718): Scope Application of Profits Interest and Similar Awards, </w:t>
      </w:r>
      <w:r>
        <w:rPr>
          <w:rFonts w:ascii="Times New Roman;Times;serif" w:hAnsi="Times New Roman;Times;serif"/>
          <w:sz w:val="20"/>
        </w:rPr>
        <w:t>which is intended to reduce complexity in determining whether a profits interest award is subject to the guidance in Topic 718 and existing diversity in practice. ASU 2024-01 is effective for annual reporting periods beginning after December 15, 2024, with early adoption permitted and can be applied on either a prospective or retroactive basis. We are currently evaluating this pronouncement to determine its impact on our stock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March 2024, FASB issued ASU 2024-02, </w:t>
      </w:r>
      <w:r>
        <w:rPr>
          <w:rFonts w:ascii="Times New Roman;Times;serif" w:hAnsi="Times New Roman;Times;serif"/>
          <w:i/>
          <w:sz w:val="20"/>
        </w:rPr>
        <w:t>Codification Improvements—Amendments to Remove References to the Concepts Statements, </w:t>
      </w:r>
      <w:r>
        <w:rPr>
          <w:rFonts w:ascii="Times New Roman;Times;serif" w:hAnsi="Times New Roman;Times;serif"/>
          <w:sz w:val="20"/>
        </w:rPr>
        <w:t>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We are currently evaluating this pronouncement to determine its impact on our stock compensation.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Fair Value Measurements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financial instruments consist of cash and cash equivalents, restricted cash, accounts payable, accrued expenses and revolving line of credit. As of June 30, 2024 and December 31, 2023, the carrying values of cash and cash equivalents, restricted cash, accounts payable and accrued expenses and other current liabilities approximate fair value due to their short-term maturities. The fair value of the Company’s 2021 Revolving Facility that provides for borrowings up to $50.0 million (see Note 5, </w:t>
      </w:r>
      <w:r>
        <w:rPr>
          <w:rFonts w:ascii="Times New Roman;Times;serif" w:hAnsi="Times New Roman;Times;serif"/>
          <w:i/>
          <w:sz w:val="20"/>
        </w:rPr>
        <w:t>Debt</w:t>
      </w:r>
      <w:r>
        <w:rPr>
          <w:rFonts w:ascii="Times New Roman;Times;serif" w:hAnsi="Times New Roman;Times;serif"/>
          <w:sz w:val="20"/>
        </w:rPr>
        <w:t>) approximates its carrying value as the stated interest rates reset daily at the daily secured overnight financing rate (“SOFR”) plus an applicable margin and, as such, approximate market rates currently available to the Company. The Company does not have any financial instruments that were determined to be Level 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87" w:name="Tc_nVNqm5qkn0ykHyhuLTthyA_9_7"/>
      <w:bookmarkStart w:id="888" w:name="Tc_vMvU2T5OQ0eIZI7JVW3Gpg_9_4"/>
      <w:bookmarkStart w:id="889" w:name="Tc_ODJhq7YSVkOVykiVXRSbHg_9_0"/>
      <w:bookmarkStart w:id="890" w:name="Tc_atzeipo4tU-CL0ZExZLjdQ_8_0"/>
      <w:bookmarkStart w:id="891" w:name="Tc_EiVP1-jCkE-POmxQG9odPA_7_0"/>
      <w:bookmarkStart w:id="892" w:name="Tc_w9dxuRCZOkG-1xHdqFVQkw_6_0"/>
      <w:bookmarkStart w:id="893" w:name="Tc_wEv_QcitAECLNwWRJ0xiCg_5_2"/>
      <w:bookmarkStart w:id="894" w:name="Tc_bDCHWcVFqEa8h45xN7-CaQ_5_0"/>
      <w:bookmarkStart w:id="895" w:name="Tc_w3JZoD_0dEyYKQgcE_k8tg_4_2"/>
      <w:bookmarkStart w:id="896" w:name="Tc_7I1a-U8wgEu8jyQZvLxcfg_4_0"/>
      <w:bookmarkStart w:id="897" w:name="Tc_u_LbEBgdw0KVF75NGxXlkw_3_7"/>
      <w:bookmarkStart w:id="898" w:name="Tc_wRUmNxsALEqDGtQzIlV4kQ_3_4"/>
      <w:bookmarkStart w:id="899" w:name="Tc_0N_AJ_gwA0SE0SmiqPr2xg_3_2"/>
      <w:bookmarkStart w:id="900" w:name="Tc_5NEqa3saZUyB5w_FMFaqGw_3_0"/>
      <w:bookmarkStart w:id="901" w:name="Tc_1jNNW4usrECLy5EDiHHjEQ_2_7"/>
      <w:bookmarkStart w:id="902" w:name="Tc_GUsELJvhRUm_Vlgnkd3xoA_2_4"/>
      <w:bookmarkStart w:id="903" w:name="Tc_v8vHDDLBQEW3GDauZLl2nA_2_2"/>
      <w:bookmarkStart w:id="904" w:name="Tc_YLx6bpoREkSiZrsgd1_w3w_1_7"/>
      <w:bookmarkStart w:id="905" w:name="Tc_Xi4t1kKgcEOhEEZc3jxYpQ_1_4"/>
      <w:bookmarkStart w:id="906" w:name="Tc_2CBbfRZGM0qM5GFq9e_4Kw_1_2"/>
      <w:bookmarkStart w:id="907" w:name="_4783ab0d_9cbd_42c1_a325_d295bf15ac19"/>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r>
        <w:rPr>
          <w:rFonts w:ascii="Times New Roman;Times;serif" w:hAnsi="Times New Roman;Times;serif"/>
          <w:b/>
          <w:i w:val="false"/>
          <w:caps w:val="false"/>
          <w:smallCaps w:val="false"/>
          <w:sz w:val="20"/>
        </w:rPr>
        <w:t>4.</w:t>
      </w:r>
      <w:r>
        <w:rPr>
          <w:rFonts w:ascii="Times New Roman;Times;serif" w:hAnsi="Times New Roman;Times;serif"/>
          <w:b/>
          <w:sz w:val="20"/>
        </w:rPr>
        <w:t>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consisted of the following (in thousands):</w:t>
      </w:r>
    </w:p>
    <w:p>
      <w:pPr>
        <w:pStyle w:val="TextBody"/>
        <w:bidi w:val="0"/>
        <w:spacing w:before="0" w:after="240"/>
        <w:ind w:left="0" w:right="0" w:firstLine="360"/>
        <w:jc w:val="both"/>
        <w:rPr/>
      </w:pPr>
      <w:r>
        <w:rPr/>
        <w:t>​</w:t>
      </w:r>
    </w:p>
    <w:tbl>
      <w:tblPr>
        <w:tblW w:w="8872" w:type="dxa"/>
        <w:jc w:val="left"/>
        <w:tblInd w:w="0" w:type="dxa"/>
        <w:tblLayout w:type="fixed"/>
        <w:tblCellMar>
          <w:top w:w="0" w:type="dxa"/>
          <w:left w:w="0" w:type="dxa"/>
          <w:bottom w:w="0" w:type="dxa"/>
          <w:right w:w="0" w:type="dxa"/>
        </w:tblCellMar>
      </w:tblPr>
      <w:tblGrid>
        <w:gridCol w:w="4111"/>
        <w:gridCol w:w="326"/>
        <w:gridCol w:w="1741"/>
        <w:gridCol w:w="326"/>
        <w:gridCol w:w="211"/>
        <w:gridCol w:w="691"/>
        <w:gridCol w:w="326"/>
        <w:gridCol w:w="254"/>
        <w:gridCol w:w="8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610485" cy="175260"/>
                      <wp:effectExtent l="0" t="0" r="0" b="0"/>
                      <wp:wrapNone/>
                      <wp:docPr id="118" name="Frame117"/>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105535" cy="175260"/>
                      <wp:effectExtent l="0" t="0" r="0" b="0"/>
                      <wp:wrapNone/>
                      <wp:docPr id="120" name="Frame119"/>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38785" cy="175260"/>
                      <wp:effectExtent l="0" t="0" r="0" b="0"/>
                      <wp:wrapNone/>
                      <wp:docPr id="123" name="Frame1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61290" cy="175260"/>
                      <wp:effectExtent l="0" t="0" r="0" b="0"/>
                      <wp:wrapNone/>
                      <wp:docPr id="125" name="Frame12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62610" cy="175260"/>
                      <wp:effectExtent l="0" t="0" r="0" b="0"/>
                      <wp:wrapNone/>
                      <wp:docPr id="126" name="Frame12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3</w:t>
            </w:r>
            <w:r>
              <w:rPr>
                <w:rFonts w:ascii="Times New Roman;Times;serif" w:hAnsi="Times New Roman;Times;serif"/>
                <w:sz w:val="24"/>
              </w:rPr>
              <w:t xml:space="preserve"> – </w:t>
            </w: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4,888</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3</w:t>
            </w:r>
            <w:r>
              <w:rPr>
                <w:rFonts w:ascii="Times New Roman;Times;serif" w:hAnsi="Times New Roman;Times;serif"/>
                <w:sz w:val="24"/>
              </w:rPr>
              <w:t xml:space="preserve"> – </w:t>
            </w: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3,773</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3</w:t>
            </w:r>
            <w:r>
              <w:rPr>
                <w:rFonts w:ascii="Times New Roman;Times;serif" w:hAnsi="Times New Roman;Times;serif"/>
                <w:sz w:val="24"/>
              </w:rPr>
              <w:t xml:space="preserve"> – </w:t>
            </w: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10,729</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10,206</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(6,036)</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(5,494)</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4,693</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4,712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of property and equipment for the thirteen weeks ended June 30, 2024 and July 2, 2023 was $0.8 million and $0.7 million, respectively, and </w:t>
      </w:r>
      <w:r>
        <w:rPr>
          <w:rFonts w:ascii="Times New Roman;Times;serif" w:hAnsi="Times New Roman;Times;serif"/>
          <w:sz w:val="20"/>
          <w:shd w:fill="FFFFFF" w:val="clear"/>
        </w:rPr>
        <w:t xml:space="preserve">for the twenty-six weeks ended </w:t>
      </w:r>
      <w:r>
        <w:rPr>
          <w:rFonts w:ascii="Times New Roman;Times;serif" w:hAnsi="Times New Roman;Times;serif"/>
          <w:sz w:val="20"/>
        </w:rPr>
        <w:t>June 30, 2024 and July 2, 2023</w:t>
      </w:r>
      <w:r>
        <w:rPr>
          <w:rFonts w:ascii="Times New Roman;Times;serif" w:hAnsi="Times New Roman;Times;serif"/>
          <w:sz w:val="20"/>
          <w:shd w:fill="FFFFFF" w:val="clear"/>
        </w:rPr>
        <w:t>, was $1.6 million and $1.4 million, respectively</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908" w:name="Tc_LrYIbNPXq0KOwp00RwcvqA_8_5"/>
      <w:bookmarkStart w:id="909" w:name="Tc_ElrEB5Gxd0y5OTzRbFZbBA_8_2"/>
      <w:bookmarkStart w:id="910" w:name="Tc_SJ3FA-7rkECB8wHI-PMPaA_8_0"/>
      <w:bookmarkStart w:id="911" w:name="Tc_C4z_Xt8ueUWPt73g6V3ytg_7_0"/>
      <w:bookmarkStart w:id="912" w:name="Tc_OecTPppZj0y_OeIXpNZB7g_6_0"/>
      <w:bookmarkStart w:id="913" w:name="Tc_kbRiWxYTZ0mUCnE6yJX2UQ_5_0"/>
      <w:bookmarkStart w:id="914" w:name="Tc_IXUaX-7aUkKImcENe88WCg_4_0"/>
      <w:bookmarkStart w:id="915" w:name="Tc_hWg4c7QLD0ub4cNAgmI6qQ_3_5"/>
      <w:bookmarkStart w:id="916" w:name="Tc_AbZ6XDXE3UWjqlIIZf73EA_3_2"/>
      <w:bookmarkStart w:id="917" w:name="Tc_FAlpjJZoVkylLdtmpIPVGQ_3_0"/>
      <w:bookmarkStart w:id="918" w:name="Tc_NEWn0pfKQEu4c-BmN7wFTA_2_5"/>
      <w:bookmarkStart w:id="919" w:name="Tc_pTk6apr9pUSyP_pPoXjXPQ_2_2"/>
      <w:bookmarkStart w:id="920" w:name="Tc_uE2-dvrjFEihb3uHgdntXQ_1_5"/>
      <w:bookmarkStart w:id="921" w:name="Tc_SgcF8bQJzUSoFnkRo6BkvA_1_2"/>
      <w:bookmarkStart w:id="922" w:name="_460b0449_a0d3_4593_8467_82a82ef1c094"/>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Pr>
          <w:rFonts w:ascii="Times New Roman;Times;serif" w:hAnsi="Times New Roman;Times;serif"/>
          <w:b/>
          <w:i/>
          <w:sz w:val="20"/>
        </w:rPr>
        <w:t>Accrued Expenses and Other Current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240"/>
        <w:ind w:left="0" w:right="0" w:firstLine="360"/>
        <w:jc w:val="both"/>
        <w:rPr/>
      </w:pPr>
      <w:r>
        <w:rPr/>
        <w:t>​</w:t>
      </w:r>
    </w:p>
    <w:tbl>
      <w:tblPr>
        <w:tblW w:w="6288" w:type="dxa"/>
        <w:jc w:val="left"/>
        <w:tblInd w:w="0" w:type="dxa"/>
        <w:tblLayout w:type="fixed"/>
        <w:tblCellMar>
          <w:top w:w="0" w:type="dxa"/>
          <w:left w:w="0" w:type="dxa"/>
          <w:bottom w:w="0" w:type="dxa"/>
          <w:right w:w="0" w:type="dxa"/>
        </w:tblCellMar>
      </w:tblPr>
      <w:tblGrid>
        <w:gridCol w:w="3826"/>
        <w:gridCol w:w="326"/>
        <w:gridCol w:w="211"/>
        <w:gridCol w:w="676"/>
        <w:gridCol w:w="109"/>
        <w:gridCol w:w="242"/>
        <w:gridCol w:w="898"/>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429510" cy="175260"/>
                      <wp:effectExtent l="0" t="0" r="0" b="0"/>
                      <wp:wrapNone/>
                      <wp:docPr id="127" name="Frame126"/>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29260" cy="175260"/>
                      <wp:effectExtent l="0" t="0" r="0" b="0"/>
                      <wp:wrapNone/>
                      <wp:docPr id="130" name="Frame1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53670" cy="175260"/>
                      <wp:effectExtent l="0" t="0" r="0" b="0"/>
                      <wp:wrapNone/>
                      <wp:docPr id="132" name="Frame13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70230" cy="175260"/>
                      <wp:effectExtent l="0" t="0" r="0" b="0"/>
                      <wp:wrapNone/>
                      <wp:docPr id="133" name="Frame13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4,928</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5,057</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7,880</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8,746</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4,151</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freight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2,193</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27,664</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18,343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Debt</w:t>
      </w:r>
    </w:p>
    <w:p>
      <w:pPr>
        <w:pStyle w:val="TextBody"/>
        <w:shd w:fill="FFFFFF" w:val="clea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2021 Credit Agreement and 2021 Revolving Facility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15, 2021, we entered into the 2021 Credit Agreement with Bank of America to provide the 2021 Revolving Facility that provided for borrowings up to $50.0 million. </w:t>
      </w:r>
      <w:r>
        <w:rPr>
          <w:rFonts w:ascii="Times New Roman;Times;serif" w:hAnsi="Times New Roman;Times;serif"/>
          <w:sz w:val="20"/>
          <w:shd w:fill="FFFFFF" w:val="clear"/>
        </w:rPr>
        <w:t>During the term of the 2021 Credit Agreement, the Company could have increased the aggregate amount of the 2021 Revolving Facility up to an additional $</w:t>
      </w:r>
      <w:r>
        <w:rPr>
          <w:rFonts w:ascii="Times New Roman;Times;serif" w:hAnsi="Times New Roman;Times;serif"/>
          <w:sz w:val="20"/>
        </w:rPr>
        <w:t>25.0</w:t>
      </w:r>
      <w:r>
        <w:rPr>
          <w:rFonts w:ascii="Times New Roman;Times;serif" w:hAnsi="Times New Roman;Times;serif"/>
          <w:sz w:val="20"/>
          <w:shd w:fill="FFFFFF" w:val="clear"/>
        </w:rPr>
        <w:t> million (for maximum aggregate lender commitments of up to $</w:t>
      </w:r>
      <w:r>
        <w:rPr>
          <w:rFonts w:ascii="Times New Roman;Times;serif" w:hAnsi="Times New Roman;Times;serif"/>
          <w:sz w:val="20"/>
        </w:rPr>
        <w:t>75.0</w:t>
      </w:r>
      <w:r>
        <w:rPr>
          <w:rFonts w:ascii="Times New Roman;Times;serif" w:hAnsi="Times New Roman;Times;serif"/>
          <w:sz w:val="20"/>
          <w:shd w:fill="FFFFFF" w:val="clear"/>
        </w:rPr>
        <w:t> million), subject to the satisfaction of certain conditions under the 2021 Credit Agreement, including obtaining the consent of the administrative agent and an increased commitment from existing or new lenders. In addition, the 2021 Credit Agreement could have been used to issue letters of credit up to $</w:t>
      </w:r>
      <w:r>
        <w:rPr>
          <w:rFonts w:ascii="Times New Roman;Times;serif" w:hAnsi="Times New Roman;Times;serif"/>
          <w:sz w:val="20"/>
        </w:rPr>
        <w:t>7.5</w:t>
      </w:r>
      <w:r>
        <w:rPr>
          <w:rFonts w:ascii="Times New Roman;Times;serif" w:hAnsi="Times New Roman;Times;serif"/>
          <w:sz w:val="20"/>
          <w:shd w:fill="FFFFFF" w:val="clear"/>
        </w:rPr>
        <w:t> million. During the twenty-six weeks ended June 30, 2024, the Company borrowed $</w:t>
      </w:r>
      <w:r>
        <w:rPr>
          <w:rFonts w:ascii="Times New Roman;Times;serif" w:hAnsi="Times New Roman;Times;serif"/>
          <w:sz w:val="20"/>
        </w:rPr>
        <w:t>20.0</w:t>
      </w:r>
      <w:r>
        <w:rPr>
          <w:rFonts w:ascii="Times New Roman;Times;serif" w:hAnsi="Times New Roman;Times;serif"/>
          <w:sz w:val="20"/>
          <w:shd w:fill="FFFFFF" w:val="clear"/>
        </w:rPr>
        <w:t> million under the 2021 Revolving Facility and repaid $</w:t>
      </w:r>
      <w:r>
        <w:rPr>
          <w:rFonts w:ascii="Times New Roman;Times;serif" w:hAnsi="Times New Roman;Times;serif"/>
          <w:sz w:val="20"/>
        </w:rPr>
        <w:t>28.0</w:t>
      </w:r>
      <w:r>
        <w:rPr>
          <w:rFonts w:ascii="Times New Roman;Times;serif" w:hAnsi="Times New Roman;Times;serif"/>
          <w:sz w:val="20"/>
          <w:shd w:fill="FFFFFF" w:val="clear"/>
        </w:rPr>
        <w:t xml:space="preserve"> million of the outstanding balance. The 2021 Revolving Facility had a maturity date of November 15, 2024. </w:t>
      </w:r>
      <w:r>
        <w:rPr>
          <w:rFonts w:ascii="Times New Roman;Times;serif" w:hAnsi="Times New Roman;Times;serif"/>
          <w:sz w:val="20"/>
        </w:rPr>
        <w:t xml:space="preserve">On July 22, 2024, we entered into the 2024 Amended Credit Agreement as described in Note 13, </w:t>
      </w:r>
      <w:r>
        <w:rPr>
          <w:rFonts w:ascii="Times New Roman;Times;serif" w:hAnsi="Times New Roman;Times;serif"/>
          <w:i/>
          <w:sz w:val="20"/>
        </w:rPr>
        <w:t>Subsequent Events.</w:t>
      </w:r>
      <w:r>
        <w:rPr>
          <w:rFonts w:ascii="Times New Roman;Times;serif" w:hAnsi="Times New Roman;Times;serif"/>
          <w:sz w:val="20"/>
          <w:shd w:fill="FFFFFF" w:val="clear"/>
        </w:rPr>
        <w:t xml:space="preserve"> As of June 30, 2024, the Company had $</w:t>
      </w:r>
      <w:r>
        <w:rPr>
          <w:rFonts w:ascii="Times New Roman;Times;serif" w:hAnsi="Times New Roman;Times;serif"/>
          <w:sz w:val="20"/>
        </w:rPr>
        <w:t>0.3</w:t>
      </w:r>
      <w:r>
        <w:rPr>
          <w:rFonts w:ascii="Times New Roman;Times;serif" w:hAnsi="Times New Roman;Times;serif"/>
          <w:sz w:val="20"/>
          <w:shd w:fill="FFFFFF" w:val="clear"/>
        </w:rPr>
        <w:t> million outstanding under the Letter of Credit. Subject to the satisfaction of certain conditions under the 2021 Credit Agreement, as of June 30, 2024, the Company had $</w:t>
      </w:r>
      <w:r>
        <w:rPr>
          <w:rFonts w:ascii="Times New Roman;Times;serif" w:hAnsi="Times New Roman;Times;serif"/>
          <w:sz w:val="20"/>
        </w:rPr>
        <w:t>49.7</w:t>
      </w:r>
      <w:r>
        <w:rPr>
          <w:rFonts w:ascii="Times New Roman;Times;serif" w:hAnsi="Times New Roman;Times;serif"/>
          <w:sz w:val="20"/>
          <w:shd w:fill="FFFFFF" w:val="clear"/>
        </w:rPr>
        <w:t> million available for borrowing under the 2021 Revolving Facility and $</w:t>
      </w:r>
      <w:r>
        <w:rPr>
          <w:rFonts w:ascii="Times New Roman;Times;serif" w:hAnsi="Times New Roman;Times;serif"/>
          <w:sz w:val="20"/>
        </w:rPr>
        <w:t>7.2</w:t>
      </w:r>
      <w:r>
        <w:rPr>
          <w:rFonts w:ascii="Times New Roman;Times;serif" w:hAnsi="Times New Roman;Times;serif"/>
          <w:sz w:val="20"/>
          <w:shd w:fill="FFFFFF" w:val="clear"/>
        </w:rPr>
        <w:t> million available to issue under letters of credit.</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All borrowings under the 2021 Credit Agreement accrued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The 2021 Revolving Facility contained a financial maintenance covenant requiring a maximum total leverage ratio of no more than 2.50:1.00, stepping down to 2.00:1.00 after 18 months. Additionally, a commitment fee of 37.5 basis points was assessed on unused commitments under the 2021 Revolving Facility, taking into account the sum of outstanding borrowings and letter of credit obligations. As of June 30, 2024, the interest rate for the 2021 Revolving Facility was 7.2%, and during the thirteen and twenty-six weeks ended June 30, 2024, the weighted average interest rate for the 2021 Revolving Facility was 10.1% and 8.8%, respectively. </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Amounts borrowed under the 2021 Credit Agreement were collateralized by all assets of the Company. The 2021 Credit Agreement contained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 Immediately upon the occurrence and during the continuance of an event of default, including the noncompliance with the above covenants, the lender could have increased the interest rate per annum by 2.0% above the rate that would be otherwise applicable. As of June 30, 2024, management determined that the Company was in compliance with all financial covenants.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Debt Discounts and Issuance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Debt discounts and issuance costs are deferred and amortized over the life of the related loan using the effective interest method. The associated expense is included in interest expense in the consolidated statements of operations and comprehensive loss. Debt issuance costs related to the 2021 Revolving Facility, are included in other non-current assets in the consolidated balance sheets. As of June 30, 2024 and December 31, 2023, unamortized debt issuance costs recorded within other non-current assets were $0.1 million and $0.1 million, respectively</w:t>
      </w:r>
      <w:r>
        <w:rPr>
          <w:rFonts w:ascii="Times New Roman;Times;serif" w:hAnsi="Times New Roman;Times;serif"/>
          <w:sz w:val="20"/>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3, 2022, the Company adopted ASC 842 using the alternative transition method and applied the standard only to leases that existed at that date. Under the alternative transition method, the Company did need to restate the comparative periods in transition and will continue to present financial information and disclosures for periods before January 3, 2022, in accordance with FASB ASC 840, </w:t>
      </w:r>
      <w:r>
        <w:rPr>
          <w:rFonts w:ascii="Times New Roman;Times;serif" w:hAnsi="Times New Roman;Times;serif"/>
          <w:i/>
          <w:sz w:val="20"/>
        </w:rPr>
        <w:t>Leases</w:t>
      </w:r>
      <w:r>
        <w:rPr>
          <w:rFonts w:ascii="Times New Roman;Times;serif" w:hAnsi="Times New Roman;Times;serif"/>
          <w:sz w:val="20"/>
        </w:rPr>
        <w:t>. The Company elected the practical expedient package, which among other practical expedients, includes the option to retain the historical classification of leases entered into prior to January 3, 2022,</w:t>
      </w:r>
      <w:r>
        <w:rPr>
          <w:rFonts w:ascii="Times New Roman;Times;serif" w:hAnsi="Times New Roman;Times;serif"/>
          <w:sz w:val="20"/>
          <w:shd w:fill="FFFFFF" w:val="clear"/>
        </w:rPr>
        <w:t> </w:t>
      </w:r>
      <w:r>
        <w:rPr>
          <w:rFonts w:ascii="Times New Roman;Times;serif" w:hAnsi="Times New Roman;Times;serif"/>
          <w:sz w:val="20"/>
        </w:rPr>
        <w:t>and allows entities to recognize lease payments on a straight-line basis over the lease term for leases with a term of 12 months or less. The Company also elected the practical expedient to combine lease and non-lease components.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 lessee under various lease agreements. The determination of whether an arrangement contains a lease and the lease classification is made at lease commencement (date on which a lessor makes an underlying asset available for use by the lessee).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multiple finance leases and operating leases that are combined and included in the lease right-of-use assets, lease liabilities, current, and lease liabilities, noncurrent on the Company’s condensed consolidated balance sheets.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primarily leases its distribution facilities, corporate offices and retail stores under operating lease agreements expiring on various dates through December 2031, most of which contain options to extend. In addition to payment of base rent, the Company is also required to pay property taxes, insurance, and common area maintenance expenses. The Company records lease expense on a straight-line basis over the term of the lease. The Company had immaterial remaining obligations for the base rent related to the short-term leases as of June 30, 2024 and July 2, 2023.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also leases equipment under finance lease agreements expiring on various dates through April 2029.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923" w:name="Tc_Pme5fk17C0WsqfhcM1rLhg_12_8"/>
      <w:bookmarkStart w:id="924" w:name="Tc_J7lgfgvY102n4hk2ms5_zQ_12_2"/>
      <w:bookmarkStart w:id="925" w:name="Tc_UlGjyXFd-kuCHu88mP-QOg_10_0"/>
      <w:bookmarkStart w:id="926" w:name="Tc_2YazXIt5m0CKo_Iz0-NO-A_9_0"/>
      <w:bookmarkStart w:id="927" w:name="Tc_PTYOyCnASUyOBfnuhv5E9g_8_0"/>
      <w:bookmarkStart w:id="928" w:name="Tc_j5CKP0sbCESg5QXXSYYUXg_7_0"/>
      <w:bookmarkStart w:id="929" w:name="Tc_KZpSUPd6H0iwHew81qGy3g_6_0"/>
      <w:bookmarkStart w:id="930" w:name="Tc_mijU8AE2sk2mZgWmvT8a8g_5_0"/>
      <w:bookmarkStart w:id="931" w:name="Tc_SBiO2paitUS8SwDHTmcP7g_4_0"/>
      <w:bookmarkStart w:id="932" w:name="Tc_eOJfia1EnEOAz5B0QAabyA_3_0"/>
      <w:bookmarkStart w:id="933" w:name="Tc_1mo2cDAySk-m_cbtCSDA_A_2_8"/>
      <w:bookmarkStart w:id="934" w:name="Tc_bPp5otviN0-7Tcvun0Rhrw_2_5"/>
      <w:bookmarkStart w:id="935" w:name="Tc_3fVKoyk7cESAgfwXdheX6g_2_2"/>
      <w:bookmarkStart w:id="936" w:name="Tc_u-z8xMHhHEqmddtZIFewBA_2_0"/>
      <w:bookmarkStart w:id="937" w:name="Tc_0Ex0btJbUkm6YLmgGjYIpA_1_8"/>
      <w:bookmarkStart w:id="938" w:name="Tc_4bjMAuRp-kmZgCVFdynyVw_1_5"/>
      <w:bookmarkStart w:id="939" w:name="Tc_nNUCRpHKrEytEQDkxLhhhQ_1_3"/>
      <w:bookmarkStart w:id="940" w:name="Tc_dUSygHQvJEaCj8EaOzy5eA_1_0"/>
      <w:bookmarkStart w:id="941" w:name="_748cb571_f8bc_4f39_b7a3_beaebdfb2a8e"/>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Times New Roman;Times;serif" w:hAnsi="Times New Roman;Times;serif"/>
          <w:sz w:val="20"/>
        </w:rPr>
        <w:t>As of June 30, 2024, the future minimum lease payments for the Company’s operating and finance leases for each of the fiscal years were as follows (in thousands):</w:t>
      </w:r>
    </w:p>
    <w:p>
      <w:pPr>
        <w:pStyle w:val="TextBody"/>
        <w:bidi w:val="0"/>
        <w:spacing w:before="0" w:after="0"/>
        <w:ind w:left="0" w:right="0" w:firstLine="360"/>
        <w:jc w:val="both"/>
        <w:rPr/>
      </w:pPr>
      <w:r>
        <w:rPr/>
        <w:t>​</w:t>
      </w:r>
    </w:p>
    <w:tbl>
      <w:tblPr>
        <w:tblW w:w="7644" w:type="dxa"/>
        <w:jc w:val="left"/>
        <w:tblInd w:w="0" w:type="dxa"/>
        <w:tblLayout w:type="fixed"/>
        <w:tblCellMar>
          <w:top w:w="0" w:type="dxa"/>
          <w:left w:w="0" w:type="dxa"/>
          <w:bottom w:w="0" w:type="dxa"/>
          <w:right w:w="0" w:type="dxa"/>
        </w:tblCellMar>
      </w:tblPr>
      <w:tblGrid>
        <w:gridCol w:w="2911"/>
        <w:gridCol w:w="326"/>
        <w:gridCol w:w="211"/>
        <w:gridCol w:w="1591"/>
        <w:gridCol w:w="109"/>
        <w:gridCol w:w="326"/>
        <w:gridCol w:w="1069"/>
        <w:gridCol w:w="109"/>
        <w:gridCol w:w="211"/>
        <w:gridCol w:w="78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848485" cy="175260"/>
                      <wp:effectExtent l="0" t="0" r="0" b="0"/>
                      <wp:wrapNone/>
                      <wp:docPr id="134" name="Frame133"/>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010285" cy="175260"/>
                      <wp:effectExtent l="0" t="0" r="0" b="0"/>
                      <wp:wrapNone/>
                      <wp:docPr id="137" name="Frame136"/>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78815" cy="175260"/>
                      <wp:effectExtent l="0" t="0" r="0" b="0"/>
                      <wp:wrapNone/>
                      <wp:docPr id="140" name="Frame139"/>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95935" cy="175260"/>
                      <wp:effectExtent l="0" t="0" r="0" b="0"/>
                      <wp:wrapNone/>
                      <wp:docPr id="143" name="Frame1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Finance Leases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2024 (remaining six months)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6,264</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5,265</w:t>
            </w:r>
          </w:p>
        </w:tc>
      </w:tr>
      <w:tr>
        <w:trPr/>
        <w:tc>
          <w:tcPr>
            <w:tcW w:w="2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lease payment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30,843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33,384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adjustment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(5,159)</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25,684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lease liabilities, current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(4,221)</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22,460</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 and Other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From time to time, the Company may be a party to litigation and subject to claims, including </w:t>
      </w:r>
      <w:r>
        <w:rPr>
          <w:rFonts w:ascii="Times New Roman;Times;serif" w:hAnsi="Times New Roman;Times;serif"/>
          <w:sz w:val="20"/>
          <w:shd w:fill="FFFFFF" w:val="clear"/>
        </w:rPr>
        <w:t>employment claims, wage and hour claims, intellectual property claims, privacy claims, contractual and commercial disputes and other matters that arise in the ordinary course of our business</w:t>
      </w:r>
      <w:r>
        <w:rPr>
          <w:rFonts w:ascii="Times New Roman;Times;serif" w:hAnsi="Times New Roman;Times;serif"/>
          <w:sz w:val="20"/>
        </w:rPr>
        <w:t>.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2024, the Company has received a cease and desist letter alleging intellectual property infringement. This matter has not proceeded to litigation as of the date of this report. In the thirteen weeks ended June 30, 2024, the Company recorded a loss contingency accrual of $1.7 million for estimated losses that we expect to incur in connection with this claim, and a related anticipated and contingent insurance receivable of $1.3 million. These accruals are based on currently available information and may change as new information becomes available or circumstances change.</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normal course of business, the Company may be a party to claims that may not be covered wholly or partially by insurance. While the ultimate liability, if any, arising from these claims cannot be predicted with certainty, other than as discussed above, management does not believe that the resolution of any such claims would have a material adverse effect on the Company’s condensed consolidated financial statements. As of June 30, 2024, other than as discussed above, the Company was not aware of any currently pending legal matters or claims, individually or in the aggregate, that are expected to have a material adverse impact on its condensed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also maintains director and officer insurance, which may cover certain liabilities arising from its obligation to indemnify the Company’s directors and officers. To date, the Company has not incurred any material costs and has not accrued any liabilities in the condensed consolidated financial statements as a result of these provisions.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942" w:name="_d6a797db_1331_4c43_9654_c2a5770d6fda_3"/>
      <w:bookmarkStart w:id="943" w:name="_d6a797db_1331_4c43_9654_c2a5770d6fda_2"/>
      <w:bookmarkStart w:id="944" w:name="_d6a797db_1331_4c43_9654_c2a5770d6fda"/>
      <w:bookmarkEnd w:id="942"/>
      <w:bookmarkEnd w:id="943"/>
      <w:bookmarkEnd w:id="944"/>
      <w:r>
        <w:rPr>
          <w:rFonts w:ascii="Times New Roman;Times;serif" w:hAnsi="Times New Roman;Times;serif"/>
          <w:b/>
          <w:i w:val="false"/>
          <w:caps w:val="false"/>
          <w:smallCaps w:val="false"/>
          <w:sz w:val="20"/>
        </w:rPr>
        <w:t>8.</w:t>
      </w:r>
      <w:r>
        <w:rPr>
          <w:rFonts w:ascii="Times New Roman;Times;serif" w:hAnsi="Times New Roman;Times;serif"/>
          <w:b/>
          <w:sz w:val="20"/>
        </w:rPr>
        <w:t>Preferred Stock</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June 30, 2024 and December 31, 2023, no shares of preferred stock were issued and outstanding.</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Common Stock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authorized the issuance of 250,000,000 shares of common stock, $0.001 par value ("common stock") as of June 30, 2024 and December 31, 2023, respectively.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June 30, 2024, the Company has reserved 161,397 shares of common stock for issuance upon the exercise of stock options, and 1,345,832 shares of common stock available for future issuance under the Lulu's Fashion Lounge Holdings, Inc. Omnibus Equity Plan (the “Omnibus Equity Plan”) and 1,368,288 shares of common stock available for future issuance under the 2021 Employee Stock Purchase Plan (the “ESPP”), respectively. Both equity plans are further described in Note 10, Equity-Based Compensation.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Equity-Based Compensation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Omnibus Equity Plan and Employee Stock Purchase Plan</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closing of the IPO, the Company adopted the Omnibus Equity Plan and ESPP.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ESPP, the Company initially reserved 743,803 shares of common stock for future issuance.  The number of shares of common stock reserved for issuance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1, 2022, the Company filed a Registration Statement on Form S-8 with the SEC for the purpose of registering an additional 5,921,056 shares of the Company’s common stock, inclusive of 1,536,845 and 384,211 shares associated with automatic increases that occurred on January 3, 2022 under the Omnibus Equity Plan and ESPP, respectively.  This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Times New Roman;Times;serif" w:hAnsi="Times New Roman;Times;serif"/>
          <w:sz w:val="20"/>
        </w:rPr>
      </w:pPr>
      <w:bookmarkStart w:id="945" w:name="Tc_NeBz_wTk4UOFmgYtbbS2JQ_5_3"/>
      <w:bookmarkStart w:id="946" w:name="Tc_OdMQ-QS2oUWa5mRHv9zXdA_5_2"/>
      <w:bookmarkStart w:id="947" w:name="Tc_IpZaLcJPR0-eWI8TK_d0Lw_5_0"/>
      <w:bookmarkStart w:id="948" w:name="Tc_MfGSJi36a0yXiOkSy0lLPQ_4_3"/>
      <w:bookmarkStart w:id="949" w:name="Tc_Z1Ks9b0sJkG88gZ3BfSdgw_4_0"/>
      <w:bookmarkStart w:id="950" w:name="Tc_G4_2ZhL3SU20OlJViGntMA_3_4"/>
      <w:bookmarkStart w:id="951" w:name="Tc_Lax2QneqEUeFt4jDfEWqPw_3_3"/>
      <w:bookmarkStart w:id="952" w:name="Tc_1JFsh0m_fk6PP_LvoGoQEw_3_0"/>
      <w:bookmarkStart w:id="953" w:name="Tc_sStoWeaVL02SahXthiU9Xg_2_4"/>
      <w:bookmarkStart w:id="954" w:name="Tc_rt9Fc3uc30qeRhavrMuW9w_2_3"/>
      <w:bookmarkStart w:id="955" w:name="Tc_AErQGjN3aEm4DfIcOHcHeg_2_0"/>
      <w:bookmarkStart w:id="956" w:name="Tc_r3n_zGVDx0iBpN12ut4C5Q_1_3"/>
      <w:bookmarkStart w:id="957" w:name="Tc_G8V5C0jC3U-6xPEZJbhtww_1_0"/>
      <w:bookmarkStart w:id="958" w:name="_Hlk173149944"/>
      <w:bookmarkStart w:id="959" w:name="_Hlk141961007"/>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Pr>
          <w:rFonts w:ascii="Times New Roman;Times;serif" w:hAnsi="Times New Roman;Times;serif"/>
          <w:sz w:val="20"/>
        </w:rPr>
        <w:t>registration also included 3,200,000 and 800,000 shares for the Omnibus Equity Plan and the ESPP, respectively, representing two years’ worth of estimated future automatic increases in availability for these plans.  </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March 8, 2023, the Company’s Board of Directors approved the Fiscal 2023 Bonus Plan (the “2023 Bonus Plan”) that granted RSUs to eligible employees on April 1, 2024, in lieu of a cash bonus. </w:t>
      </w:r>
      <w:r>
        <w:rPr>
          <w:rFonts w:ascii="Times New Roman;Times;serif" w:hAnsi="Times New Roman;Times;serif"/>
          <w:sz w:val="20"/>
          <w:shd w:fill="FFFFFF" w:val="clear"/>
        </w:rPr>
        <w:t>On April 1, 2024, 95,912 RSUs were awarded to eligible employees under the 2023 Bonus Plan, and all such RSUs vested fully on that date subject to any forfeitures</w:t>
      </w:r>
      <w:r>
        <w:rPr>
          <w:rFonts w:ascii="Times New Roman;Times;serif" w:hAnsi="Times New Roman;Times;serif"/>
          <w:sz w:val="20"/>
        </w:rPr>
        <w:t>.</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29, 2023, the Company filed a Registration Statement on Form S-8 with the SEC for the purpose of registering an additional 2,000,000 shares of the Company's common stock under the Omnibus Equity Plan corresponding to the increase in shares approved by stockholders at the 2023 annual meeting of stockholders.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2024, the Company had 1,345,832 and 1,368,288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vesting schedule and the other terms and conditions of the awards granted under the Omnibus Equity Plan. The Compensation Committee may or may not issue the full number of shares that are reserved for issuance.  </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0"/>
        </w:rPr>
        <w:t>The Company’s initial ESPP offering period commenced on August 26, 2022. The ESPP consists of consecutive, overlapping 12-month</w:t>
      </w:r>
      <w:r>
        <w:rPr>
          <w:rFonts w:ascii="Times New Roman;Times;serif" w:hAnsi="Times New Roman;Times;serif"/>
          <w:sz w:val="24"/>
        </w:rPr>
        <w:t xml:space="preserve"> </w:t>
      </w:r>
      <w:r>
        <w:rPr>
          <w:rFonts w:ascii="Times New Roman;Times;serif" w:hAnsi="Times New Roman;Times;serif"/>
          <w:sz w:val="20"/>
        </w:rPr>
        <w:t>offering periods that begin on each August 26 and February 26 during the term of the ESPP, and end on each August 25 and February 25 occurring 12 months</w:t>
      </w:r>
      <w:r>
        <w:rPr>
          <w:rFonts w:ascii="Times New Roman;Times;serif" w:hAnsi="Times New Roman;Times;serif"/>
          <w:sz w:val="24"/>
        </w:rPr>
        <w:t xml:space="preserve"> </w:t>
      </w:r>
      <w:r>
        <w:rPr>
          <w:rFonts w:ascii="Times New Roman;Times;serif" w:hAnsi="Times New Roman;Times;serif"/>
          <w:sz w:val="20"/>
        </w:rPr>
        <w:t>later, as applicable. Each offering period is comprised of two</w:t>
      </w:r>
      <w:r>
        <w:rPr>
          <w:rFonts w:ascii="Times New Roman;Times;serif" w:hAnsi="Times New Roman;Times;serif"/>
          <w:sz w:val="24"/>
        </w:rPr>
        <w:t xml:space="preserve"> </w:t>
      </w:r>
      <w:r>
        <w:rPr>
          <w:rFonts w:ascii="Times New Roman;Times;serif" w:hAnsi="Times New Roman;Times;serif"/>
          <w:sz w:val="20"/>
        </w:rPr>
        <w:t>consecutive six-month</w:t>
      </w:r>
      <w:r>
        <w:rPr>
          <w:rFonts w:ascii="Times New Roman;Times;serif" w:hAnsi="Times New Roman;Times;serif"/>
          <w:sz w:val="24"/>
        </w:rPr>
        <w:t xml:space="preserve"> </w:t>
      </w:r>
      <w:r>
        <w:rPr>
          <w:rFonts w:ascii="Times New Roman;Times;serif" w:hAnsi="Times New Roman;Times;serif"/>
          <w:sz w:val="20"/>
        </w:rPr>
        <w:t>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w:t>
      </w:r>
      <w:r>
        <w:rPr>
          <w:rFonts w:ascii="Times New Roman;Times;serif" w:hAnsi="Times New Roman;Times;serif"/>
          <w:sz w:val="24"/>
        </w:rPr>
        <w:t xml:space="preserve"> </w:t>
      </w:r>
      <w:r>
        <w:rPr>
          <w:rFonts w:ascii="Times New Roman;Times;serif" w:hAnsi="Times New Roman;Times;serif"/>
          <w:sz w:val="20"/>
        </w:rPr>
        <w:t xml:space="preserve">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 </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0"/>
        </w:rPr>
        <w:t>The Company recognizes equity-based compensation expense related to shares issued pursuant to the ESPP on a graded vesting approach over each offering period. For the thirteen and twenty-six weeks ended June 30, 2024, equity-based compensation expense related to our ESPP was immaterial. During the thirteen weeks ended March 31, 2024 and April 2, 2023, the Company issued 52,043</w:t>
      </w:r>
      <w:r>
        <w:rPr>
          <w:rFonts w:ascii="Times New Roman;Times;serif" w:hAnsi="Times New Roman;Times;serif"/>
          <w:sz w:val="24"/>
        </w:rPr>
        <w:t xml:space="preserve"> </w:t>
      </w:r>
      <w:r>
        <w:rPr>
          <w:rFonts w:ascii="Times New Roman;Times;serif" w:hAnsi="Times New Roman;Times;serif"/>
          <w:sz w:val="20"/>
        </w:rPr>
        <w:t>shares and 47,502</w:t>
      </w:r>
      <w:r>
        <w:rPr>
          <w:rFonts w:ascii="Times New Roman;Times;serif" w:hAnsi="Times New Roman;Times;serif"/>
          <w:sz w:val="24"/>
        </w:rPr>
        <w:t xml:space="preserve"> </w:t>
      </w:r>
      <w:r>
        <w:rPr>
          <w:rFonts w:ascii="Times New Roman;Times;serif" w:hAnsi="Times New Roman;Times;serif"/>
          <w:sz w:val="20"/>
        </w:rPr>
        <w:t>shares, respectively, pursuant to the ESPP six-month</w:t>
      </w:r>
      <w:r>
        <w:rPr>
          <w:rFonts w:ascii="Times New Roman;Times;serif" w:hAnsi="Times New Roman;Times;serif"/>
          <w:sz w:val="24"/>
        </w:rPr>
        <w:t xml:space="preserve"> </w:t>
      </w:r>
      <w:r>
        <w:rPr>
          <w:rFonts w:ascii="Times New Roman;Times;serif" w:hAnsi="Times New Roman;Times;serif"/>
          <w:sz w:val="20"/>
        </w:rPr>
        <w:t>purchase period ended February 26, 2024 and February 25, 2023, respectively.</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Company used the Black-Scholes model to estimate the fair value of the purchase rights under the ESPP. For the thirteen and twenty-six weeks ended June 30, 2024, the Company utilized the following assumptions:</w:t>
      </w:r>
    </w:p>
    <w:p>
      <w:pPr>
        <w:pStyle w:val="TextBody"/>
        <w:bidi w:val="0"/>
        <w:spacing w:before="0" w:after="0"/>
        <w:ind w:left="0" w:right="0" w:hanging="0"/>
        <w:jc w:val="left"/>
        <w:rPr/>
      </w:pPr>
      <w:r>
        <w:rPr/>
        <w:t>​</w:t>
      </w:r>
    </w:p>
    <w:tbl>
      <w:tblPr>
        <w:tblW w:w="7043" w:type="dxa"/>
        <w:jc w:val="left"/>
        <w:tblInd w:w="0" w:type="dxa"/>
        <w:tblLayout w:type="fixed"/>
        <w:tblCellMar>
          <w:top w:w="0" w:type="dxa"/>
          <w:left w:w="0" w:type="dxa"/>
          <w:bottom w:w="0" w:type="dxa"/>
          <w:right w:w="0" w:type="dxa"/>
        </w:tblCellMar>
      </w:tblPr>
      <w:tblGrid>
        <w:gridCol w:w="5116"/>
        <w:gridCol w:w="109"/>
        <w:gridCol w:w="211"/>
        <w:gridCol w:w="1291"/>
        <w:gridCol w:w="316"/>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248660" cy="175260"/>
                      <wp:effectExtent l="0" t="0" r="0" b="0"/>
                      <wp:wrapNone/>
                      <wp:docPr id="144" name="Frame143"/>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819785" cy="175260"/>
                      <wp:effectExtent l="0" t="0" r="0" b="0"/>
                      <wp:wrapNone/>
                      <wp:docPr id="147" name="Frame146"/>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0660" cy="175260"/>
                      <wp:effectExtent l="0" t="0" r="0" b="0"/>
                      <wp:wrapNone/>
                      <wp:docPr id="148" name="Frame14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4"/>
              </w:rPr>
            </w:pPr>
            <w:r>
              <w:rPr>
                <w:rFonts w:ascii="Times New Roman;Times;serif" w:hAnsi="Times New Roman;Times;serif"/>
                <w:sz w:val="20"/>
              </w:rPr>
              <w:t>0.50</w:t>
            </w:r>
            <w:r>
              <w:rPr>
                <w:rFonts w:ascii="Times New Roman;Times;serif" w:hAnsi="Times New Roman;Times;serif"/>
                <w:sz w:val="24"/>
              </w:rPr>
              <w:t xml:space="preserve"> </w:t>
            </w:r>
            <w:r>
              <w:rPr>
                <w:rFonts w:ascii="Times New Roman;Times;serif" w:hAnsi="Times New Roman;Times;serif"/>
                <w:sz w:val="20"/>
              </w:rPr>
              <w:t>to 1.00</w:t>
            </w:r>
          </w:p>
        </w:tc>
        <w:tc>
          <w:tcPr>
            <w:tcW w:w="316" w:type="dxa"/>
            <w:tcBorders/>
            <w:shd w:fill="CCEEFF" w:val="clear"/>
            <w:vAlign w:val="center"/>
          </w:tcPr>
          <w:p>
            <w:pPr>
              <w:pStyle w:val="TableContents"/>
              <w:bidi w:val="0"/>
              <w:spacing w:before="0" w:after="1"/>
              <w:ind w:left="0" w:right="0" w:hanging="0"/>
              <w:jc w:val="righ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81.95 to 91.30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 to 5.34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fair value per share of ESPP awards granted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0.65 to 0.90</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2021 Equity Plan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April 2021, the Company’s Board of Directors adopted the 2021 Equity Plan. The 2021 Equity Plan provided for the issuance of incentive stock options, restricted stock, restricted stock units and other stock-based and cash-based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960" w:name="Tc_ED1W1KvK_US0FPDqigzaKg_11_10"/>
      <w:bookmarkStart w:id="961" w:name="Tc_uY5nyoiL6kyF6UGPNZlbZw_11_9"/>
      <w:bookmarkStart w:id="962" w:name="Tc_wwC_sMwLOk2scRf2m6JLZA_11_4"/>
      <w:bookmarkStart w:id="963" w:name="Tc_ZSd_f6zhakGZTe5rMMiaLw_11_0"/>
      <w:bookmarkStart w:id="964" w:name="Tc_BqE1Zpz-PE-hjDujMOGryw_10_10"/>
      <w:bookmarkStart w:id="965" w:name="Tc_HPPLsxqXUUC7hmn8ZcZ6bA_10_9"/>
      <w:bookmarkStart w:id="966" w:name="Tc_xeQkefPqs06h9e3O35iM1w_10_4"/>
      <w:bookmarkStart w:id="967" w:name="Tc_G1dlp5Gsi0SjndfGg7b0YA_10_0"/>
      <w:bookmarkStart w:id="968" w:name="Tc_nUoMM7EPpEimmiLqXIjbGQ_9_4"/>
      <w:bookmarkStart w:id="969" w:name="Tc_ZF0adKMiI068iF5QtppvXg_9_0"/>
      <w:bookmarkStart w:id="970" w:name="Tc_h_Bu9rZ9xEGkryyXJl4mEA_8_7"/>
      <w:bookmarkStart w:id="971" w:name="Tc_7fDOqDF-EkO99qxhmbqbNQ_8_5"/>
      <w:bookmarkStart w:id="972" w:name="Tc_FGVeKYr69EWjmMUAyYcbAA_8_2"/>
      <w:bookmarkStart w:id="973" w:name="Tc_io-aTF-UpkGX0UAHUlRVmQ_8_0"/>
      <w:bookmarkStart w:id="974" w:name="Tc_Bvse8zL02Ui6CKjgWpf1ug_7_7"/>
      <w:bookmarkStart w:id="975" w:name="Tc_X7hvOncPiUyQ6_HdYJq0Qg_7_5"/>
      <w:bookmarkStart w:id="976" w:name="Tc_i2sdbuZI8Ei_WF7A-fw4Hg_7_2"/>
      <w:bookmarkStart w:id="977" w:name="Tc_j2-gxPR4ekO3Teaq_35ULg_7_0"/>
      <w:bookmarkStart w:id="978" w:name="Tc_mv4vmPvxZ0WwiIwYN7S_tA_6_4"/>
      <w:bookmarkStart w:id="979" w:name="Tc_jnvWHid3Akuv85qECVjoCA_6_0"/>
      <w:bookmarkStart w:id="980" w:name="Tc_sM7zYju6y0SZ89e89o2yaA_5_9"/>
      <w:bookmarkStart w:id="981" w:name="Tc_nTeG2AJ5OUGb-quPcHRQkw_5_7"/>
      <w:bookmarkStart w:id="982" w:name="Tc_HsunjYlB0USUN1807YGwJw_5_4"/>
      <w:bookmarkStart w:id="983" w:name="Tc_MuTaffvzFkK0oNrqFnj5dw_5_2"/>
      <w:bookmarkStart w:id="984" w:name="Tc_KrZhWmYXxUiHQVAeT8t6bA_4_9"/>
      <w:bookmarkStart w:id="985" w:name="Tc_m_s3tMvpT0SbZ4Qq94wjcQ_4_7"/>
      <w:bookmarkStart w:id="986" w:name="Tc_ArkjizV1NEqo3JNsZIecGA_4_4"/>
      <w:bookmarkStart w:id="987" w:name="Tc_YREt0AlrRESsG7pWoOwuuQ_4_2"/>
      <w:bookmarkStart w:id="988" w:name="Tc_vHQB7Aar9UW7-qYkH4WH2Q_3_9"/>
      <w:bookmarkStart w:id="989" w:name="Tc_qHrotgY8ZE6w5Y0-Araodw_3_7"/>
      <w:bookmarkStart w:id="990" w:name="Tc_cKMPT2-y302AMK-IqDngfQ_3_4"/>
      <w:bookmarkStart w:id="991" w:name="Tc_Q9RMBKe3OkW1oMtPWWakkA_2_7"/>
      <w:bookmarkStart w:id="992" w:name="Tc_lPuvXRH5w0eViHySofJCKA_2_4"/>
      <w:bookmarkStart w:id="993" w:name="Tc_7UnEPweOiEOfJrPcqxK0-A_1_7"/>
      <w:bookmarkStart w:id="994" w:name="Tc_qFzE-Ra4GkavqLddcJhy2g_1_4"/>
      <w:bookmarkStart w:id="995" w:name="_d87b9053_b183_4a57_8e12_061bafe0b814"/>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rPr>
          <w:rFonts w:ascii="Times New Roman;Times;serif" w:hAnsi="Times New Roman;Times;serif"/>
          <w:sz w:val="20"/>
        </w:rPr>
        <w:t xml:space="preserve">awards to the Company’s employees, directors, and consultants. The maximum aggregate number of shares reserved for issuance under the 2021 Equity Plan was 925,000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 </w:t>
      </w:r>
    </w:p>
    <w:p>
      <w:pPr>
        <w:pStyle w:val="TextBody"/>
        <w:bidi w:val="0"/>
        <w:spacing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CEO Stock Options and Special Compensation Awards</w:t>
      </w:r>
    </w:p>
    <w:p>
      <w:pPr>
        <w:pStyle w:val="TextBody"/>
        <w:bidi w:val="0"/>
        <w:spacing w:before="0" w:after="160"/>
        <w:ind w:left="0" w:right="0" w:firstLine="360"/>
        <w:jc w:val="both"/>
        <w:rPr>
          <w:rFonts w:ascii="Times New Roman;Times;serif" w:hAnsi="Times New Roman;Times;serif"/>
          <w:sz w:val="24"/>
        </w:rPr>
      </w:pPr>
      <w:r>
        <w:rPr>
          <w:rFonts w:ascii="Times New Roman;Times;serif" w:hAnsi="Times New Roman;Times;serif"/>
          <w:sz w:val="20"/>
        </w:rPr>
        <w:t>In April 2021, the Company entered into an Employment Agreement (the “McCreight IPO Employment Agreement”) with the former CEO, David McCreight, and granted stock options under the 2021 Equity Plan to purchase 322,793</w:t>
      </w:r>
      <w:r>
        <w:rPr>
          <w:rFonts w:ascii="Times New Roman;Times;serif" w:hAnsi="Times New Roman;Times;serif"/>
          <w:sz w:val="24"/>
        </w:rPr>
        <w:t xml:space="preserve"> </w:t>
      </w:r>
      <w:r>
        <w:rPr>
          <w:rFonts w:ascii="Times New Roman;Times;serif" w:hAnsi="Times New Roman;Times;serif"/>
          <w:sz w:val="20"/>
        </w:rPr>
        <w:t>shares of common stock with an exercise price of $11.35</w:t>
      </w:r>
      <w:r>
        <w:rPr>
          <w:rFonts w:ascii="Times New Roman;Times;serif" w:hAnsi="Times New Roman;Times;serif"/>
          <w:sz w:val="24"/>
        </w:rPr>
        <w:t xml:space="preserve"> </w:t>
      </w:r>
      <w:r>
        <w:rPr>
          <w:rFonts w:ascii="Times New Roman;Times;serif" w:hAnsi="Times New Roman;Times;serif"/>
          <w:sz w:val="20"/>
        </w:rPr>
        <w:t>per share, which vest based on service and performance conditions. 275,133</w:t>
      </w:r>
      <w:r>
        <w:rPr>
          <w:rFonts w:ascii="Times New Roman;Times;serif" w:hAnsi="Times New Roman;Times;serif"/>
          <w:sz w:val="24"/>
        </w:rPr>
        <w:t xml:space="preserve"> </w:t>
      </w:r>
      <w:r>
        <w:rPr>
          <w:rFonts w:ascii="Times New Roman;Times;serif" w:hAnsi="Times New Roman;Times;serif"/>
          <w:sz w:val="20"/>
        </w:rPr>
        <w:t>of these stock options have only service vesting conditions, and 47,660</w:t>
      </w:r>
      <w:r>
        <w:rPr>
          <w:rFonts w:ascii="Times New Roman;Times;serif" w:hAnsi="Times New Roman;Times;serif"/>
          <w:sz w:val="24"/>
        </w:rPr>
        <w:t xml:space="preserve"> </w:t>
      </w:r>
      <w:r>
        <w:rPr>
          <w:rFonts w:ascii="Times New Roman;Times;serif" w:hAnsi="Times New Roman;Times;serif"/>
          <w:sz w:val="20"/>
        </w:rPr>
        <w:t>of these stock options have both service and performance vesting conditions. In addition, a portion of these stock options were subject to accelerated vesting conditions upon the occurrence of certain future events, which were satisfied upon the closing of the IPO. As previously disclosed on a Form 8-K filed on February 13, 2023 (the “February 13 8-K”), Mr. McCreight voluntarily forfeited 161,396</w:t>
      </w:r>
      <w:r>
        <w:rPr>
          <w:rFonts w:ascii="Times New Roman;Times;serif" w:hAnsi="Times New Roman;Times;serif"/>
          <w:sz w:val="24"/>
        </w:rPr>
        <w:t xml:space="preserve"> </w:t>
      </w:r>
      <w:r>
        <w:rPr>
          <w:rFonts w:ascii="Times New Roman;Times;serif" w:hAnsi="Times New Roman;Times;serif"/>
          <w:sz w:val="20"/>
        </w:rPr>
        <w:t>unvested stock options of the Company. During the thirteen weeks ended April 2, 2023, the forfeiture of 161,396</w:t>
      </w:r>
      <w:r>
        <w:rPr>
          <w:rFonts w:ascii="Times New Roman;Times;serif" w:hAnsi="Times New Roman;Times;serif"/>
          <w:sz w:val="24"/>
        </w:rPr>
        <w:t xml:space="preserve"> </w:t>
      </w:r>
      <w:r>
        <w:rPr>
          <w:rFonts w:ascii="Times New Roman;Times;serif" w:hAnsi="Times New Roman;Times;serif"/>
          <w:sz w:val="20"/>
        </w:rPr>
        <w:t>unvested stock options resulted in immediate acceleration of the remaining $1.2</w:t>
      </w:r>
      <w:r>
        <w:rPr>
          <w:rFonts w:ascii="Times New Roman;Times;serif" w:hAnsi="Times New Roman;Times;serif"/>
          <w:sz w:val="24"/>
        </w:rPr>
        <w:t xml:space="preserve"> </w:t>
      </w:r>
      <w:r>
        <w:rPr>
          <w:rFonts w:ascii="Times New Roman;Times;serif" w:hAnsi="Times New Roman;Times;serif"/>
          <w:sz w:val="20"/>
        </w:rPr>
        <w:t>million of compensation expense which was recorded to general and administrative expense. As previously disclosed in the February 13 8-K, the Company and David McCreight also entered into the First Amendment to Lulu’s Fashion Lounge Holdings, Inc. 2021 Equity Incentive Plan Stock Option Agreement that extends the post-termination exercise period of 161,397</w:t>
      </w:r>
      <w:r>
        <w:rPr>
          <w:rFonts w:ascii="Times New Roman;Times;serif" w:hAnsi="Times New Roman;Times;serif"/>
          <w:sz w:val="24"/>
        </w:rPr>
        <w:t xml:space="preserve"> </w:t>
      </w:r>
      <w:r>
        <w:rPr>
          <w:rFonts w:ascii="Times New Roman;Times;serif" w:hAnsi="Times New Roman;Times;serif"/>
          <w:sz w:val="20"/>
        </w:rPr>
        <w:t>vested stock options from 90 days</w:t>
      </w:r>
      <w:r>
        <w:rPr>
          <w:rFonts w:ascii="Times New Roman;Times;serif" w:hAnsi="Times New Roman;Times;serif"/>
          <w:sz w:val="24"/>
        </w:rPr>
        <w:t xml:space="preserve"> </w:t>
      </w:r>
      <w:r>
        <w:rPr>
          <w:rFonts w:ascii="Times New Roman;Times;serif" w:hAnsi="Times New Roman;Times;serif"/>
          <w:sz w:val="20"/>
        </w:rPr>
        <w:t xml:space="preserve">to </w:t>
      </w:r>
      <w:r>
        <w:rPr>
          <w:rFonts w:ascii="Times New Roman;Times;serif" w:hAnsi="Times New Roman;Times;serif"/>
          <w:b w:val="false"/>
          <w:i w:val="false"/>
          <w:caps w:val="false"/>
          <w:smallCaps w:val="false"/>
          <w:sz w:val="20"/>
        </w:rPr>
        <w:t>three</w:t>
      </w:r>
      <w:r>
        <w:rPr>
          <w:rFonts w:ascii="Times New Roman;Times;serif" w:hAnsi="Times New Roman;Times;serif"/>
          <w:sz w:val="24"/>
        </w:rPr>
        <w:t xml:space="preserve"> </w:t>
      </w:r>
      <w:r>
        <w:rPr>
          <w:rFonts w:ascii="Times New Roman;Times;serif" w:hAnsi="Times New Roman;Times;serif"/>
          <w:sz w:val="20"/>
        </w:rPr>
        <w:t>(3) years from a termination of service other than for cause, death or disability.</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Under the McCreight IPO Employment Agreement and subject to ongoing employment, and in light of the closing of the IPO, the former CEO received two bonuses, each of which were settled in 208,914 fully-vested shares of the Company’s common stock. The Company recognized the final </w:t>
      </w:r>
      <w:r>
        <w:rPr>
          <w:rFonts w:ascii="Times New Roman;Times;serif" w:hAnsi="Times New Roman;Times;serif"/>
          <w:sz w:val="20"/>
          <w:shd w:fill="FFFFFF" w:val="clear"/>
        </w:rPr>
        <w:t>$0.4 million of equity-based compensation expense related to this award in the thirteen weeks ended April 2, 2023</w:t>
      </w:r>
      <w:r>
        <w:rPr>
          <w:rFonts w:ascii="Times New Roman;Times;serif" w:hAnsi="Times New Roman;Times;serif"/>
          <w:sz w:val="20"/>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 summary of stock option activity is as follows (in thousands, except per share amounts and years):</w:t>
      </w:r>
    </w:p>
    <w:tbl>
      <w:tblPr>
        <w:tblW w:w="9063" w:type="dxa"/>
        <w:jc w:val="left"/>
        <w:tblInd w:w="0" w:type="dxa"/>
        <w:tblLayout w:type="fixed"/>
        <w:tblCellMar>
          <w:top w:w="0" w:type="dxa"/>
          <w:left w:w="0" w:type="dxa"/>
          <w:bottom w:w="0" w:type="dxa"/>
          <w:right w:w="0" w:type="dxa"/>
        </w:tblCellMar>
      </w:tblPr>
      <w:tblGrid>
        <w:gridCol w:w="3991"/>
        <w:gridCol w:w="326"/>
        <w:gridCol w:w="1006"/>
        <w:gridCol w:w="326"/>
        <w:gridCol w:w="230"/>
        <w:gridCol w:w="625"/>
        <w:gridCol w:w="326"/>
        <w:gridCol w:w="991"/>
        <w:gridCol w:w="326"/>
        <w:gridCol w:w="291"/>
        <w:gridCol w:w="625"/>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534285" cy="175260"/>
                      <wp:effectExtent l="0" t="0" r="0" b="0"/>
                      <wp:wrapNone/>
                      <wp:docPr id="149" name="Frame148"/>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38810" cy="175260"/>
                      <wp:effectExtent l="0" t="0" r="0" b="0"/>
                      <wp:wrapNone/>
                      <wp:docPr id="151" name="Frame15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46050" cy="175260"/>
                      <wp:effectExtent l="0" t="0" r="0" b="0"/>
                      <wp:wrapNone/>
                      <wp:docPr id="153" name="Frame15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96875" cy="175260"/>
                      <wp:effectExtent l="0" t="0" r="0" b="0"/>
                      <wp:wrapNone/>
                      <wp:docPr id="154" name="Frame153"/>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29285" cy="175260"/>
                      <wp:effectExtent l="0" t="0" r="0" b="0"/>
                      <wp:wrapNone/>
                      <wp:docPr id="156" name="Frame15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84785" cy="175260"/>
                      <wp:effectExtent l="0" t="0" r="0" b="0"/>
                      <wp:wrapNone/>
                      <wp:docPr id="158" name="Frame15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96875" cy="175260"/>
                      <wp:effectExtent l="0" t="0" r="0" b="0"/>
                      <wp:wrapNone/>
                      <wp:docPr id="159" name="Frame158"/>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291"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291"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9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Outstanding as of June 30, 2024</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39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Exercisable as of June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Vested and expected to vest as of June 30, 2024</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and Restricted Stock Units (“RSUs”)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Immediately before the completion of the IPO, the LP was liquidated and the unit holders of the LP received shares of the Company’s common stock in exchange for their units of the LP. The Class P unit holders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extent as the corresponding Class P units. </w:t>
      </w:r>
      <w:r>
        <w:rPr>
          <w:rFonts w:ascii="Times New Roman;Times;serif" w:hAnsi="Times New Roman;Times;serif"/>
          <w:sz w:val="20"/>
        </w:rPr>
        <w:t xml:space="preserve">The Company recorded equity-based compensation expense of $0.1 million and $0.2 million during the thirteen and twenty-six weeks ended June 30, 2024, respectively, and $0.2 million and $0.4 million during the thirteen and twenty-six weeks ended July 2, 2023, respectively, related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996" w:name="Tc_S0HvwL2Rs0S7Ml81C_dWtw_8_4"/>
      <w:bookmarkStart w:id="997" w:name="Tc_VNKApvDr_U-M-KnV8uaIMQ_8_0"/>
      <w:bookmarkStart w:id="998" w:name="Tc_oHDrMY1Fo06y5HhgoHnwjA_7_0"/>
      <w:bookmarkStart w:id="999" w:name="Tc_F8bJ36Jiu0mOZMNFKyopNw_6_0"/>
      <w:bookmarkStart w:id="1000" w:name="Tc_KDQouEdQzk-laeEI4SkH3w_5_0"/>
      <w:bookmarkStart w:id="1001" w:name="Tc_zYqJAwkalkOw2cxmu5h_Gg_4_4"/>
      <w:bookmarkStart w:id="1002" w:name="Tc_whU5Gh52FEeTOeGGJnFCUw_4_0"/>
      <w:bookmarkStart w:id="1003" w:name="Tc_1ldeJ1G5LUGpuHf1Ukak8Q_3_4"/>
      <w:bookmarkStart w:id="1004" w:name="Tc_buzMMaMl_E-cHDelr6xNcw_3_2"/>
      <w:bookmarkStart w:id="1005" w:name="Tc_QdybLeX8h0KWMGlsMNF-QA_2_4"/>
      <w:bookmarkStart w:id="1006" w:name="Tc_uWHDrsAKj0KkG5nHTW0_9g_2_2"/>
      <w:bookmarkStart w:id="1007" w:name="Tc_hgkwdJ3EPEe4UjG5XPt4Qw_1_4"/>
      <w:bookmarkStart w:id="1008" w:name="_Hlk133903693"/>
      <w:bookmarkStart w:id="1009" w:name="Tc_6IyfKwziz0yUWMzbM4dDIA_8_4"/>
      <w:bookmarkStart w:id="1010" w:name="Tc_M8ficanbVUaiOB1Kx1xTXA_8_0"/>
      <w:bookmarkStart w:id="1011" w:name="Tc_Xeb5Mj6ZI0Kb0EuXTAC-tg_7_0"/>
      <w:bookmarkStart w:id="1012" w:name="Tc_0RP7Uh69GkCHp0ZdBxxmZQ_6_0"/>
      <w:bookmarkStart w:id="1013" w:name="Tc_YQfNUqruL0ultC4kvnBddQ_5_5"/>
      <w:bookmarkStart w:id="1014" w:name="Tc_-gFTko6aHEe9LDVOa4oH1A_5_2"/>
      <w:bookmarkStart w:id="1015" w:name="Tc_UEdVbvqXMkOHVX7ME0Ouqg_5_0"/>
      <w:bookmarkStart w:id="1016" w:name="Tc_DsOv2dK2qEqcgq4RkQKLiw_4_4"/>
      <w:bookmarkStart w:id="1017" w:name="Tc_zkkKKTUHTk2UZrAsxC0-Ow_4_0"/>
      <w:bookmarkStart w:id="1018" w:name="Tc_18g_OxEq4kGsbkqxuEtVOg_3_4"/>
      <w:bookmarkStart w:id="1019" w:name="Tc_x5GpMhmi7E2QsPT7E2qIeQ_3_2"/>
      <w:bookmarkStart w:id="1020" w:name="Tc_QVshC9cg7EyE4g-6AqYqvA_2_4"/>
      <w:bookmarkStart w:id="1021" w:name="Tc_KiZ1YEU7VE6-0Fws3Zzotw_2_2"/>
      <w:bookmarkStart w:id="1022" w:name="Tc_POl0zPSwC0GXuNmUx76E3Q_1_4"/>
      <w:bookmarkStart w:id="1023" w:name="Tc_RARaBeqSh0GCf8-ySIoTTQ_1_2"/>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r>
        <w:rPr>
          <w:rFonts w:ascii="Times New Roman;Times;serif" w:hAnsi="Times New Roman;Times;serif"/>
          <w:sz w:val="20"/>
        </w:rPr>
        <w:t>exchanged restricted stock. A</w:t>
      </w:r>
      <w:r>
        <w:rPr>
          <w:rFonts w:ascii="Times New Roman;Times;serif" w:hAnsi="Times New Roman;Times;serif"/>
          <w:sz w:val="20"/>
          <w:shd w:fill="FFFFFF" w:val="clear"/>
        </w:rPr>
        <w:t>s of June 30, 2024, the unrecognized equity-based compensation expense for all restricted stock is $0.1 million and will be recognized over a weighted-average period of 0.33 years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rollforward of unvested restricted stock during the twenty-six weeks ended June 30, 2024:</w:t>
      </w:r>
    </w:p>
    <w:p>
      <w:pPr>
        <w:pStyle w:val="TextBody"/>
        <w:bidi w:val="0"/>
        <w:spacing w:before="0" w:after="0"/>
        <w:ind w:left="0" w:right="0" w:hanging="0"/>
        <w:jc w:val="left"/>
        <w:rPr/>
      </w:pPr>
      <w:r>
        <w:rPr/>
        <w:t>​</w:t>
      </w:r>
    </w:p>
    <w:tbl>
      <w:tblPr>
        <w:tblW w:w="5454" w:type="dxa"/>
        <w:jc w:val="left"/>
        <w:tblInd w:w="0" w:type="dxa"/>
        <w:tblLayout w:type="fixed"/>
        <w:tblCellMar>
          <w:top w:w="0" w:type="dxa"/>
          <w:left w:w="0" w:type="dxa"/>
          <w:bottom w:w="0" w:type="dxa"/>
          <w:right w:w="0" w:type="dxa"/>
        </w:tblCellMar>
      </w:tblPr>
      <w:tblGrid>
        <w:gridCol w:w="2596"/>
        <w:gridCol w:w="326"/>
        <w:gridCol w:w="886"/>
        <w:gridCol w:w="326"/>
        <w:gridCol w:w="383"/>
        <w:gridCol w:w="93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648460" cy="175260"/>
                      <wp:effectExtent l="0" t="0" r="0" b="0"/>
                      <wp:wrapNone/>
                      <wp:docPr id="160" name="Frame15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62610" cy="175260"/>
                      <wp:effectExtent l="0" t="0" r="0" b="0"/>
                      <wp:wrapNone/>
                      <wp:docPr id="162" name="Frame16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43205" cy="175260"/>
                      <wp:effectExtent l="0" t="0" r="0" b="0"/>
                      <wp:wrapNone/>
                      <wp:docPr id="164" name="Frame163"/>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94995" cy="175260"/>
                      <wp:effectExtent l="0" t="0" r="0" b="0"/>
                      <wp:wrapNone/>
                      <wp:docPr id="165" name="Frame164"/>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32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Restricted </w:t>
            </w:r>
          </w:p>
        </w:tc>
        <w:tc>
          <w:tcPr>
            <w:tcW w:w="32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23,379</w:t>
            </w:r>
          </w:p>
        </w:tc>
        <w:tc>
          <w:tcPr>
            <w:tcW w:w="32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granted</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vested</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(13,204)</w:t>
            </w:r>
          </w:p>
        </w:tc>
        <w:tc>
          <w:tcPr>
            <w:tcW w:w="32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 </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forfeited</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32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9,140</w:t>
            </w:r>
          </w:p>
        </w:tc>
        <w:tc>
          <w:tcPr>
            <w:tcW w:w="326"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During the thirteen weeks ended March 31, 2024, the Company entered into a second amendment to the employment agreement with Mark Vos, the President and Chief Information Officer (the “2024 President &amp; CIO Employment Agreement”), under which 660,000 RSUs were initially granted, subject to various vesting schedules as set forth in the 2024 President &amp; CIO Employment Agreement. On February 16, 2024, Tiffany Smith, the Chief Financial Officer received 175,000 RSUs pursuant to the applicable RSU Award Agreement, which vest over a three-year service period. On February 16, 2024, Laura Deady, the Chief Merchandising Officer, received 152,273 RSUs pursuant to her employment agreement entered into in December 2023 (“2024 CMO Employment Agreement”) and the applicable RSU Award Agreement, which vest over a three-year service period.</w:t>
      </w:r>
    </w:p>
    <w:p>
      <w:pPr>
        <w:pStyle w:val="TextBody"/>
        <w:bidi w:val="0"/>
        <w:spacing w:before="0" w:after="240"/>
        <w:ind w:left="0" w:right="0" w:firstLine="360"/>
        <w:jc w:val="both"/>
        <w:rPr>
          <w:shd w:fill="FFFFFF" w:val="clear"/>
        </w:rPr>
      </w:pPr>
      <w:r>
        <w:rPr>
          <w:shd w:fill="FFFFFF" w:val="clea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thirteen and twenty-six weeks ended June 30, 2024, the Company granted 37,274 and 1,951,345 RSUs, respectively, to certain executives (inclusive of the aforementioned RSU grants to Mr. Vos, Ms. Deady and Ms. Smith), and employees which are subject to various vesting schedules as set forth in the applicable employment agreement or RSU Award Agreements. During the thirteen and twenty-six weeks ended June 30, 2024, the Company granted 423,118 and 449,734 RSUs, respectively, to certain directors which vested immediately or pursuant to the Company’s Non-Employee Director Compensation Program. The Company recognized equity-based compensation expense of $1.7 million and $3.3 million during the thirteen and twenty-six weeks ended June 30, 2024, respectively, and $3.2 million and $6.0 million during the thirteen and twenty-six weeks ended July 2, 2023, respectively, related to the RSUs. As of June 30, 2024, the unrecognized equity-based compensation expense is $10.5 million and will be recognized over a weighted-average period of 2.05 years.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roll forward of unvested RSUs during the twenty-six weeks ended June 30, 2024:</w:t>
      </w:r>
    </w:p>
    <w:p>
      <w:pPr>
        <w:pStyle w:val="TextBody"/>
        <w:bidi w:val="0"/>
        <w:spacing w:before="0" w:after="240"/>
        <w:ind w:left="0" w:right="0" w:firstLine="360"/>
        <w:jc w:val="both"/>
        <w:rPr>
          <w:shd w:fill="FFFFFF" w:val="clear"/>
        </w:rPr>
      </w:pPr>
      <w:r>
        <w:rPr>
          <w:shd w:fill="FFFFFF" w:val="clear"/>
        </w:rPr>
        <w:t>​</w:t>
      </w:r>
    </w:p>
    <w:tbl>
      <w:tblPr>
        <w:tblW w:w="5185" w:type="dxa"/>
        <w:jc w:val="left"/>
        <w:tblInd w:w="0" w:type="dxa"/>
        <w:tblLayout w:type="fixed"/>
        <w:tblCellMar>
          <w:top w:w="0" w:type="dxa"/>
          <w:left w:w="0" w:type="dxa"/>
          <w:bottom w:w="0" w:type="dxa"/>
          <w:right w:w="0" w:type="dxa"/>
        </w:tblCellMar>
      </w:tblPr>
      <w:tblGrid>
        <w:gridCol w:w="2596"/>
        <w:gridCol w:w="109"/>
        <w:gridCol w:w="1051"/>
        <w:gridCol w:w="109"/>
        <w:gridCol w:w="383"/>
        <w:gridCol w:w="93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648460" cy="175260"/>
                      <wp:effectExtent l="0" t="0" r="0" b="0"/>
                      <wp:wrapNone/>
                      <wp:docPr id="166" name="Frame16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67385" cy="175260"/>
                      <wp:effectExtent l="0" t="0" r="0" b="0"/>
                      <wp:wrapNone/>
                      <wp:docPr id="168" name="Frame16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43205" cy="175260"/>
                      <wp:effectExtent l="0" t="0" r="0" b="0"/>
                      <wp:wrapNone/>
                      <wp:docPr id="170" name="Frame169"/>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94995" cy="175260"/>
                      <wp:effectExtent l="0" t="0" r="0" b="0"/>
                      <wp:wrapNone/>
                      <wp:docPr id="171" name="Frame170"/>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3,568,406</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2,401,079</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(1,559,157)</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(82,359)</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4,327,969</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bookmarkStart w:id="1024" w:name="Tc_XtRfUh7wLEq7A5qbjxyOpA_8_4"/>
      <w:bookmarkStart w:id="1025" w:name="Tc_DMxmO1uvF0y6XoRkHHncoQ_8_0"/>
      <w:bookmarkStart w:id="1026" w:name="Tc_KK2hh_VLuEeHkdm0Z3IiEg_7_5"/>
      <w:bookmarkStart w:id="1027" w:name="Tc_9G5Dd0ge9kOY_0J-gXA2IA_7_2"/>
      <w:bookmarkStart w:id="1028" w:name="Tc_WD48shZzeE6VySJCvlM7Nw_7_0"/>
      <w:bookmarkStart w:id="1029" w:name="Tc_XHSvj2LpL06BrlnxVoQ_uQ_6_5"/>
      <w:bookmarkStart w:id="1030" w:name="Tc_-7L5qzCt7kCjeNBFecR8XQ_6_2"/>
      <w:bookmarkStart w:id="1031" w:name="Tc_TGYu4xYmRkikeHgOgDd9QQ_6_0"/>
      <w:bookmarkStart w:id="1032" w:name="Tc_OvK4JuOlfESWumUHkE2MoA_5_0"/>
      <w:bookmarkStart w:id="1033" w:name="Tc_4dW_Oxu_xk2Pe1uAgvMQnA_4_4"/>
      <w:bookmarkStart w:id="1034" w:name="Tc_fdi9FhuPT0iFsB21MgbyWw_4_0"/>
      <w:bookmarkStart w:id="1035" w:name="Tc_KZfzQiWusUCgRnyYNh8mkw_3_4"/>
      <w:bookmarkStart w:id="1036" w:name="Tc_HSi6UUbIt0amGeq0Vy3Ysg_3_2"/>
      <w:bookmarkStart w:id="1037" w:name="Tc_IgUz855dT0yMSNYezlboMg_2_4"/>
      <w:bookmarkStart w:id="1038" w:name="Tc_NnxR1imb4U6Zb29kHe_zvQ_2_2"/>
      <w:bookmarkStart w:id="1039" w:name="Tc_2lThHV5LlUivJPIcaBmigw_1_4"/>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r>
        <w:rPr>
          <w:rFonts w:ascii="Times New Roman;Times;serif" w:hAnsi="Times New Roman;Times;serif"/>
          <w:b/>
          <w:i/>
          <w:sz w:val="20"/>
        </w:rPr>
        <w:t>Performance Stock Units (“PSUs”)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Under Crystal Landsem’s 2023 employment agreement (“the CEO Employment Agreement”), Ms. Landsem received a grant of 1,811,571 PSUs on March 5, 2023 which vest in three equal annual installments of 603,857 PSUs subject to the achievement of trailing ten day volume-weighted average price targets of the Company’s common stock and her continued employment on the vesting dates. Under the 2024 President &amp; CIO Employment Agreement, Mr. Vos received a grant of 300,000 PSUs on January 9, 2024 which vest subject to the achievement of trailing ten day volume-weighted average price targets of the Company’s common stock and his continued employment on the vesting dates. Under the 2024 CMO Employment Agreement, Ms. Deady received a grant of 50,000 PSUs on February 16, 2024, which vest subject to the achievement of specified Company trailing twelve month net revenue growth targets and her continued employment on the vesting dates</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Company recognized equity-based compensation expense of $0.4 million and $1.0 million during the thirteen and twenty-six weeks ended June 30, 2024, and $0.7 million and $0.9 million during the thirteen and twenty-six weeks ended July 2, 2023, related to the PSUs. As of June 30, 2024, the unrecognized equity-based compensation expense is $1.7 million for the financial milestones that were considered probable of achievement, which will be recognized over a weighted-average period of 1.49 years.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rollforward of unvested PSUs during the twenty-six weeks ended June 30, 2024:</w:t>
      </w:r>
    </w:p>
    <w:p>
      <w:pPr>
        <w:pStyle w:val="TextBody"/>
        <w:bidi w:val="0"/>
        <w:spacing w:before="0" w:after="240"/>
        <w:ind w:left="0" w:right="0" w:firstLine="360"/>
        <w:jc w:val="both"/>
        <w:rPr>
          <w:shd w:fill="FFFFFF" w:val="clear"/>
        </w:rPr>
      </w:pPr>
      <w:r>
        <w:rPr>
          <w:shd w:fill="FFFFFF" w:val="clear"/>
        </w:rPr>
        <w:t>​</w:t>
      </w:r>
    </w:p>
    <w:tbl>
      <w:tblPr>
        <w:tblW w:w="5065" w:type="dxa"/>
        <w:jc w:val="left"/>
        <w:tblInd w:w="0" w:type="dxa"/>
        <w:tblLayout w:type="fixed"/>
        <w:tblCellMar>
          <w:top w:w="0" w:type="dxa"/>
          <w:left w:w="0" w:type="dxa"/>
          <w:bottom w:w="0" w:type="dxa"/>
          <w:right w:w="0" w:type="dxa"/>
        </w:tblCellMar>
      </w:tblPr>
      <w:tblGrid>
        <w:gridCol w:w="2596"/>
        <w:gridCol w:w="109"/>
        <w:gridCol w:w="931"/>
        <w:gridCol w:w="109"/>
        <w:gridCol w:w="383"/>
        <w:gridCol w:w="93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48460" cy="175260"/>
                      <wp:effectExtent l="0" t="0" r="0" b="0"/>
                      <wp:wrapNone/>
                      <wp:docPr id="172" name="Frame17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91185" cy="175260"/>
                      <wp:effectExtent l="0" t="0" r="0" b="0"/>
                      <wp:wrapNone/>
                      <wp:docPr id="174" name="Frame1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43205" cy="175260"/>
                      <wp:effectExtent l="0" t="0" r="0" b="0"/>
                      <wp:wrapNone/>
                      <wp:docPr id="176" name="Frame175"/>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94995" cy="175260"/>
                      <wp:effectExtent l="0" t="0" r="0" b="0"/>
                      <wp:wrapNone/>
                      <wp:docPr id="177" name="Frame176"/>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PSUs</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granted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vested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forfeited</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2,161,571</w:t>
            </w:r>
          </w:p>
        </w:tc>
        <w:tc>
          <w:tcPr>
            <w:tcW w:w="109" w:type="dxa"/>
            <w:tcBorders/>
            <w:shd w:fill="CCEEFF" w:val="clear"/>
            <w:vAlign w:val="center"/>
          </w:tcPr>
          <w:p>
            <w:pPr>
              <w:pStyle w:val="TableContents"/>
              <w:bidi w:val="0"/>
              <w:spacing w:before="0" w:after="1"/>
              <w:ind w:left="0" w:right="0" w:hanging="0"/>
              <w:jc w:val="left"/>
              <w:rPr/>
            </w:pPr>
            <w:r>
              <w:rPr/>
              <w:t>​</w:t>
            </w:r>
          </w:p>
        </w:tc>
        <w:tc>
          <w:tcPr>
            <w:tcW w:w="3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83"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bookmarkStart w:id="1040" w:name="Tc_DjUE8eHEKEmjN9eAZ8BWEg_6_7"/>
      <w:bookmarkStart w:id="1041" w:name="Tc_iAkysc9ip0uK9b2v95WsRA_6_4"/>
      <w:bookmarkStart w:id="1042" w:name="Tc_fqHteaNo2kuw8MeZYZPQIw_6_0"/>
      <w:bookmarkStart w:id="1043" w:name="Tc_B8PP6j3DCkuuLlUbHxPxQQ_5_0"/>
      <w:bookmarkStart w:id="1044" w:name="Tc_Tv7kjoRWsUKAYCvfHc19Hw_4_5"/>
      <w:bookmarkStart w:id="1045" w:name="Tc_qe3PlLeggkaofnG24YG2LQ_4_2"/>
      <w:bookmarkStart w:id="1046" w:name="Tc_kqLhXaKVi0qJiUxyYv-HHA_4_0"/>
      <w:bookmarkStart w:id="1047" w:name="Tc_3cdOHXPSlESyIqHo6UkZDQ_3_5"/>
      <w:bookmarkStart w:id="1048" w:name="Tc_XbajvTVd2UucsqqnnUAjXg_3_2"/>
      <w:bookmarkStart w:id="1049" w:name="Tc_SDo-x5oiQEm0P69y9jDTFw_2_5"/>
      <w:bookmarkStart w:id="1050" w:name="Tc_UTyJFARUX0i9GJBg8giSuw_2_2"/>
      <w:bookmarkStart w:id="1051" w:name="Tc_890NX85SxUKbZk6RtEP98g_1_2"/>
      <w:bookmarkStart w:id="1052" w:name="_dc6d2288_9118_4ecc_af36_1128501701b7"/>
      <w:bookmarkStart w:id="1053" w:name="Tc_qcEidlAkbUuuGSJ6pJ_SmQ_6_7"/>
      <w:bookmarkStart w:id="1054" w:name="Tc_FiFA7YEbakiOVbigmbOKDA_6_4"/>
      <w:bookmarkStart w:id="1055" w:name="Tc_fyU0i25bhE2-cPUWTLgmfQ_6_0"/>
      <w:bookmarkStart w:id="1056" w:name="Tc_irLmgagoQUSpDamTYg5AnQ_5_0"/>
      <w:bookmarkStart w:id="1057" w:name="Tc_LbXyqttHCUiV_5c_y1NAsw_4_5"/>
      <w:bookmarkStart w:id="1058" w:name="Tc_c7Bd3yjDzkSPbFWE5kixBg_4_2"/>
      <w:bookmarkStart w:id="1059" w:name="Tc_cXG7AH9Mf0WpCu--wnT1Og_4_0"/>
      <w:bookmarkStart w:id="1060" w:name="Tc_ZA-S29ZqEE-Q784Ayi479Q_3_5"/>
      <w:bookmarkStart w:id="1061" w:name="Tc_OH6lNd3viEet0IiSo-h4Rw_3_2"/>
      <w:bookmarkStart w:id="1062" w:name="Tc_lGBzSFpik0qAidssHpTzNQ_2_5"/>
      <w:bookmarkStart w:id="1063" w:name="Tc_mpc9RyktLEydUMrv_h9wPg_2_2"/>
      <w:bookmarkStart w:id="1064" w:name="Tc_e-WZAjO5hEiMSRrhOsIfoA_1_2"/>
      <w:bookmarkStart w:id="1065" w:name="_3d95aeb4_8976_44c5_9501_78b82425d041"/>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ascii="Times New Roman;Times;serif" w:hAnsi="Times New Roman;Times;serif"/>
          <w:b/>
          <w:i w:val="false"/>
          <w:caps w:val="false"/>
          <w:smallCaps w:val="false"/>
          <w:sz w:val="20"/>
        </w:rPr>
        <w:t>11.</w:t>
      </w:r>
      <w:r>
        <w:rPr>
          <w:rFonts w:ascii="Times New Roman;Times;serif" w:hAnsi="Times New Roman;Times;serif"/>
          <w:b/>
          <w:sz w:val="20"/>
        </w:rPr>
        <w:t>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Company’s loss before income taxes is from the United States. The following table presents the components of the provision for income taxes (in thousands):</w:t>
      </w:r>
    </w:p>
    <w:p>
      <w:pPr>
        <w:pStyle w:val="TextBody"/>
        <w:bidi w:val="0"/>
        <w:spacing w:before="0" w:after="0"/>
        <w:ind w:left="0" w:right="0" w:hanging="0"/>
        <w:jc w:val="left"/>
        <w:rPr>
          <w:shd w:fill="FFFF00" w:val="clear"/>
        </w:rPr>
      </w:pPr>
      <w:r>
        <w:rPr>
          <w:shd w:fill="FFFF00" w:val="clear"/>
        </w:rPr>
        <w:t>​</w:t>
      </w:r>
    </w:p>
    <w:tbl>
      <w:tblPr>
        <w:tblW w:w="6028" w:type="dxa"/>
        <w:jc w:val="left"/>
        <w:tblInd w:w="0" w:type="dxa"/>
        <w:tblLayout w:type="fixed"/>
        <w:tblCellMar>
          <w:top w:w="0" w:type="dxa"/>
          <w:left w:w="0" w:type="dxa"/>
          <w:bottom w:w="0" w:type="dxa"/>
          <w:right w:w="0" w:type="dxa"/>
        </w:tblCellMar>
      </w:tblPr>
      <w:tblGrid>
        <w:gridCol w:w="3256"/>
        <w:gridCol w:w="326"/>
        <w:gridCol w:w="211"/>
        <w:gridCol w:w="691"/>
        <w:gridCol w:w="326"/>
        <w:gridCol w:w="211"/>
        <w:gridCol w:w="691"/>
        <w:gridCol w:w="31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67560" cy="175260"/>
                      <wp:effectExtent l="0" t="0" r="0" b="0"/>
                      <wp:wrapNone/>
                      <wp:docPr id="178" name="Frame177"/>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38785" cy="175260"/>
                      <wp:effectExtent l="0" t="0" r="0" b="0"/>
                      <wp:wrapNone/>
                      <wp:docPr id="181" name="Frame1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38785" cy="175260"/>
                      <wp:effectExtent l="0" t="0" r="0" b="0"/>
                      <wp:wrapNone/>
                      <wp:docPr id="184" name="Frame1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0660" cy="175260"/>
                      <wp:effectExtent l="0" t="0" r="0" b="0"/>
                      <wp:wrapNone/>
                      <wp:docPr id="185" name="Frame1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16" w:type="dxa"/>
            <w:tcBorders/>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16" w:type="dxa"/>
            <w:tcBorders/>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 </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316"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00" w:val="clear"/>
        </w:rPr>
      </w:pPr>
      <w:r>
        <w:rPr>
          <w:shd w:fill="FFFF00" w:val="clear"/>
        </w:rPr>
        <w:t>​</w:t>
      </w:r>
    </w:p>
    <w:tbl>
      <w:tblPr>
        <w:tblW w:w="5523" w:type="dxa"/>
        <w:jc w:val="left"/>
        <w:tblInd w:w="0" w:type="dxa"/>
        <w:tblLayout w:type="fixed"/>
        <w:tblCellMar>
          <w:top w:w="0" w:type="dxa"/>
          <w:left w:w="0" w:type="dxa"/>
          <w:bottom w:w="0" w:type="dxa"/>
          <w:right w:w="0" w:type="dxa"/>
        </w:tblCellMar>
      </w:tblPr>
      <w:tblGrid>
        <w:gridCol w:w="2701"/>
        <w:gridCol w:w="326"/>
        <w:gridCol w:w="211"/>
        <w:gridCol w:w="796"/>
        <w:gridCol w:w="271"/>
        <w:gridCol w:w="211"/>
        <w:gridCol w:w="691"/>
        <w:gridCol w:w="31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715135" cy="175260"/>
                      <wp:effectExtent l="0" t="0" r="0" b="0"/>
                      <wp:wrapNone/>
                      <wp:docPr id="186" name="Frame185"/>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05460" cy="175260"/>
                      <wp:effectExtent l="0" t="0" r="0" b="0"/>
                      <wp:wrapNone/>
                      <wp:docPr id="189" name="Frame1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72085" cy="175260"/>
                      <wp:effectExtent l="0" t="0" r="0" b="0"/>
                      <wp:wrapNone/>
                      <wp:docPr id="190" name="Frame18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8785" cy="175260"/>
                      <wp:effectExtent l="0" t="0" r="0" b="0"/>
                      <wp:wrapNone/>
                      <wp:docPr id="192" name="Frame1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0660" cy="175260"/>
                      <wp:effectExtent l="0" t="0" r="0" b="0"/>
                      <wp:wrapNone/>
                      <wp:docPr id="193" name="Frame19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16"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271"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16"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(10,780)</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16" w:type="dxa"/>
            <w:tcBorders/>
            <w:vAlign w:val="center"/>
          </w:tcPr>
          <w:p>
            <w:pPr>
              <w:pStyle w:val="TableContents"/>
              <w:bidi w:val="0"/>
              <w:spacing w:before="0" w:after="0"/>
              <w:ind w:left="0" w:right="0" w:hanging="0"/>
              <w:jc w:val="lef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pre-tax loss for the period ended June 30, 2024 relative to the Company’s projected pre-tax income for fiscal 2024 yielded an annual effective tax rate, which was deemed to be appropriate or meaningful.  Based on this fact, the Company determined that the historical estimated annual effective tax rate method would provide a reliable estimate and was used for calculating the interim provision for the period ended June 30,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thirteen and twenty-six weeks ended June 30, 2024, the Company's effective tax rate differs from the federal income tax rate of 21% primarily due to the establishment of valuation allowance as the Company could not provide sufficient positive evidence that the deferred taxes will be more-likely-than-not realized in the future. For the thirteen and twenty-six weeks ended July 2, 2023, the Company's effective tax rate differs from the federal income tax rate of 21% primarily due to non-deductible executive compensation and non-deductible equity-based compensation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established a valuation allowance of $5.4 million during the thirteen weeks ended June 30, 2024.  This was comprised of a valuation allowance of $5.7 million for the net deferred taxes as of December 31, 2023 and an adjustment of $0.3 million for the twenty-six week period through June 30, 2024. The significant piece of objectively verifiable negative evidence evaluated was the recent cumulative losses. Our ability to use our deferred tax assets depends on the amount of taxable income in future periods. </w:t>
      </w:r>
    </w:p>
    <w:p>
      <w:pPr>
        <w:pStyle w:val="TextBody"/>
        <w:bidi w:val="0"/>
        <w:spacing w:before="0" w:after="0"/>
        <w:ind w:left="0" w:right="0" w:firstLine="360"/>
        <w:jc w:val="both"/>
        <w:rPr>
          <w:color w:val="FF0000"/>
          <w:shd w:fill="FFFF00" w:val="clear"/>
        </w:rPr>
      </w:pPr>
      <w:r>
        <w:rPr>
          <w:color w:val="FF0000"/>
          <w:shd w:fill="FFFF00" w:val="clea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Related Party Transactions</w:t>
      </w:r>
    </w:p>
    <w:p>
      <w:pPr>
        <w:pStyle w:val="TextBody"/>
        <w:bidi w:val="0"/>
        <w:spacing w:lineRule="auto" w:line="328" w:before="120" w:after="120"/>
        <w:ind w:left="0" w:right="0" w:hanging="0"/>
        <w:jc w:val="left"/>
        <w:rPr>
          <w:rFonts w:ascii="Times New Roman;Times;serif" w:hAnsi="Times New Roman;Times;serif"/>
          <w:b/>
          <w:i/>
          <w:sz w:val="20"/>
        </w:rPr>
      </w:pPr>
      <w:r>
        <w:rPr>
          <w:rFonts w:ascii="Times New Roman;Times;serif" w:hAnsi="Times New Roman;Times;serif"/>
          <w:b/>
          <w:i/>
          <w:sz w:val="20"/>
        </w:rPr>
        <w:t>Significant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shd w:fill="FFFFFF" w:val="clear"/>
        </w:rPr>
        <w:t>13.</w:t>
      </w:r>
      <w:r>
        <w:rPr>
          <w:rFonts w:ascii="Times New Roman;Times;serif" w:hAnsi="Times New Roman;Times;serif"/>
          <w:b/>
          <w:sz w:val="20"/>
        </w:rPr>
        <w:t>Subsequent Events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2024 Amended Credit Agreement</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0"/>
        </w:rPr>
        <w:t>On July 22, 2024, the Company entered into the 2024 Amended Credit Agreement. The 2024 Amended Credit Agreement provides for a nine-month</w:t>
      </w:r>
      <w:r>
        <w:rPr>
          <w:rFonts w:ascii="Times New Roman;Times;serif" w:hAnsi="Times New Roman;Times;serif"/>
          <w:sz w:val="24"/>
        </w:rPr>
        <w:t xml:space="preserve"> </w:t>
      </w:r>
      <w:r>
        <w:rPr>
          <w:rFonts w:ascii="Times New Roman;Times;serif" w:hAnsi="Times New Roman;Times;serif"/>
          <w:sz w:val="20"/>
        </w:rPr>
        <w:t>extension of the maturity date to August 15, 2025.</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2024 Amended Credit Agreement reduced the 2021 Revolving Facility from $50.0 million to $15.0 million, and further reduces the 2021 Revolving Facility to $10.0 million on March 31, 2025. Additionally, the 2024 Amended Credit Agreement reduced the letter of credit sublimit from $7.5 million to $5.0 million. Under the 2024 Amended Credit Agreement, the Company can increase the aggregate amount of the facility by $10.0 million, reduced from $25.0 million, subject to the satisfaction of certain conditions.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2024 Amended Credit Agreement revised the applicable interest rates for borrowings for the period commencing on July 22, 2024 through (but excluding) November 15, 2024 as follows: the Base Rate Loan increased from 0.75%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LULU’S FASHION LOUNGE HOLDINGS,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1.25%, and the Term SOFR Loan and Letter of Credit Fees each increased from 1.75% to 2.25%. Beginning November 15, 2024, the Base Rate Loan will increase to 2.25% and the Term SOFR Loan and the Letter of Credit Fees will each increase to 3.25%. Additionally, the 2024 Amended Credit Agreement reduced the SOFR credit spread adjustment to 0.10%, which previously ranged from 0.11448% to 0.71513% depending on the SOFR tenor. The 2024 Amended Credit Agreement also added and modified certain financial covenants. Capitalized terms used without definition are as defined in the 2024 Amended Credit Agreement.</w:t>
      </w:r>
    </w:p>
    <w:p>
      <w:pPr>
        <w:pStyle w:val="TextBody"/>
        <w:bidi w:val="0"/>
        <w:spacing w:before="0" w:after="0"/>
        <w:ind w:left="0" w:right="0" w:firstLine="36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66" w:name="Item2ManagementsDiscussionandAnalysisofF"/>
      <w:bookmarkStart w:id="1067" w:name="_aa96b47d_7a68_45af_a27c_bad100ca63d7"/>
      <w:bookmarkEnd w:id="1066"/>
      <w:bookmarkEnd w:id="1067"/>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shd w:fill="FFFFFF" w:val="clear"/>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December 31, 2023, filed with the Securities and Exchange Commission (“SEC”) on March 6, 2024 (the “2023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of the 2023 10-K and other factors set forth in other parts of this Quarterly Report on Form 10-Q.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Lulus is a customer-driven, primarily online, digitally-native, attainable luxury fashion brand for women, offering modern, unapologetically feminine designs at attainable prices for all of life’s fashionable moments. Our aim is to make every woman feel beautiful, celebrated and as if she’s the most special version of herself for every occasion – from work desk to dream date or cozied up on the couch to the spotlight of her wedding day. Lulus primarily serves a large, diverse community of Millennial and Gen Z women, who typically meet us in their 20s and stay with us through their 30s and beyond. We focus relentlessly on giving our customers what they want by using direct consumer feedback and insights to refine product offerings and elevate the customer experience. Lulus’ world class personal stylists, bridal concierge, and customer care team share an unwavering commitment to elevating style and quality and bring exceptional customer service and personalized shopping to customers around the world</w:t>
      </w:r>
      <w:r>
        <w:rPr>
          <w:rFonts w:ascii="Times New Roman;Times;serif" w:hAnsi="Times New Roman;Times;serif"/>
          <w:sz w:val="20"/>
        </w:rPr>
        <w:t>.</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Impact of Macroeconomic Trends on Business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and overall consumer confidence with respect to current and future economic conditions, have directly impacted our sales in the first six months of 2024 as discretionary consumer spending levels and shopping behavior fluctuate with these factors. During the first six months of 2024, we have responded to these factors by taking appropriate pricing, promotional and other actions to stimulate customer demand. These factors are expected to continue to have an impact on our business, results of operations, our growth and financial condition.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on a going concern basis, which contemplates the realization of assets and the satisfaction of liabilities in the normal course of business. During the thirteen and twenty-six weeks ended June 30, 2024, we incurred net losses of $10.8 million and $16.5 million, respectively.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Verdana" w:hAnsi="Verdana"/>
          <w:sz w:val="20"/>
        </w:rPr>
      </w:pPr>
      <w:r>
        <w:rPr>
          <w:rFonts w:ascii="Times New Roman;Times;serif" w:hAnsi="Times New Roman;Times;serif"/>
          <w:sz w:val="20"/>
        </w:rPr>
        <w:t xml:space="preserve">In November 2021, we entered into a Credit Agreement (the “2021 Credit Agreement”) with Bank of America to provide a Revolving Facility (the “2021 Revolving Facility”) that provided for borrowings up to $50.0 million. The 2021 Credit Agreement contained various financial covenants and had a maturity date of November 15, 2024 as described in Note 5, </w:t>
      </w:r>
      <w:r>
        <w:rPr>
          <w:rFonts w:ascii="Times New Roman;Times;serif" w:hAnsi="Times New Roman;Times;serif"/>
          <w:i/>
          <w:sz w:val="20"/>
        </w:rPr>
        <w:t>Debt</w:t>
      </w:r>
      <w:r>
        <w:rPr>
          <w:rFonts w:ascii="Times New Roman;Times;serif" w:hAnsi="Times New Roman;Times;serif"/>
          <w:sz w:val="20"/>
        </w:rPr>
        <w:t>.  As of June 30, 2024, we had total cash and cash equivalents of $1.8 million and no amounts due under the 2021 Revolving Facility.  On July 22, 2024, we entered into an amendment to the 2021 Credit Agreement (the “2024 Amended Credit Agreement”) as described in Note 13,</w:t>
      </w:r>
      <w:r>
        <w:rPr>
          <w:rFonts w:ascii="Verdana" w:hAnsi="Verdana"/>
          <w:sz w:val="20"/>
        </w:rPr>
        <w:t xml:space="preserve"> </w:t>
      </w:r>
      <w:r>
        <w:rPr>
          <w:rFonts w:ascii="Times New Roman;Times;serif" w:hAnsi="Times New Roman;Times;serif"/>
          <w:i/>
          <w:sz w:val="20"/>
        </w:rPr>
        <w:t>Subsequent Events</w:t>
      </w:r>
      <w:r>
        <w:rPr>
          <w:rFonts w:ascii="Times New Roman;Times;serif" w:hAnsi="Times New Roman;Times;serif"/>
          <w:sz w:val="20"/>
        </w:rPr>
        <w:t>.</w:t>
      </w:r>
    </w:p>
    <w:p>
      <w:pPr>
        <w:pStyle w:val="TextBody"/>
        <w:bidi w:val="0"/>
        <w:spacing w:before="0" w:after="240"/>
        <w:ind w:left="0" w:right="0" w:firstLine="360"/>
        <w:jc w:val="both"/>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During the thirteen and twenty-six weeks ended June 30, 2024, we incurred net losses of $10.8 million and $16.5 million, respectively. Despite the net losses, we generated net cash provided from operating activities of $3.7 million and $10.6 million, for the thirteen and twenty-six weeks ended June 30, 2024, respectively.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the next twelve months, we will continue to take certain cost reduction and cash conservation measures, including adjustments to marketing and other variable and capital spend to meet our obligations and work to secure additional debt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financing as needed. As the ability to raise additional debt financing is outside of our control, we cannot conclude that our plans will be effectively implemented within twelve months from the date the condensed consolidated financial statements are issued. Accordingly, we have concluded that these plans do not alleviate substantial doubt about our ability to continue as a going concern. The condensed consolidated financial statements do not reflect any adjustments relating to the outcome of this uncertainty.</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and Financial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and analyze operating and financial data to assess the performance of our business and optimize resource allocation. The following table sets forth our key performance indicators for the periods presented.</w:t>
      </w:r>
    </w:p>
    <w:tbl>
      <w:tblPr>
        <w:tblW w:w="8671" w:type="dxa"/>
        <w:jc w:val="left"/>
        <w:tblInd w:w="0" w:type="dxa"/>
        <w:tblLayout w:type="fixed"/>
        <w:tblCellMar>
          <w:top w:w="0" w:type="dxa"/>
          <w:left w:w="0" w:type="dxa"/>
          <w:bottom w:w="0" w:type="dxa"/>
          <w:right w:w="0" w:type="dxa"/>
        </w:tblCellMar>
      </w:tblPr>
      <w:tblGrid>
        <w:gridCol w:w="2491"/>
        <w:gridCol w:w="326"/>
        <w:gridCol w:w="211"/>
        <w:gridCol w:w="796"/>
        <w:gridCol w:w="361"/>
        <w:gridCol w:w="146"/>
        <w:gridCol w:w="211"/>
        <w:gridCol w:w="691"/>
        <w:gridCol w:w="361"/>
        <w:gridCol w:w="109"/>
        <w:gridCol w:w="211"/>
        <w:gridCol w:w="796"/>
        <w:gridCol w:w="361"/>
        <w:gridCol w:w="146"/>
        <w:gridCol w:w="211"/>
        <w:gridCol w:w="691"/>
        <w:gridCol w:w="361"/>
        <w:gridCol w:w="19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581785" cy="175260"/>
                      <wp:effectExtent l="0" t="0" r="0" b="0"/>
                      <wp:wrapNone/>
                      <wp:docPr id="194" name="Frame193"/>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05460" cy="175260"/>
                      <wp:effectExtent l="0" t="0" r="0" b="0"/>
                      <wp:wrapNone/>
                      <wp:docPr id="197" name="Frame1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29235" cy="175260"/>
                      <wp:effectExtent l="0" t="0" r="0" b="0"/>
                      <wp:wrapNone/>
                      <wp:docPr id="198" name="Frame19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2710" cy="175260"/>
                      <wp:effectExtent l="0" t="0" r="0" b="0"/>
                      <wp:wrapNone/>
                      <wp:docPr id="199" name="Frame19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785" cy="175260"/>
                      <wp:effectExtent l="0" t="0" r="0" b="0"/>
                      <wp:wrapNone/>
                      <wp:docPr id="201"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9235" cy="175260"/>
                      <wp:effectExtent l="0" t="0" r="0" b="0"/>
                      <wp:wrapNone/>
                      <wp:docPr id="202" name="Frame20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05460" cy="175260"/>
                      <wp:effectExtent l="0" t="0" r="0" b="0"/>
                      <wp:wrapNone/>
                      <wp:docPr id="205" name="Frame20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29235" cy="175260"/>
                      <wp:effectExtent l="0" t="0" r="0" b="0"/>
                      <wp:wrapNone/>
                      <wp:docPr id="206" name="Frame20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2710" cy="175260"/>
                      <wp:effectExtent l="0" t="0" r="0" b="0"/>
                      <wp:wrapNone/>
                      <wp:docPr id="207" name="Frame20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38785" cy="175260"/>
                      <wp:effectExtent l="0" t="0" r="0" b="0"/>
                      <wp:wrapNone/>
                      <wp:docPr id="209" name="Frame2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29235" cy="175260"/>
                      <wp:effectExtent l="0" t="0" r="0" b="0"/>
                      <wp:wrapNone/>
                      <wp:docPr id="210" name="Frame2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21285" cy="175260"/>
                      <wp:effectExtent l="0" t="0" r="0" b="0"/>
                      <wp:wrapNone/>
                      <wp:docPr id="211" name="Frame21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7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91"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46"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09" w:type="dxa"/>
            <w:tcBorders/>
            <w:vAlign w:val="center"/>
          </w:tcPr>
          <w:p>
            <w:pPr>
              <w:pStyle w:val="TableContents"/>
              <w:bidi w:val="0"/>
              <w:spacing w:before="0" w:after="0"/>
              <w:ind w:left="0" w:right="0" w:hanging="0"/>
              <w:jc w:val="center"/>
              <w:rPr/>
            </w:pPr>
            <w:r>
              <w:rPr/>
              <w:t>​</w:t>
            </w:r>
          </w:p>
        </w:tc>
        <w:tc>
          <w:tcPr>
            <w:tcW w:w="13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46"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left"/>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w:t>
            </w:r>
          </w:p>
        </w:tc>
      </w:tr>
      <w:tr>
        <w:trPr/>
        <w:tc>
          <w:tcPr>
            <w:tcW w:w="8671"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663" w:type="dxa"/>
            <w:gridSpan w:val="1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Average Order Value)</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(10,796)</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(16,532)</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w:t>
            </w:r>
          </w:p>
        </w:tc>
        <w:tc>
          <w:tcPr>
            <w:tcW w:w="3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c>
          <w:tcPr>
            <w:tcW w:w="3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w:t>
            </w:r>
          </w:p>
        </w:tc>
        <w:tc>
          <w:tcPr>
            <w:tcW w:w="36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Active Customers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w:t>
            </w:r>
          </w:p>
        </w:tc>
        <w:tc>
          <w:tcPr>
            <w:tcW w:w="36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w:t>
            </w:r>
          </w:p>
        </w:tc>
        <w:tc>
          <w:tcPr>
            <w:tcW w:w="36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c>
          <w:tcPr>
            <w:tcW w:w="36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Order Value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8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 a reconciliation of non-GAAP financial measures to the most directly comparable GAAP financial measure and why we consider them useful, see “Management’s Discussion and Analysis of Financial Condition and Results of Operations - Non-GAAP Financial Measures.”</w:t>
            </w:r>
          </w:p>
        </w:tc>
      </w:tr>
    </w:tbl>
    <w:p>
      <w:pPr>
        <w:pStyle w:val="TextBody"/>
        <w:pBdr/>
        <w:bidi w:val="0"/>
        <w:spacing w:before="0" w:after="0"/>
        <w:ind w:left="0" w:right="0" w:hanging="369"/>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Active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Active Customers as the number of customers who have made at least one purchase across our platform in the prior 12-month period. Active Customer count is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Average Order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Average Order Value (“AOV”) as the sum of the total gross sales before returns across our platform in a given period, plus shipping revenue, less discounts and markdowns, divided by the Total Orders Placed (as defined below) in that period. AOV reflects average basket size of our customers. AOV may fluctuate as we continue investing in the development and introduction of new Lulus merchandise and as a result of our promotional discount activity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Total Orders Placed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shd w:fill="FFFFFF" w:val="clear"/>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Adjusted EBITDA, Adjusted EBITDA Margin, and Free Cash Flow</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Adjusted EBITDA is a non-GAAP financial measure that we calculate as net loss before interest expense, income taxes, depreciation and amortization adjusted to exclude the effects of equity-based compensation expense and other non-routine expenses. Adjusted EBITDA is a key measure used by management to evaluate our operating performance, generate future operating plans and make strategic decisions regarding the allocation of capital.</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supplement our condensed consolidated financial statements which are prepared in accordance with GAAP, we use “Adjusted EBITDA”, “Adjusted EBITDA Margin” (collectively referred to as “Adjusted EBITDA”) and “Free Cash Flow” 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interest expense, or the cash requirements necessary to service interest or principal payments on our debt;</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tax expense or the cash requirements to pay our taxes;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EBITDA does not reflect certain non-routine expenses that may represent a reduction in cash available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although depreciation and amortization are non-cash charges, the assets being depreciated and amortized will often have to be replaced in the future and such measures do not reflect any cash requirements for such replacements;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Free Cash Flow does not represent the total residual cash flow available for discretionary purposes;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such measures differently than we do, limiting their usefulness as comparative measures.</w:t>
            </w:r>
          </w:p>
        </w:tc>
      </w:tr>
    </w:tbl>
    <w:p>
      <w:pPr>
        <w:pStyle w:val="TextBody"/>
        <w:bidi w:val="0"/>
        <w:spacing w:before="0" w:after="0"/>
        <w:ind w:left="0" w:right="0" w:firstLine="432"/>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Due to these limitations, Adjusted EBITDA and Adjusted EBITDA Margin should not be considered as measures of discretionary cash available to us to invest in the growth of our business. We compensate for these limitations by relying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primarily on our GAAP results and using these non-GAAP measures only supplementally. As noted in the table below, Adjusted EBITDA includes adjustments to exclude the impact of depreciation and amortization, interest expense, income taxes, equity-based compensation expense and other non-routine expenses.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reconciliation for Adjusted EBITDA and Adjusted EBITDA Margin:</w:t>
      </w:r>
    </w:p>
    <w:tbl>
      <w:tblPr>
        <w:tblW w:w="9250" w:type="dxa"/>
        <w:jc w:val="left"/>
        <w:tblInd w:w="0" w:type="dxa"/>
        <w:tblLayout w:type="fixed"/>
        <w:tblCellMar>
          <w:top w:w="0" w:type="dxa"/>
          <w:left w:w="0" w:type="dxa"/>
          <w:bottom w:w="0" w:type="dxa"/>
          <w:right w:w="0" w:type="dxa"/>
        </w:tblCellMar>
      </w:tblPr>
      <w:tblGrid>
        <w:gridCol w:w="3361"/>
        <w:gridCol w:w="326"/>
        <w:gridCol w:w="211"/>
        <w:gridCol w:w="796"/>
        <w:gridCol w:w="271"/>
        <w:gridCol w:w="109"/>
        <w:gridCol w:w="211"/>
        <w:gridCol w:w="691"/>
        <w:gridCol w:w="361"/>
        <w:gridCol w:w="109"/>
        <w:gridCol w:w="211"/>
        <w:gridCol w:w="796"/>
        <w:gridCol w:w="271"/>
        <w:gridCol w:w="109"/>
        <w:gridCol w:w="211"/>
        <w:gridCol w:w="691"/>
        <w:gridCol w:w="361"/>
        <w:gridCol w:w="154"/>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34235" cy="175260"/>
                      <wp:effectExtent l="0" t="0" r="0" b="0"/>
                      <wp:wrapNone/>
                      <wp:docPr id="212" name="Frame211"/>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05460" cy="175260"/>
                      <wp:effectExtent l="0" t="0" r="0" b="0"/>
                      <wp:wrapNone/>
                      <wp:docPr id="215" name="Frame2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72085" cy="175260"/>
                      <wp:effectExtent l="0" t="0" r="0" b="0"/>
                      <wp:wrapNone/>
                      <wp:docPr id="216" name="Frame2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38785" cy="175260"/>
                      <wp:effectExtent l="0" t="0" r="0" b="0"/>
                      <wp:wrapNone/>
                      <wp:docPr id="219" name="Frame2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29235" cy="175260"/>
                      <wp:effectExtent l="0" t="0" r="0" b="0"/>
                      <wp:wrapNone/>
                      <wp:docPr id="220" name="Frame21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05460" cy="175260"/>
                      <wp:effectExtent l="0" t="0" r="0" b="0"/>
                      <wp:wrapNone/>
                      <wp:docPr id="223" name="Frame2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72085" cy="175260"/>
                      <wp:effectExtent l="0" t="0" r="0" b="0"/>
                      <wp:wrapNone/>
                      <wp:docPr id="224" name="Frame22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38785" cy="175260"/>
                      <wp:effectExtent l="0" t="0" r="0" b="0"/>
                      <wp:wrapNone/>
                      <wp:docPr id="227" name="Frame2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29235" cy="175260"/>
                      <wp:effectExtent l="0" t="0" r="0" b="0"/>
                      <wp:wrapNone/>
                      <wp:docPr id="228" name="Frame22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7790" cy="175260"/>
                      <wp:effectExtent l="0" t="0" r="0" b="0"/>
                      <wp:wrapNone/>
                      <wp:docPr id="229" name="Frame2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65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7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09" w:type="dxa"/>
            <w:tcBorders/>
            <w:vAlign w:val="center"/>
          </w:tcPr>
          <w:p>
            <w:pPr>
              <w:pStyle w:val="TableContents"/>
              <w:bidi w:val="0"/>
              <w:spacing w:before="0" w:after="0"/>
              <w:ind w:left="0" w:right="0" w:hanging="0"/>
              <w:jc w:val="left"/>
              <w:rPr/>
            </w:pPr>
            <w:r>
              <w:rPr/>
              <w:t>​</w:t>
            </w:r>
          </w:p>
        </w:tc>
        <w:tc>
          <w:tcPr>
            <w:tcW w:w="127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2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9250"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265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(10,796)</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(16,532)</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w:t>
            </w:r>
          </w:p>
        </w:tc>
        <w:tc>
          <w:tcPr>
            <w:tcW w:w="361"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2,710</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6,331</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 expense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4,128</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9,029</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non-routine expense (2)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79"/>
        <w:gridCol w:w="9802"/>
      </w:tblGrid>
      <w:tr>
        <w:trPr/>
        <w:tc>
          <w:tcPr>
            <w:tcW w:w="124" w:type="dxa"/>
            <w:tcBorders/>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thirteen weeks ended June 30, 2024 and July 2, 2023 include equity-based compensation expense for restricted stock units (“RSUs”) granted during the period and prior periods, as well as performance stock units (“PSUs”) and equity-based awards granted in prior periods. The twenty-six weeks ended June 30, 2024 include equity-based compensation expense for RSUs and PSUs granted during the period and prior periods, as well as equity-based awards granted in prior periods.  The twenty-six weeks ended July 2, 2023 include equity-based compensation expense for PSUs granted during the period, RSUs granted during the period and prior periods, accelerated expense in the period associated with the voluntary forfeiture of stock options, and equity-based awards granted in prior periods.</w:t>
            </w:r>
            <w:r>
              <w:rPr>
                <w:caps w:val="false"/>
                <w:smallCaps w:val="false"/>
              </w:rPr>
              <w:t xml:space="preserve"> </w:t>
            </w:r>
          </w:p>
        </w:tc>
      </w:tr>
    </w:tbl>
    <w:p>
      <w:pPr>
        <w:pStyle w:val="TextBody"/>
        <w:pBdr/>
        <w:bidi w:val="0"/>
        <w:spacing w:before="0" w:after="0"/>
        <w:ind w:left="0" w:right="0" w:hanging="369"/>
        <w:jc w:val="both"/>
        <w:rPr>
          <w:shd w:fill="FFFFFF" w:val="clear"/>
        </w:rPr>
      </w:pPr>
      <w:r>
        <w:rPr>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thirteen and twenty-six weeks ended June 30, 2024 include non-routine expenses </w:t>
            </w:r>
            <w:r>
              <w:rPr>
                <w:rFonts w:ascii="Times New Roman;Times;serif" w:hAnsi="Times New Roman;Times;serif"/>
                <w:b w:val="false"/>
                <w:i w:val="false"/>
                <w:caps w:val="false"/>
                <w:smallCaps w:val="false"/>
                <w:sz w:val="20"/>
                <w:shd w:fill="FFFFFF" w:val="clear"/>
              </w:rPr>
              <w:t>related to a legal reserve accrual net of an anticipated and contingent insurance receivable.</w:t>
            </w:r>
            <w:r>
              <w:rPr>
                <w:caps w:val="false"/>
                <w:smallCaps w:val="false"/>
              </w:rPr>
              <w:t xml:space="preserve"> </w:t>
            </w:r>
            <w:r>
              <w:rPr>
                <w:rFonts w:ascii="Times New Roman;Times;serif" w:hAnsi="Times New Roman;Times;serif"/>
                <w:b w:val="false"/>
                <w:i w:val="false"/>
                <w:caps w:val="false"/>
                <w:smallCaps w:val="false"/>
                <w:sz w:val="20"/>
              </w:rPr>
              <w:t xml:space="preserve">See Note 7, </w:t>
            </w:r>
            <w:r>
              <w:rPr>
                <w:rFonts w:ascii="Times New Roman;Times;serif" w:hAnsi="Times New Roman;Times;serif"/>
                <w:b w:val="false"/>
                <w:i/>
                <w:sz w:val="20"/>
              </w:rPr>
              <w:t>Commitments and Contingencies - Litigation and Other</w:t>
            </w:r>
            <w:r>
              <w:rPr>
                <w:rFonts w:ascii="Times New Roman;Times;serif" w:hAnsi="Times New Roman;Times;serif"/>
                <w:b w:val="false"/>
                <w:i w:val="false"/>
                <w:caps w:val="false"/>
                <w:smallCaps w:val="false"/>
                <w:sz w:val="20"/>
              </w:rPr>
              <w:t>, in the Notes to the Condensed Consolidated Financial Statements included elsewhere in this Quarterly Report on Form 10-Q for more information.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Free Cash Flow</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is a non-GAAP financial measure that we calculate as net cash provided by operating activities less cash used for capitalized software development costs and purchases of property and equipment.  We view Free Cash Flow as an important indicator of our liquidity because it measures the amount of cash we generate.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reconciliation to non-GAAP Free Cash Flow from net cash provided by operating activities for the thirteen and twenty-six weeks ended June 30, 2024 and July 2, 2023 is as follows:</w:t>
      </w:r>
    </w:p>
    <w:tbl>
      <w:tblPr>
        <w:tblW w:w="8212" w:type="dxa"/>
        <w:jc w:val="left"/>
        <w:tblInd w:w="0" w:type="dxa"/>
        <w:tblLayout w:type="fixed"/>
        <w:tblCellMar>
          <w:top w:w="0" w:type="dxa"/>
          <w:left w:w="0" w:type="dxa"/>
          <w:bottom w:w="0" w:type="dxa"/>
          <w:right w:w="0" w:type="dxa"/>
        </w:tblCellMar>
      </w:tblPr>
      <w:tblGrid>
        <w:gridCol w:w="3466"/>
        <w:gridCol w:w="109"/>
        <w:gridCol w:w="303"/>
        <w:gridCol w:w="822"/>
        <w:gridCol w:w="112"/>
        <w:gridCol w:w="270"/>
        <w:gridCol w:w="735"/>
        <w:gridCol w:w="109"/>
        <w:gridCol w:w="267"/>
        <w:gridCol w:w="858"/>
        <w:gridCol w:w="111"/>
        <w:gridCol w:w="234"/>
        <w:gridCol w:w="8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200910" cy="175260"/>
                      <wp:effectExtent l="0" t="0" r="0" b="0"/>
                      <wp:wrapNone/>
                      <wp:docPr id="230" name="Frame229"/>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92405" cy="175260"/>
                      <wp:effectExtent l="0" t="0" r="0" b="0"/>
                      <wp:wrapNone/>
                      <wp:docPr id="232" name="Frame23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21970" cy="175260"/>
                      <wp:effectExtent l="0" t="0" r="0" b="0"/>
                      <wp:wrapNone/>
                      <wp:docPr id="233" name="Frame232"/>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1120" cy="175260"/>
                      <wp:effectExtent l="0" t="0" r="0" b="0"/>
                      <wp:wrapNone/>
                      <wp:docPr id="234" name="Frame233"/>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71450" cy="175260"/>
                      <wp:effectExtent l="0" t="0" r="0" b="0"/>
                      <wp:wrapNone/>
                      <wp:docPr id="235" name="Frame234"/>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66725" cy="175260"/>
                      <wp:effectExtent l="0" t="0" r="0" b="0"/>
                      <wp:wrapNone/>
                      <wp:docPr id="236" name="Frame235"/>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69545" cy="175260"/>
                      <wp:effectExtent l="0" t="0" r="0" b="0"/>
                      <wp:wrapNone/>
                      <wp:docPr id="238" name="Frame23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44830" cy="175260"/>
                      <wp:effectExtent l="0" t="0" r="0" b="0"/>
                      <wp:wrapNone/>
                      <wp:docPr id="239" name="Frame238"/>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0485" cy="175260"/>
                      <wp:effectExtent l="0" t="0" r="0" b="0"/>
                      <wp:wrapNone/>
                      <wp:docPr id="240" name="Frame239"/>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48590" cy="175260"/>
                      <wp:effectExtent l="0" t="0" r="0" b="0"/>
                      <wp:wrapNone/>
                      <wp:docPr id="241" name="Frame24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18160" cy="175260"/>
                      <wp:effectExtent l="0" t="0" r="0" b="0"/>
                      <wp:wrapNone/>
                      <wp:docPr id="242" name="Frame241"/>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28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112" w:type="dxa"/>
            <w:tcBorders/>
            <w:vAlign w:val="center"/>
          </w:tcPr>
          <w:p>
            <w:pPr>
              <w:pStyle w:val="TableContents"/>
              <w:bidi w:val="0"/>
              <w:spacing w:before="0" w:after="0"/>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 2023</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111" w:type="dxa"/>
            <w:tcBorders/>
            <w:vAlign w:val="center"/>
          </w:tcPr>
          <w:p>
            <w:pPr>
              <w:pStyle w:val="TableContents"/>
              <w:bidi w:val="0"/>
              <w:spacing w:before="0" w:after="0"/>
              <w:ind w:left="0" w:right="0" w:hanging="0"/>
              <w:jc w:val="left"/>
              <w:rPr/>
            </w:pPr>
            <w:r>
              <w:rPr/>
              <w:t>​</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 2023</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w:t>
            </w:r>
          </w:p>
        </w:tc>
        <w:tc>
          <w:tcPr>
            <w:tcW w:w="112"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4,646</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10,637</w:t>
            </w:r>
          </w:p>
        </w:tc>
        <w:tc>
          <w:tcPr>
            <w:tcW w:w="111" w:type="dxa"/>
            <w:tcBorders/>
            <w:shd w:fill="CCEEFF" w:val="clear"/>
            <w:vAlign w:val="center"/>
          </w:tcPr>
          <w:p>
            <w:pPr>
              <w:pStyle w:val="TableContents"/>
              <w:bidi w:val="0"/>
              <w:spacing w:before="0" w:after="0"/>
              <w:ind w:left="0" w:right="0" w:hanging="0"/>
              <w:jc w:val="righ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8,351</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development costs</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112"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111" w:type="dxa"/>
            <w:tcBorders/>
            <w:vAlign w:val="center"/>
          </w:tcPr>
          <w:p>
            <w:pPr>
              <w:pStyle w:val="TableContents"/>
              <w:bidi w:val="0"/>
              <w:spacing w:before="0" w:after="0"/>
              <w:ind w:left="0" w:right="0" w:hanging="0"/>
              <w:jc w:val="right"/>
              <w:rPr/>
            </w:pPr>
            <w:r>
              <w:rPr/>
              <w:t>​</w:t>
            </w:r>
          </w:p>
        </w:tc>
        <w:tc>
          <w:tcPr>
            <w:tcW w:w="234"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112" w:type="dxa"/>
            <w:tcBorders/>
            <w:shd w:fill="CCEEFF" w:val="clear"/>
            <w:vAlign w:val="center"/>
          </w:tcPr>
          <w:p>
            <w:pPr>
              <w:pStyle w:val="TableContents"/>
              <w:bidi w:val="0"/>
              <w:spacing w:before="0" w:after="0"/>
              <w:ind w:left="0" w:right="0" w:hanging="0"/>
              <w:jc w:val="righ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c>
          <w:tcPr>
            <w:tcW w:w="111" w:type="dxa"/>
            <w:tcBorders/>
            <w:shd w:fill="CCEEFF" w:val="clear"/>
            <w:vAlign w:val="center"/>
          </w:tcPr>
          <w:p>
            <w:pPr>
              <w:pStyle w:val="TableContents"/>
              <w:bidi w:val="0"/>
              <w:spacing w:before="0" w:after="0"/>
              <w:ind w:left="0" w:right="0" w:hanging="0"/>
              <w:jc w:val="righ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w:t>
            </w:r>
          </w:p>
        </w:tc>
        <w:tc>
          <w:tcPr>
            <w:tcW w:w="112" w:type="dxa"/>
            <w:tcBorders/>
            <w:vAlign w:val="center"/>
          </w:tcPr>
          <w:p>
            <w:pPr>
              <w:pStyle w:val="TableContents"/>
              <w:bidi w:val="0"/>
              <w:spacing w:before="0" w:after="0"/>
              <w:ind w:left="0" w:right="0" w:hanging="0"/>
              <w:jc w:val="righ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9,014</w:t>
            </w:r>
          </w:p>
        </w:tc>
        <w:tc>
          <w:tcPr>
            <w:tcW w:w="111" w:type="dxa"/>
            <w:tcBorders/>
            <w:vAlign w:val="center"/>
          </w:tcPr>
          <w:p>
            <w:pPr>
              <w:pStyle w:val="TableContents"/>
              <w:bidi w:val="0"/>
              <w:spacing w:before="0" w:after="0"/>
              <w:ind w:left="0" w:right="0" w:hanging="0"/>
              <w:jc w:val="righ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6,599</w:t>
            </w:r>
          </w:p>
        </w:tc>
      </w:tr>
    </w:tbl>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financial condition and results of operations have been, and will continue to be, affected by a number of factors that present significant opportunities for us but also pose risks and challenges, including what is discussed below. See Part I, “Item 1A. Risk Factors” in our 2023 10-K</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Acquisition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 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Retention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w:t>
      </w:r>
      <w:r>
        <w:rPr>
          <w:rFonts w:ascii="Times New Roman;Times;serif" w:hAnsi="Times New Roman;Times;serif"/>
          <w:sz w:val="20"/>
        </w:rPr>
        <w:t>. During the trailing 12 months ended June 30, 2024, we served 2.7 million Active Customers compared to 3.1 million for the trailing 12 months ended July 2,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Our Operations and Infrastructure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will continue to invest in our operations and infrastructure to facilitate further operational efficiencies and growth of our business, while managing expenses to align with our net revenue expectations and goals to return to profitability. We will continue to set a high bar for any new investments or capital spending initiatives as we believe that a disciplined approach to capital spending will enable us to generate positive returns on our investments over the long term</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 and Gross Margin</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as we scale, our Gross Margin may fluctuate from period to period depending on the interplay of these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 our obligations as a public company.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Since our IPO, we have incurred significant legal, accounting, and other expenses that we did not incur as a private company. We expect that compliance with the Sarbanes-Oxley Act and the Dodd-Frank Wall Street Reform and Consumer Protection Act, as well as rules and regulations subsequently implemented by the SEC, will continue to increase our legal and financial compliance costs and will make some activities more time consuming and costly.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val="false"/>
          <w:i w:val="false"/>
          <w:caps w:val="false"/>
          <w:smallCaps w:val="false"/>
          <w:sz w:val="20"/>
          <w:shd w:fill="FFFFFF" w:val="clear"/>
        </w:rPr>
        <w:t>Interest Expense</w:t>
      </w:r>
      <w:r>
        <w:rPr>
          <w:rFonts w:ascii="Times New Roman;Times;serif" w:hAnsi="Times New Roman;Times;serif"/>
          <w:b/>
          <w:i/>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Interest expense consists of interest expense related to the 2021 Revolving Facility</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28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provision for income taxes represents federal, state, and local income taxes. The effective rate differs from the statutory rate primarily due to </w:t>
      </w:r>
      <w:r>
        <w:rPr>
          <w:rFonts w:ascii="Times New Roman;Times;serif" w:hAnsi="Times New Roman;Times;serif"/>
          <w:sz w:val="20"/>
        </w:rPr>
        <w:t>the establishment of valuation allowance as the Company could not provide sufficient positive evidence that the deferred taxes will be more-likely-than-not realized in the future.</w:t>
      </w:r>
      <w:r>
        <w:rPr>
          <w:rFonts w:ascii="Times New Roman;Times;serif" w:hAnsi="Times New Roman;Times;serif"/>
          <w:sz w:val="20"/>
          <w:shd w:fill="FFFFFF" w:val="clear"/>
        </w:rPr>
        <w:t xml:space="preserve">  Our effective tax rate will change from quarter to quarter based on recurring and nonrecurring factors including, but not limited to, the geographical mix of earnings, enacted tax legislation, state and local income taxes, the impact of permanent tax adjustments, tax audit settlements, and the interaction of various tax strategies.</w:t>
      </w:r>
    </w:p>
    <w:p>
      <w:pPr>
        <w:pStyle w:val="TextBody"/>
        <w:bidi w:val="0"/>
        <w:spacing w:before="280" w:after="240"/>
        <w:ind w:left="0" w:right="0" w:firstLine="360"/>
        <w:jc w:val="both"/>
        <w:rPr>
          <w:rFonts w:ascii="Times New Roman;Times;serif" w:hAnsi="Times New Roman;Times;serif"/>
          <w:sz w:val="20"/>
        </w:rPr>
      </w:pPr>
      <w:r>
        <w:rPr>
          <w:rFonts w:ascii="Times New Roman;Times;serif" w:hAnsi="Times New Roman;Times;serif"/>
          <w:sz w:val="20"/>
        </w:rPr>
        <w:t xml:space="preserve">We regularly assess the realizability of deferred tax assets and record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we established a valuation allowance of $5.4 million against certain federal and state deferred tax assets during the thirteen weeks ended June 30, 2024. This was comprised of a valuation allowance of $5.7 million for the net deferred tax assets as of December 31, 2023 and an adjustment of $0.3 million for the twenty-six week period through June 30, 2024. The significant piece of objectively verifiable negative evidence evaluated was the recent cumulative losses. Our ability to use our deferred tax assets depends on the amount of taxable income in future periods.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following tables set forth our consolidated results of operations for the periods presented and as a percentage of net revenue and net loss</w:t>
      </w:r>
      <w:r>
        <w:rPr>
          <w:rFonts w:ascii="Times New Roman;Times;serif" w:hAnsi="Times New Roman;Times;serif"/>
          <w:sz w:val="20"/>
        </w:rPr>
        <w:t>:</w:t>
      </w:r>
    </w:p>
    <w:tbl>
      <w:tblPr>
        <w:tblW w:w="8690" w:type="dxa"/>
        <w:jc w:val="left"/>
        <w:tblInd w:w="0" w:type="dxa"/>
        <w:tblLayout w:type="fixed"/>
        <w:tblCellMar>
          <w:top w:w="0" w:type="dxa"/>
          <w:left w:w="0" w:type="dxa"/>
          <w:bottom w:w="0" w:type="dxa"/>
          <w:right w:w="0" w:type="dxa"/>
        </w:tblCellMar>
      </w:tblPr>
      <w:tblGrid>
        <w:gridCol w:w="3091"/>
        <w:gridCol w:w="326"/>
        <w:gridCol w:w="301"/>
        <w:gridCol w:w="796"/>
        <w:gridCol w:w="109"/>
        <w:gridCol w:w="301"/>
        <w:gridCol w:w="781"/>
        <w:gridCol w:w="326"/>
        <w:gridCol w:w="301"/>
        <w:gridCol w:w="796"/>
        <w:gridCol w:w="109"/>
        <w:gridCol w:w="301"/>
        <w:gridCol w:w="781"/>
        <w:gridCol w:w="3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962785" cy="175260"/>
                      <wp:effectExtent l="0" t="0" r="0" b="0"/>
                      <wp:wrapNone/>
                      <wp:docPr id="243" name="Frame24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91135" cy="175260"/>
                      <wp:effectExtent l="0" t="0" r="0" b="0"/>
                      <wp:wrapNone/>
                      <wp:docPr id="245" name="Frame24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05460" cy="175260"/>
                      <wp:effectExtent l="0" t="0" r="0" b="0"/>
                      <wp:wrapNone/>
                      <wp:docPr id="246" name="Frame2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91135" cy="175260"/>
                      <wp:effectExtent l="0" t="0" r="0" b="0"/>
                      <wp:wrapNone/>
                      <wp:docPr id="248" name="Frame24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95935" cy="175260"/>
                      <wp:effectExtent l="0" t="0" r="0" b="0"/>
                      <wp:wrapNone/>
                      <wp:docPr id="249" name="Frame2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91135" cy="175260"/>
                      <wp:effectExtent l="0" t="0" r="0" b="0"/>
                      <wp:wrapNone/>
                      <wp:docPr id="251" name="Frame25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05460" cy="175260"/>
                      <wp:effectExtent l="0" t="0" r="0" b="0"/>
                      <wp:wrapNone/>
                      <wp:docPr id="252" name="Frame25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91135" cy="175260"/>
                      <wp:effectExtent l="0" t="0" r="0" b="0"/>
                      <wp:wrapNone/>
                      <wp:docPr id="254" name="Frame25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95935" cy="175260"/>
                      <wp:effectExtent l="0" t="0" r="0" b="0"/>
                      <wp:wrapNone/>
                      <wp:docPr id="255" name="Frame2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35585" cy="175260"/>
                      <wp:effectExtent l="0" t="0" r="0" b="0"/>
                      <wp:wrapNone/>
                      <wp:docPr id="256" name="Frame25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w:t>
            </w:r>
          </w:p>
        </w:tc>
        <w:tc>
          <w:tcPr>
            <w:tcW w:w="22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w:t>
            </w:r>
          </w:p>
        </w:tc>
      </w:tr>
      <w:tr>
        <w:trPr/>
        <w:tc>
          <w:tcPr>
            <w:tcW w:w="8690"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0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91,966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106,122</w:t>
            </w:r>
          </w:p>
        </w:tc>
        <w:tc>
          <w:tcPr>
            <w:tcW w:w="326" w:type="dxa"/>
            <w:tcBorders/>
            <w:shd w:fill="CCEEFF" w:val="clear"/>
            <w:vAlign w:val="center"/>
          </w:tcPr>
          <w:p>
            <w:pPr>
              <w:pStyle w:val="TableContents"/>
              <w:bidi w:val="0"/>
              <w:spacing w:before="0" w:after="0"/>
              <w:ind w:left="0" w:right="0" w:hanging="0"/>
              <w:jc w:val="left"/>
              <w:rPr/>
            </w:pPr>
            <w:r>
              <w:rPr/>
              <w:t>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169,225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197,098</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50,083</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58,726</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94,696</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111,741</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41,883</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47,396</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74,529</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85,357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24,914</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24,670</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42,607</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44,159</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24,396</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42,547</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48,744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(4,467)</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(10,625)</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(7,546)</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(10,780)</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(6,331)</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(16,532)</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881" w:type="dxa"/>
        <w:jc w:val="left"/>
        <w:tblInd w:w="0" w:type="dxa"/>
        <w:tblLayout w:type="fixed"/>
        <w:tblCellMar>
          <w:top w:w="0" w:type="dxa"/>
          <w:left w:w="0" w:type="dxa"/>
          <w:bottom w:w="0" w:type="dxa"/>
          <w:right w:w="0" w:type="dxa"/>
        </w:tblCellMar>
      </w:tblPr>
      <w:tblGrid>
        <w:gridCol w:w="3091"/>
        <w:gridCol w:w="326"/>
        <w:gridCol w:w="436"/>
        <w:gridCol w:w="326"/>
        <w:gridCol w:w="326"/>
        <w:gridCol w:w="421"/>
        <w:gridCol w:w="326"/>
        <w:gridCol w:w="326"/>
        <w:gridCol w:w="447"/>
        <w:gridCol w:w="346"/>
        <w:gridCol w:w="346"/>
        <w:gridCol w:w="447"/>
        <w:gridCol w:w="346"/>
        <w:gridCol w:w="3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962785" cy="175260"/>
                      <wp:effectExtent l="0" t="0" r="0" b="0"/>
                      <wp:wrapNone/>
                      <wp:docPr id="257" name="Frame256"/>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76860" cy="175260"/>
                      <wp:effectExtent l="0" t="0" r="0" b="0"/>
                      <wp:wrapNone/>
                      <wp:docPr id="259" name="Frame25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67335" cy="175260"/>
                      <wp:effectExtent l="0" t="0" r="0" b="0"/>
                      <wp:wrapNone/>
                      <wp:docPr id="262" name="Frame26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83845" cy="175260"/>
                      <wp:effectExtent l="0" t="0" r="0" b="0"/>
                      <wp:wrapNone/>
                      <wp:docPr id="265" name="Frame264"/>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83845" cy="175260"/>
                      <wp:effectExtent l="0" t="0" r="0" b="0"/>
                      <wp:wrapNone/>
                      <wp:docPr id="268" name="Frame267"/>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35585" cy="175260"/>
                      <wp:effectExtent l="0" t="0" r="0" b="0"/>
                      <wp:wrapNone/>
                      <wp:docPr id="270" name="Frame26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w:t>
            </w:r>
          </w:p>
        </w:tc>
        <w:tc>
          <w:tcPr>
            <w:tcW w:w="19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7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26" w:type="dxa"/>
            <w:tcBorders/>
            <w:vAlign w:val="center"/>
          </w:tcPr>
          <w:p>
            <w:pPr>
              <w:pStyle w:val="TableContents"/>
              <w:bidi w:val="0"/>
              <w:spacing w:before="0" w:after="0"/>
              <w:ind w:left="0" w:right="0" w:hanging="0"/>
              <w:jc w:val="left"/>
              <w:rPr/>
            </w:pPr>
            <w:r>
              <w:rPr/>
              <w:t>​</w:t>
            </w:r>
          </w:p>
        </w:tc>
        <w:tc>
          <w:tcPr>
            <w:tcW w:w="7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7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Thirteen Weeks Ended June 30, 2024 and July 2, 2023</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Net revenue decreased in the thirteen weeks ended June 30, 2024 by $14.2 million, or 13%, compared to the thirteen weeks ended July 2, 2023. The decrease is primarily the result of a 14% decrease in Total Orders Placed, as well as higher return rates, partially offset by higher AOV compared to the thirteen weeks ended July 2, 2023</w:t>
      </w:r>
      <w:r>
        <w:rPr>
          <w:rFonts w:ascii="Times New Roman;Times;serif" w:hAnsi="Times New Roman;Times;serif"/>
          <w:sz w:val="20"/>
        </w:rPr>
        <w:t xml:space="preserve">. </w:t>
      </w:r>
    </w:p>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Cost of revenue decreased in the thirteen weeks ended </w:t>
      </w:r>
      <w:r>
        <w:rPr>
          <w:rFonts w:ascii="Times New Roman;Times;serif" w:hAnsi="Times New Roman;Times;serif"/>
          <w:sz w:val="20"/>
        </w:rPr>
        <w:t xml:space="preserve">June 30, 2024 </w:t>
      </w:r>
      <w:r>
        <w:rPr>
          <w:rFonts w:ascii="Times New Roman;Times;serif" w:hAnsi="Times New Roman;Times;serif"/>
          <w:sz w:val="20"/>
          <w:shd w:fill="FFFFFF" w:val="clear"/>
        </w:rPr>
        <w:t>by $8.6 million, or 15%</w:t>
      </w:r>
      <w:r>
        <w:rPr>
          <w:rFonts w:ascii="Times New Roman;Times;serif" w:hAnsi="Times New Roman;Times;serif"/>
          <w:sz w:val="20"/>
        </w:rPr>
        <w:t xml:space="preserve"> </w:t>
      </w:r>
      <w:r>
        <w:rPr>
          <w:rFonts w:ascii="Times New Roman;Times;serif" w:hAnsi="Times New Roman;Times;serif"/>
          <w:sz w:val="20"/>
          <w:shd w:fill="FFFFFF" w:val="clear"/>
        </w:rPr>
        <w:t>compared to the same period of the prior year, which was primarily driven by the impact of lower net revenue.</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Gross Profit</w:t>
      </w:r>
    </w:p>
    <w:p>
      <w:pPr>
        <w:pStyle w:val="TextBody"/>
        <w:bidi w:val="0"/>
        <w:spacing w:before="0" w:after="240"/>
        <w:ind w:left="36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Gross profit decreased in the thirteen weeks ended </w:t>
      </w:r>
      <w:r>
        <w:rPr>
          <w:rFonts w:ascii="Times New Roman;Times;serif" w:hAnsi="Times New Roman;Times;serif"/>
          <w:sz w:val="20"/>
        </w:rPr>
        <w:t xml:space="preserve">June 30, 2024 </w:t>
      </w:r>
      <w:r>
        <w:rPr>
          <w:rFonts w:ascii="Times New Roman;Times;serif" w:hAnsi="Times New Roman;Times;serif"/>
          <w:sz w:val="20"/>
          <w:shd w:fill="FFFFFF" w:val="clear"/>
        </w:rPr>
        <w:t>by $5.5 million, or 12%</w:t>
      </w:r>
      <w:r>
        <w:rPr>
          <w:rFonts w:ascii="Times New Roman;Times;serif" w:hAnsi="Times New Roman;Times;serif"/>
          <w:sz w:val="20"/>
        </w:rPr>
        <w:t xml:space="preserve"> </w:t>
      </w:r>
      <w:r>
        <w:rPr>
          <w:rFonts w:ascii="Times New Roman;Times;serif" w:hAnsi="Times New Roman;Times;serif"/>
          <w:sz w:val="20"/>
          <w:shd w:fill="FFFFFF" w:val="clear"/>
        </w:rPr>
        <w:t>compared to the same period of the prior year which was primarily driven by the impact of the lower volume of sales.</w:t>
      </w:r>
    </w:p>
    <w:p>
      <w:pPr>
        <w:pStyle w:val="TextBody"/>
        <w:bidi w:val="0"/>
        <w:spacing w:before="0" w:after="240"/>
        <w:ind w:left="360" w:right="0" w:hanging="0"/>
        <w:jc w:val="left"/>
        <w:rPr>
          <w:rFonts w:ascii="Times New Roman;Times;serif" w:hAnsi="Times New Roman;Times;serif"/>
          <w:i/>
          <w:sz w:val="20"/>
        </w:rPr>
      </w:pPr>
      <w:bookmarkStart w:id="1068" w:name="_Hlk140732571"/>
      <w:bookmarkEnd w:id="1068"/>
      <w:r>
        <w:rPr>
          <w:rFonts w:ascii="Times New Roman;Times;serif" w:hAnsi="Times New Roman;Times;serif"/>
          <w:i/>
          <w:sz w:val="20"/>
        </w:rPr>
        <w:t>Selling and Marketing Expenses</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Selling and marketing expenses increased in the thirteen weeks ended June 30, 2024 by $0.2 million, or 1%, compared to the thirteen weeks ended July 2, 2023, primarily due to higher brand marketing spend as we invested more in brand awareness.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decreased by $3.0 million in the thirteen weeks ended June 30, 2024, or 12%, compared to the thirteen weeks ended July 2, 2023. The decrease was primarily due to a $1.3 million decrease in variable labor and benefits associated with lower sales volume and operational efficiencies, and a $2.1 million decrease related to equity-based awards, along with a $0.6 million decrease in D&amp;O liability insurance and legal and professional fees. This was partially offset by a $0.4 million increase in non-routine items accruals, a $0.5 million increase in software, travel fixed labor, depreciation and amortization, and a $0.1 million increase in rent expense predominately due to our Melrose store.</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Interest expense decreased in the thirteen weeks ended June 30, 2024 by $0.2 million, or 37%, compared to the thirteen weeks ended July 2, 2023. The decrease is attributable to lower average borrowings, offset by higher interest rates driving increased interest expense and unused fees related to the 2021 Revolving Facility.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Income Tax Provision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income tax provision in the thirteen weeks ended June 30, 2024 increased by $5.4 million, to $6.3 million compared to a provision of $0.9 million in the thirteen weeks ended July 2, 2023. The increase was primarily due to the valuation allowance tax expense that was recorded against federal and state deferred tax assets.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Twenty-Six Weeks Ended June 30, 2024 and July 2, 2023</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revenue decreased in the twenty-six weeks ended June 30, 2024 by $27.9 million, or 14%, compared to the twenty-six weeks ended July 2, 2023. The decrease is primarily the result of a 15% decrease in Total Orders Placed, </w:t>
      </w:r>
      <w:r>
        <w:rPr>
          <w:rFonts w:ascii="Times New Roman;Times;serif" w:hAnsi="Times New Roman;Times;serif"/>
          <w:sz w:val="20"/>
          <w:shd w:fill="FFFFFF" w:val="clear"/>
        </w:rPr>
        <w:t xml:space="preserve">as well as higher return rates, partially offset by higher AOV compared to the </w:t>
      </w:r>
      <w:r>
        <w:rPr>
          <w:rFonts w:ascii="Times New Roman;Times;serif" w:hAnsi="Times New Roman;Times;serif"/>
          <w:sz w:val="20"/>
        </w:rPr>
        <w:t xml:space="preserve">twenty-six weeks </w:t>
      </w:r>
      <w:r>
        <w:rPr>
          <w:rFonts w:ascii="Times New Roman;Times;serif" w:hAnsi="Times New Roman;Times;serif"/>
          <w:sz w:val="20"/>
          <w:shd w:fill="FFFFFF" w:val="clear"/>
        </w:rPr>
        <w:t>ended July 2, 2023.</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Cost of revenue decreased in the twenty-six weeks ended June 30, 2024 by $17.0 million, or 15%, compared to the twenty-six weeks ended July 2, 2023, </w:t>
      </w:r>
      <w:r>
        <w:rPr>
          <w:rFonts w:ascii="Times New Roman;Times;serif" w:hAnsi="Times New Roman;Times;serif"/>
          <w:sz w:val="20"/>
          <w:shd w:fill="FFFFFF" w:val="clear"/>
        </w:rPr>
        <w:t>which was primarily driven by the impact of lower net revenue</w:t>
      </w:r>
      <w:r>
        <w:rPr>
          <w:rFonts w:ascii="Times New Roman;Times;serif" w:hAnsi="Times New Roman;Times;serif"/>
          <w:sz w:val="20"/>
        </w:rPr>
        <w:t>.</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Gross Profit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Gross profit decreased in the </w:t>
      </w:r>
      <w:r>
        <w:rPr>
          <w:rFonts w:ascii="Times New Roman;Times;serif" w:hAnsi="Times New Roman;Times;serif"/>
          <w:sz w:val="20"/>
        </w:rPr>
        <w:t xml:space="preserve">twenty-six </w:t>
      </w:r>
      <w:r>
        <w:rPr>
          <w:rFonts w:ascii="Times New Roman;Times;serif" w:hAnsi="Times New Roman;Times;serif"/>
          <w:sz w:val="20"/>
          <w:shd w:fill="FFFFFF" w:val="clear"/>
        </w:rPr>
        <w:t xml:space="preserve">weeks ended </w:t>
      </w:r>
      <w:r>
        <w:rPr>
          <w:rFonts w:ascii="Times New Roman;Times;serif" w:hAnsi="Times New Roman;Times;serif"/>
          <w:sz w:val="20"/>
        </w:rPr>
        <w:t xml:space="preserve">June 30, 2024 </w:t>
      </w:r>
      <w:r>
        <w:rPr>
          <w:rFonts w:ascii="Times New Roman;Times;serif" w:hAnsi="Times New Roman;Times;serif"/>
          <w:sz w:val="20"/>
          <w:shd w:fill="FFFFFF" w:val="clear"/>
        </w:rPr>
        <w:t>by $10.8 million, or 13%</w:t>
      </w:r>
      <w:r>
        <w:rPr>
          <w:rFonts w:ascii="Times New Roman;Times;serif" w:hAnsi="Times New Roman;Times;serif"/>
          <w:sz w:val="20"/>
        </w:rPr>
        <w:t xml:space="preserve"> </w:t>
      </w:r>
      <w:r>
        <w:rPr>
          <w:rFonts w:ascii="Times New Roman;Times;serif" w:hAnsi="Times New Roman;Times;serif"/>
          <w:sz w:val="20"/>
          <w:shd w:fill="FFFFFF" w:val="clear"/>
        </w:rPr>
        <w:t xml:space="preserve">compared to the </w:t>
      </w:r>
      <w:r>
        <w:rPr>
          <w:rFonts w:ascii="Times New Roman;Times;serif" w:hAnsi="Times New Roman;Times;serif"/>
          <w:sz w:val="20"/>
        </w:rPr>
        <w:t xml:space="preserve">twenty-six weeks ended July 2, 2023, </w:t>
      </w:r>
      <w:r>
        <w:rPr>
          <w:rFonts w:ascii="Times New Roman;Times;serif" w:hAnsi="Times New Roman;Times;serif"/>
          <w:sz w:val="20"/>
          <w:shd w:fill="FFFFFF" w:val="clear"/>
        </w:rPr>
        <w:t>which was primarily driven by the impact of the lower volume of sales.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val="false"/>
          <w:caps w:val="false"/>
          <w:smallCaps w:val="false"/>
          <w:sz w:val="20"/>
        </w:rPr>
        <w:t>Selling and marketing expenses decreased in the twenty-six weeks ended June 30, 2024 by $1.6 million, or 4%, compared to the twenty-six weeks ended July 2, 2023 due to lower performance marketing spend and favorability in merchant processing fees due to the lower sales volume, partially</w:t>
      </w:r>
      <w:r>
        <w:rPr>
          <w:rFonts w:ascii="Times New Roman;Times;serif" w:hAnsi="Times New Roman;Times;serif"/>
          <w:i/>
          <w:sz w:val="20"/>
        </w:rPr>
        <w:t xml:space="preserve"> </w:t>
      </w:r>
      <w:r>
        <w:rPr>
          <w:rFonts w:ascii="Times New Roman;Times;serif" w:hAnsi="Times New Roman;Times;serif"/>
          <w:i w:val="false"/>
          <w:caps w:val="false"/>
          <w:smallCaps w:val="false"/>
          <w:sz w:val="20"/>
        </w:rPr>
        <w:t>offset by higher brand marketing spend as we invested more in brand awareness.  </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decreased by $6.2 million in the twenty-six weeks ended June 30, 2024, or 13%, compared to the twenty-six weeks ended July 2, 2023. The decrease was primarily due to a $4.9 million decrease in equity based compensation expense, a $2.1 million decrease in variable labor and benefits costs primarily associated with lower sales volume and operational efficiencies, and a $0.6 million decrease in D&amp;O insurance costs, partially offset by $0.5 million higher fixed labor costs, a $0.4 million increase in non-routine items accruals, a $0.3 million increase in depreciation and amortization and a $0.2 million increase in software expenses.</w:t>
      </w:r>
    </w:p>
    <w:p>
      <w:pPr>
        <w:pStyle w:val="TextBody"/>
        <w:bidi w:val="0"/>
        <w:spacing w:before="0" w:after="0"/>
        <w:ind w:left="0" w:right="0" w:firstLine="360"/>
        <w:jc w:val="both"/>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Interest expense decreased in the twenty-six weeks ended June 30, 2024 by $0.3 million, or 31%, compared to the twenty-six weeks ended July 2, 2023. The decrease is attributable to lower average borrowings, partially offset by higher interest rates driving increased interest expense and unused fees related to the 2021 Revolving Facility.</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Income Tax Provision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tax provision in the twenty-six weeks ended June 30, 2024 increased by $5.6 million to $5.8 million, compared to a provision of $0.2 million in the twenty-six weeks ended July 2, 2023. The increase was primarily due to the valuation allowance tax expense that was recorded against federal and state deferred tax assets.</w:t>
      </w:r>
      <w:r>
        <w:rPr>
          <w:rFonts w:ascii="Times New Roman;Times;serif" w:hAnsi="Times New Roman;Times;serif"/>
          <w:sz w:val="20"/>
          <w:shd w:fill="FFFF00" w:val="clear"/>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Quarterly Trends and Seasonality</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experience moderate seasonal fluctuations in aggregate sales volume during the year. Seasonality in our business does not follow that of traditional retailers, such as a typical concentration of revenue in the holiday quarter. Our net revenue is typically highest in the second and third quarters due to the highest demand for event dresses in the spring and summer. Net revenue is typically the lowest in the first and fourth quarters when event dresses are less in demand. The seasonality of our business has resulted in variability in our total net revenue quarter-to-quarter. We believe that this seasonality has affected and will continue to affect our results of operations. </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quarterly gross profit fluctuates primarily based on how we manage our inventory and merchandise mix and has typically been in line with fluctuations in net revenue. When quarterly gross profit fluctuations have deviated relative to the fluctuations in sales, these situations have been driven by non-recurring, external factors, such as the COVID-19 pandemic. </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 costs and vary quarter to quarter due to changes in the number of seasonal workers to meet demand based on our seasonality.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primary sources of liquidity and capital resources are cash generated from operating activities and borrowings under our 2021 Revolving Facility, as amended by the 2024 Amended Credit Agreement</w:t>
      </w:r>
      <w:r>
        <w:rPr>
          <w:rFonts w:ascii="Times New Roman;Times;serif" w:hAnsi="Times New Roman;Times;serif"/>
          <w:b/>
          <w:sz w:val="20"/>
          <w:shd w:fill="FFFFFF" w:val="clear"/>
        </w:rPr>
        <w:t>.</w:t>
      </w:r>
      <w:r>
        <w:rPr>
          <w:rFonts w:ascii="Times New Roman;Times;serif" w:hAnsi="Times New Roman;Times;serif"/>
          <w:sz w:val="20"/>
          <w:shd w:fill="FFFFFF" w:val="clear"/>
        </w:rPr>
        <w:t xml:space="preserve"> Our primary requirements for liquidity and capital are inventory purchases, payroll and general operating expenses, capital expenditures associated with distribution, network expansion and capitalized software and debt service requirements</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Credit Facilities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15, 2021, we entered into the 2021 Credit Agreement with Bank of America to provide the 2021 Revolving Facility that provided for borrowings up to $50.0 million. During the twenty-six weeks ended June 30, 2024, we borrowed $20.0 million under the 2021 Revolving Facility and repaid $28.0 million of the outstanding balance. As of June 30, 2024, we had $0.3 million outstanding under the Letter of Credit. Subject to the satisfaction of certain conditions under the 2021 Credit Agreement, as of June 30, 2024, we had $49.7 million available for borrowing under the 2021 Revolving Facility and $7.2 million available to issue letters of credit. For further information on the 2021 Credit Agreement and Revolving Facility, see Note 5, </w:t>
      </w:r>
      <w:r>
        <w:rPr>
          <w:rFonts w:ascii="Times New Roman;Times;serif" w:hAnsi="Times New Roman;Times;serif"/>
          <w:i/>
          <w:sz w:val="20"/>
        </w:rPr>
        <w:t>Debt</w:t>
      </w:r>
      <w:r>
        <w:rPr>
          <w:rFonts w:ascii="Times New Roman;Times;serif" w:hAnsi="Times New Roman;Times;serif"/>
          <w:sz w:val="20"/>
        </w:rPr>
        <w:t>. </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2021 Revolving Facility had a maturity date of November 15, 2024, and borrowings thereunder accrued interest at a rate equal to, at our option, either (x) the term SOFR rate, plus the applicable SOFR adjustment plus a margin of 1.75% per annum or (y) the base rate plus a margin of 0.75% (with the base rate being the highest of the federal funds rate plus 0.50%, the prime rate and term SOFR for a period of one month plus 1.00%). The 2021 Revolving Facility contained a financial maintenance covenant requiring a maximum total leverage ratio of no more than 2.50:1.00, stepping down to 2.00:1.00 after 18 months. A commitment fee of 37.5 basis points was assessed on unused commitments under the 2021 Revolving Facility.</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22, 2024, we entered into the 2024 Amended Credit Agreement as described in Note 13, Subsequent Events. The 2024 Amended Credit Agreement reduced the 2021 Revolving Facility to $15.0 million and further reduces the 2021 Revolving Facility to $10.0 million on March 31, 2025. During the term of the 2024 Amended Credit Agreement, we may increase the aggregate amount of the facility up to an additional $10.0 million, subject to the satisfaction of certain conditions under the 2024 Amended Credit Agreement, including obtaining the consent of the administrative agent and an increased commitment from existing or new lenders. In addition, the 2024 Amended Credit Agreement may be used to issue letters of credit up to $5.0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2024 Amended Credit Agreement provides for a nine month extension of the maturity date to August 15, 2025, and borrowings thereunder will accrue interest at a rate equal to, at our option, either (x) the term SOFR rate, plus the applicable SOFR adjustment plus a margin of 2.25% per annum (up from 1.75%) or (y) the base rate plus a margin of 1.25% (up from 0.75%). The 2024 Amended Credit Agreement contains a financial maintenance covenant requiring a maximum total leverage ratio of no more than 2.00:1.00 for fiscal quarters ending on or after June 30, 2023. The 2024 Amended Credit Agreement also provides for a Consolidated Fixed Charge Coverage Ratio commencing June 30, 2024, to be no less than 1.15:1.0. A commitment fee of 37.5 basis points will be assessed on unused commitments under the 2024 Amended Credit Agreement. Capitalized terms used without definition are as defined in the 2024 Amended Credit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Availability and Use of Cash</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As of June 30, 2024, </w:t>
      </w:r>
      <w:r>
        <w:rPr>
          <w:rFonts w:ascii="Times New Roman;Times;serif" w:hAnsi="Times New Roman;Times;serif"/>
          <w:sz w:val="20"/>
        </w:rPr>
        <w:t>we had cash and cash equivalents of $1.8 million. We will continue to take certain cost reduction and cash conservation measures, including adjustments to marketing and other variable and capital spend to meet our obligations as needed. As the ability to raise additional debt financing is outside of our control, we cannot conclude that our plans will be effectively implemented within twelve months from the date the condensed consolidated financial statements are issued. Accordingly, we have concluded that these plans do not alleviate substantial doubt about our ability to continue as a going concern. The condensed consolidated financial statements do not reflect any adjustments relating to the outcome of this uncertainty. Actual results of operations will depend</w:t>
      </w:r>
      <w:r>
        <w:rPr>
          <w:rFonts w:ascii="Times New Roman;Times;serif" w:hAnsi="Times New Roman;Times;serif"/>
          <w:sz w:val="20"/>
          <w:shd w:fill="FFFFFF" w:val="clear"/>
        </w:rPr>
        <w:t xml:space="preserve"> on numerous factors, many of which are beyond our control, as further discussed in Part I, Item 1A, “Risk Factors” included in our 2023 10-K and risk factors set forth in Part II of this Quarterly Report on Form 10-Q.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Repurchases Pursuant to the 2024 Repurchase Program</w:t>
      </w:r>
    </w:p>
    <w:p>
      <w:pPr>
        <w:pStyle w:val="TextBody"/>
        <w:shd w:fill="FFFFFF" w:val="clear"/>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On May 3, 2024, the Company's Board of Directors authorized a stock repurchase program to repurchase up to $2.5 million of our common stock (the “2024 Repurchase Program”). The actual timing, number, and value of shares repurchased in the future will be determined by the Company in its discretion and will depend on a number of factors, including market conditions, applicable legal requirements, our capital needs, and whether there is a better alternative use of capital. Repurchases will be funded from the Company’s existing cash and cash equivalents, or future cash flow. The 2024 Repurchase Program may be modified, suspended, or terminated at any time. During the thirteen and twenty-six weeks ended June 30, 2024, the Company repurchased 47,850 shares of common stock in open market transactions pursuant to a 10b5-1 purchase plan entered into by the Company. As of June 30, 2024, the Company had $2.4 million available under the 2024 Repurchase Program authorization. For further information on the 2024 Repurchase Program, see Note 2,</w:t>
      </w:r>
      <w:r>
        <w:rPr>
          <w:rFonts w:ascii="Times New Roman;Times;serif" w:hAnsi="Times New Roman;Times;serif"/>
          <w:sz w:val="20"/>
        </w:rPr>
        <w:t> </w:t>
      </w:r>
      <w:r>
        <w:rPr>
          <w:rFonts w:ascii="Times New Roman;Times;serif" w:hAnsi="Times New Roman;Times;serif"/>
          <w:i/>
          <w:sz w:val="20"/>
        </w:rPr>
        <w:t>Significant Accounting Policies</w:t>
      </w:r>
      <w:r>
        <w:rPr>
          <w:rFonts w:ascii="Times New Roman;Times;serif" w:hAnsi="Times New Roman;Times;serif"/>
          <w:sz w:val="24"/>
        </w:rPr>
        <w:t>.</w:t>
      </w:r>
    </w:p>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Analysis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7456" w:type="dxa"/>
        <w:jc w:val="left"/>
        <w:tblInd w:w="0" w:type="dxa"/>
        <w:tblLayout w:type="fixed"/>
        <w:tblCellMar>
          <w:top w:w="0" w:type="dxa"/>
          <w:left w:w="0" w:type="dxa"/>
          <w:bottom w:w="0" w:type="dxa"/>
          <w:right w:w="0" w:type="dxa"/>
        </w:tblCellMar>
      </w:tblPr>
      <w:tblGrid>
        <w:gridCol w:w="4741"/>
        <w:gridCol w:w="326"/>
        <w:gridCol w:w="211"/>
        <w:gridCol w:w="691"/>
        <w:gridCol w:w="326"/>
        <w:gridCol w:w="211"/>
        <w:gridCol w:w="796"/>
        <w:gridCol w:w="154"/>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010535" cy="175260"/>
                      <wp:effectExtent l="0" t="0" r="0" b="0"/>
                      <wp:wrapNone/>
                      <wp:docPr id="271" name="Frame270"/>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38785" cy="175260"/>
                      <wp:effectExtent l="0" t="0" r="0" b="0"/>
                      <wp:wrapNone/>
                      <wp:docPr id="274" name="Frame2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05460" cy="175260"/>
                      <wp:effectExtent l="0" t="0" r="0" b="0"/>
                      <wp:wrapNone/>
                      <wp:docPr id="277" name="Frame2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7790" cy="175260"/>
                      <wp:effectExtent l="0" t="0" r="0" b="0"/>
                      <wp:wrapNone/>
                      <wp:docPr id="278" name="Frame27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July 2,</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745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8,351</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(10,871)</w:t>
            </w:r>
          </w:p>
        </w:tc>
        <w:tc>
          <w:tcPr>
            <w:tcW w:w="154" w:type="dxa"/>
            <w:tcBorders/>
            <w:vAlign w:val="center"/>
          </w:tcPr>
          <w:p>
            <w:pPr>
              <w:pStyle w:val="TableContents"/>
              <w:bidi w:val="0"/>
              <w:spacing w:before="0" w:after="0"/>
              <w:ind w:left="0" w:right="0" w:hanging="0"/>
              <w:jc w:val="lef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(4,272)</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360" w:right="0" w:hanging="0"/>
        <w:jc w:val="left"/>
        <w:rPr>
          <w:rFonts w:ascii="Times New Roman;Times;serif" w:hAnsi="Times New Roman;Times;serif"/>
          <w:i/>
          <w:sz w:val="20"/>
        </w:rPr>
      </w:pPr>
      <w:bookmarkStart w:id="1069" w:name="_Hlk133044864"/>
      <w:bookmarkEnd w:id="1069"/>
      <w:r>
        <w:rPr>
          <w:rFonts w:ascii="Times New Roman;Times;serif" w:hAnsi="Times New Roman;Times;serif"/>
          <w:i/>
          <w:sz w:val="20"/>
        </w:rPr>
        <w:t>Operating Activities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consists primarily of net loss adjusted for certain non-cash items, including depreciation, amortization, equity-based compensation, the effect of changes in working capital and other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twenty-six weeks ended June 30, 2024, net cash provided by operating activities increased by $2.2 million, as compared to the same period in 2023. The increase was largely due to a $10.5 million increase related to accrued expenses and other current liabilities mainly due to timing-related increases in accrued inventory of $5.2 million and accrued marketing of $2.4 million, a $1.7 million increase due to a non-routine legal reserve accrual,  and a $1.4 million increase in miscellaneous accruals. There was also a $1.7 million increase related to other current liabilities, $0.8 million reduction in inventory purchases and a $0.4 million decrease related to assets for recovery, both of which were attributed to lower sales, as well as a $0.1 million timing-related decrease in prepaids and other current assets. This was partially offset by an increase of $7.2 million in our net loss after adjusting for non-cash items, an increase of $1.8 million in income taxes refund receivable, an increase of $1.0 million in accounts receivable, a decrease of $1.0 million in accounts payable primarily related to the timing of payments related to our credit card payables and a $0.3 million decrease related to operating lease liabilities.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period-to-period due to timing of the expansion of our operations. We have no material commitments for capital expenditures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During the twenty-six weeks ended June 30, 2024, as compared to the same period in 2023, net cash used in investing activities decreased by $0.2 million. This was attributable to $0.3 million less invested in capitalized software development costs and $0.1 million higher capital expenditures for furniture, leasehold improvements, equipment, and construction in progress for our general operations</w:t>
      </w:r>
      <w:r>
        <w:rPr>
          <w:rFonts w:ascii="Times New Roman;Times;serif" w:hAnsi="Times New Roman;Times;serif"/>
          <w:sz w:val="20"/>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Financing activities consist primarily of borrowings and repayments related to our 2021 Revolving Facility.</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During the twenty-six weeks ended June 30, 2024, net cash used in financing activities decreased by $1.2 million compared to the same period in 2023. The decrease was primarily due to higher net borrowings of $2.0 million on our 2021 Revolving Facility, $0.4 million increase in finance lease payments primarily attributed to leased equipment for our distribution facilities, $0.2 million increase in withheld tax payments related to vesting of RSUs, $0.1 million decrease in proceeds received from issuance of common stock under our ESPP and $0.1 million increase related to the 2024 Repurchase Program.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Other than the </w:t>
      </w:r>
      <w:r>
        <w:rPr>
          <w:rFonts w:ascii="Times New Roman;Times;serif" w:hAnsi="Times New Roman;Times;serif"/>
          <w:sz w:val="20"/>
        </w:rPr>
        <w:t xml:space="preserve">2024 Amended Credit Agreement </w:t>
      </w:r>
      <w:r>
        <w:rPr>
          <w:rFonts w:ascii="Times New Roman;Times;serif" w:hAnsi="Times New Roman;Times;serif"/>
          <w:sz w:val="20"/>
          <w:shd w:fill="FFFFFF" w:val="clear"/>
        </w:rPr>
        <w:t xml:space="preserve">discussed in Note 13, </w:t>
      </w:r>
      <w:r>
        <w:rPr>
          <w:rFonts w:ascii="Times New Roman;Times;serif" w:hAnsi="Times New Roman;Times;serif"/>
          <w:i/>
          <w:sz w:val="20"/>
          <w:shd w:fill="FFFFFF" w:val="clear"/>
        </w:rPr>
        <w:t>Subsequent Events</w:t>
      </w:r>
      <w:r>
        <w:rPr>
          <w:rFonts w:ascii="Times New Roman;Times;serif" w:hAnsi="Times New Roman;Times;serif"/>
          <w:sz w:val="20"/>
          <w:shd w:fill="FFFFFF" w:val="clear"/>
        </w:rPr>
        <w:t>, there have been no other material changes to our contractual obligations and commitments as disclosed in our 2023 10-K.</w:t>
      </w:r>
      <w:r>
        <w:rPr>
          <w:rFonts w:ascii="Times New Roman;Times;serif" w:hAnsi="Times New Roman;Times;serif"/>
          <w:sz w:val="20"/>
        </w:rPr>
        <w:t xml:space="preserve"> </w:t>
      </w:r>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critical accounting policies are described under the heading “Management’s Discussion and Analysis of Financial Condition and Results of Operations - Critical Accounting Policies and Estimates” in our 2023 10-K and the notes to the audited consolidated financial statements appearing elsewhere in our 2023 10-K. There have been no significant changes to our critical accounting policies and estimates as disclosed in our 2023 10-K.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2, “Significant Accounting Policies - Recently Issued Accounting Pronouncements,” in the Notes to the Condensed Consolidated Financial Statements included elsewhere in this Quarterly Report on Form 10-Q for more information about recent accounting pronouncements, the timing of their adoption, and our assessment, to the extent we have made one, of their potential impact on our financial position and our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Accounting Election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condensed consolidated financial statements may not be comparable to companies that comply with new or revised accounting pronouncements as of public company effective dates.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70" w:name="Item3QuantitativeandQualitativeDisclosur"/>
      <w:bookmarkStart w:id="1071" w:name="_fb65de6c_87e1_4633_8f3b_e2fc18df5d7d"/>
      <w:bookmarkEnd w:id="1070"/>
      <w:bookmarkEnd w:id="1071"/>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has been no material change in our exposure to market risk from that discussed in our 2023 10-K.</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72" w:name="Item4ControlsandProcedures_489265"/>
      <w:bookmarkStart w:id="1073" w:name="_ef1ab38d_096c_46cc_b612_862201c63cef"/>
      <w:bookmarkEnd w:id="1072"/>
      <w:bookmarkEnd w:id="1073"/>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June 30, 2024, our disclosure controls and procedures were effective.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074" w:name="PARTIIOTHERINFORMATION_807620"/>
      <w:bookmarkStart w:id="1075" w:name="_d21d4d16_f7b2_4523_80ad_2e9eab9f1411"/>
      <w:bookmarkEnd w:id="1074"/>
      <w:bookmarkEnd w:id="1075"/>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076" w:name="Item1LegalProceedings_569580"/>
      <w:bookmarkEnd w:id="1076"/>
      <w:r>
        <w:rPr>
          <w:rFonts w:ascii="Times New Roman;Times;serif" w:hAnsi="Times New Roman;Times;serif"/>
          <w:b/>
          <w:sz w:val="20"/>
        </w:rPr>
        <w:t>Item 1. Legal Proceedings.</w:t>
      </w:r>
    </w:p>
    <w:p>
      <w:pPr>
        <w:pStyle w:val="TextBody"/>
        <w:bidi w:val="0"/>
        <w:spacing w:before="0" w:after="0"/>
        <w:ind w:left="0" w:right="0" w:firstLine="360"/>
        <w:jc w:val="both"/>
        <w:rPr>
          <w:rFonts w:ascii="Times New Roman;Times;serif" w:hAnsi="Times New Roman;Times;serif"/>
          <w:sz w:val="20"/>
        </w:rPr>
      </w:pPr>
      <w:bookmarkStart w:id="1077" w:name="_Hlk172530170"/>
      <w:bookmarkEnd w:id="1077"/>
      <w:r>
        <w:rPr>
          <w:rFonts w:ascii="Times New Roman;Times;serif" w:hAnsi="Times New Roman;Times;serif"/>
          <w:sz w:val="20"/>
          <w:shd w:fill="FFFFFF" w:val="clear"/>
        </w:rPr>
        <w:t xml:space="preserve">We are from time to time subject to various legal proceedings and claims, including employment claims, wage and hour claims, intellectual property claims, privacy claims, contractual and commercial disputes and other matters that arise in the ordinary course of our business. As of the date of this filing, we have received a cease and desist letter alleging intellectual property infringement that has not proceeded to formal legal proceedings. </w:t>
      </w:r>
      <w:r>
        <w:rPr>
          <w:rFonts w:ascii="Times New Roman;Times;serif" w:hAnsi="Times New Roman;Times;serif"/>
          <w:sz w:val="20"/>
        </w:rPr>
        <w:t xml:space="preserve">In the thirteen weeks ended June 30,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2024, the Company recorded a loss contingency accrual of $1.7 million for estimated losses that we expect to incur in connection with this claim, and a related anticipated and contingent insurance receivable of $1.3 million</w:t>
      </w:r>
      <w:r>
        <w:rPr>
          <w:rFonts w:ascii="Times New Roman;Times;serif" w:hAnsi="Times New Roman;Times;serif"/>
          <w:sz w:val="20"/>
          <w:shd w:fill="FFFFFF" w:val="clear"/>
        </w:rPr>
        <w:t xml:space="preserve">. While the outcome of this and other claims cannot be predicted with </w:t>
      </w:r>
      <w:r>
        <w:rPr>
          <w:rFonts w:ascii="Times New Roman;Times;serif" w:hAnsi="Times New Roman;Times;serif"/>
          <w:sz w:val="20"/>
        </w:rPr>
        <w:t xml:space="preserve">certainty, other than as discussed above, we do not believe that the </w:t>
      </w:r>
      <w:r>
        <w:rPr>
          <w:rFonts w:ascii="Times New Roman;Times;serif" w:hAnsi="Times New Roman;Times;serif"/>
          <w:sz w:val="20"/>
          <w:shd w:fill="FFFFFF" w:val="clear"/>
        </w:rPr>
        <w:t>outcome of these matters will have a material adverse effect on our business, financial condition, cash flows, or results of operations. Other than as discussed above, we are not presently a party to any legal proceedings that we believe would, if determined adversely to us, materially and adversely affect our future business, financial condition, cash flows, or results of operations</w:t>
      </w:r>
      <w:r>
        <w:rPr>
          <w:rFonts w:ascii="Times New Roman;Times;serif" w:hAnsi="Times New Roman;Times;serif"/>
          <w:sz w:val="20"/>
        </w:rPr>
        <w:t xml:space="preserve">. </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78" w:name="Item1ARiskFactors_224374"/>
      <w:bookmarkStart w:id="1079" w:name="_105d5f60_b269_42f2_8300_340fb281ca8b"/>
      <w:bookmarkEnd w:id="1078"/>
      <w:bookmarkEnd w:id="1079"/>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For detailed information about certain risk factors that could materially affect our business, financial condition or future results see “Risk Factors” in Part I, Item 1A of our 2023 10-K. Set forth below are material changes to our existing risk factors previously disclosed in the 2023 10-K. Other than the risk factors set forth below, there have been no material changes to the risk factors previously disclosed in the 2023 10-K. </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We cannot guarantee that our 2024 Repurchase Program will enhance long-term stockholder value. Stock repurchases could also increase the volatility of the trading price of our stock and could diminish our cash reserves.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Although our board of directors has authorized the 2024 Repurchase Program, the program does not obligate us to repurchase any specific dollar amount or to acquire any specific number of shares of common stock. The actual timing, number, and value of shares repurchased in the future will be determined by the Company in its discretion and will depend on a number of factors, including stock price, trading volume, market conditions, applicable legal requirements, our capital needs, and whether there is a better alternative use of capital. The 2024 Repurchase Program has no expiration date but it may be modified, suspended or terminated at any time, and we cannot guarantee that we will purchase shares up to the full dollar amount authorized by the 2024 Repurchase Program or that it will enhance long-term stockholder value. The failure to repurchase common stock after we have announced our intention to do so may negatively impact our reputation and investor confidence in us and may negatively affect our stock price. Furthermore, our execution of the share repurchase program could affect the trading price of our common stock and increase volatility, and any announcement of a termination of the 2024 Repurchase Program may result in a decrease in the trading price of our common stock. In addition, the 2024 Repurchase Program could diminish our cash reserves.</w:t>
      </w:r>
    </w:p>
    <w:p>
      <w:pPr>
        <w:pStyle w:val="TextBody"/>
        <w:bidi w:val="0"/>
        <w:spacing w:before="0" w:after="240"/>
        <w:ind w:left="0" w:right="0" w:hanging="0"/>
        <w:jc w:val="left"/>
        <w:rPr>
          <w:rFonts w:ascii="Times New Roman;Times;serif" w:hAnsi="Times New Roman;Times;serif"/>
          <w:b/>
          <w:sz w:val="20"/>
        </w:rPr>
      </w:pPr>
      <w:bookmarkStart w:id="1080" w:name="Item2UnregisteredSalesofEquitySecurities"/>
      <w:bookmarkStart w:id="1081" w:name="_c12d83df_1a58_45ed_814d_1e53cadfc3c1"/>
      <w:bookmarkEnd w:id="1080"/>
      <w:bookmarkEnd w:id="1081"/>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A summary of our common stock repurchases during the thirteen weeks ended June 30, 2024 is set forth in the table below</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3047"/>
        <w:gridCol w:w="326"/>
        <w:gridCol w:w="1126"/>
        <w:gridCol w:w="326"/>
        <w:gridCol w:w="373"/>
        <w:gridCol w:w="828"/>
        <w:gridCol w:w="109"/>
        <w:gridCol w:w="262"/>
        <w:gridCol w:w="1625"/>
        <w:gridCol w:w="109"/>
        <w:gridCol w:w="211"/>
        <w:gridCol w:w="1863"/>
      </w:tblGrid>
      <w:tr>
        <w:trPr/>
        <w:tc>
          <w:tcPr>
            <w:tcW w:w="3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934845" cy="175260"/>
                      <wp:effectExtent l="0" t="0" r="0" b="0"/>
                      <wp:wrapNone/>
                      <wp:docPr id="279" name="Frame278"/>
                      <a:graphic xmlns:a="http://schemas.openxmlformats.org/drawingml/2006/main">
                        <a:graphicData uri="http://schemas.microsoft.com/office/word/2010/wordprocessingShape">
                          <wps:wsp>
                            <wps:cNvSpPr txBox="1"/>
                            <wps:spPr>
                              <a:xfrm>
                                <a:off x="0" y="0"/>
                                <a:ext cx="193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15010" cy="175260"/>
                      <wp:effectExtent l="0" t="0" r="0" b="0"/>
                      <wp:wrapNone/>
                      <wp:docPr id="281" name="Frame28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36855" cy="175260"/>
                      <wp:effectExtent l="0" t="0" r="0" b="0"/>
                      <wp:wrapNone/>
                      <wp:docPr id="283" name="Frame282"/>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25780" cy="175260"/>
                      <wp:effectExtent l="0" t="0" r="0" b="0"/>
                      <wp:wrapNone/>
                      <wp:docPr id="284" name="Frame283"/>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66370" cy="175260"/>
                      <wp:effectExtent l="0" t="0" r="0" b="0"/>
                      <wp:wrapNone/>
                      <wp:docPr id="286" name="Frame285"/>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031875" cy="175260"/>
                      <wp:effectExtent l="0" t="0" r="0" b="0"/>
                      <wp:wrapNone/>
                      <wp:docPr id="287" name="Frame286"/>
                      <a:graphic xmlns:a="http://schemas.openxmlformats.org/drawingml/2006/main">
                        <a:graphicData uri="http://schemas.microsoft.com/office/word/2010/wordprocessingShape">
                          <wps:wsp>
                            <wps:cNvSpPr txBox="1"/>
                            <wps:spPr>
                              <a:xfrm>
                                <a:off x="0" y="0"/>
                                <a:ext cx="1031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183005" cy="175260"/>
                      <wp:effectExtent l="0" t="0" r="0" b="0"/>
                      <wp:wrapNone/>
                      <wp:docPr id="290" name="Frame289"/>
                      <a:graphic xmlns:a="http://schemas.openxmlformats.org/drawingml/2006/main">
                        <a:graphicData uri="http://schemas.microsoft.com/office/word/2010/wordprocessingShape">
                          <wps:wsp>
                            <wps:cNvSpPr txBox="1"/>
                            <wps:spPr>
                              <a:xfrm>
                                <a:off x="0" y="0"/>
                                <a:ext cx="1183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w:t>
            </w:r>
          </w:p>
        </w:tc>
      </w:tr>
      <w:tr>
        <w:trPr/>
        <w:tc>
          <w:tcPr>
            <w:tcW w:w="30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1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 Yet</w:t>
            </w:r>
          </w:p>
        </w:tc>
      </w:tr>
      <w:tr>
        <w:trPr/>
        <w:tc>
          <w:tcPr>
            <w:tcW w:w="30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109" w:type="dxa"/>
            <w:tcBorders/>
            <w:vAlign w:val="center"/>
          </w:tcPr>
          <w:p>
            <w:pPr>
              <w:pStyle w:val="TableContents"/>
              <w:bidi w:val="0"/>
              <w:spacing w:before="0" w:after="0"/>
              <w:ind w:left="0" w:right="0" w:hanging="0"/>
              <w:jc w:val="left"/>
              <w:rPr/>
            </w:pPr>
            <w:r>
              <w:rPr/>
              <w:t>​</w:t>
            </w:r>
          </w:p>
        </w:tc>
        <w:tc>
          <w:tcPr>
            <w:tcW w:w="1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the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 Under</w:t>
            </w:r>
          </w:p>
        </w:tc>
      </w:tr>
      <w:tr>
        <w:trPr/>
        <w:tc>
          <w:tcPr>
            <w:tcW w:w="30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Purchased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109" w:type="dxa"/>
            <w:tcBorders/>
            <w:vAlign w:val="center"/>
          </w:tcPr>
          <w:p>
            <w:pPr>
              <w:pStyle w:val="TableContents"/>
              <w:bidi w:val="0"/>
              <w:spacing w:before="0" w:after="0"/>
              <w:ind w:left="0" w:right="0" w:hanging="0"/>
              <w:jc w:val="left"/>
              <w:rPr/>
            </w:pPr>
            <w:r>
              <w:rPr/>
              <w:t>​</w:t>
            </w:r>
          </w:p>
        </w:tc>
        <w:tc>
          <w:tcPr>
            <w:tcW w:w="1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Plan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Plan</w:t>
            </w:r>
          </w:p>
        </w:tc>
      </w:tr>
      <w:tr>
        <w:trPr/>
        <w:tc>
          <w:tcPr>
            <w:tcW w:w="3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2024 through April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0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2024 through May 31, 2024</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20,373</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1.78</w:t>
            </w:r>
          </w:p>
        </w:tc>
        <w:tc>
          <w:tcPr>
            <w:tcW w:w="109" w:type="dxa"/>
            <w:tcBorders/>
            <w:vAlign w:val="center"/>
          </w:tcPr>
          <w:p>
            <w:pPr>
              <w:pStyle w:val="TableContents"/>
              <w:bidi w:val="0"/>
              <w:spacing w:before="0" w:after="0"/>
              <w:ind w:left="0" w:right="0" w:hanging="0"/>
              <w:jc w:val="center"/>
              <w:rPr/>
            </w:pPr>
            <w:r>
              <w:rPr/>
              <w:t>​</w:t>
            </w:r>
          </w:p>
        </w:tc>
        <w:tc>
          <w:tcPr>
            <w:tcW w:w="262" w:type="dxa"/>
            <w:tcBorders/>
            <w:vAlign w:val="center"/>
          </w:tcPr>
          <w:p>
            <w:pPr>
              <w:pStyle w:val="TableContents"/>
              <w:bidi w:val="0"/>
              <w:spacing w:before="0" w:after="0"/>
              <w:ind w:left="0" w:right="0" w:hanging="0"/>
              <w:jc w:val="left"/>
              <w:rPr/>
            </w:pPr>
            <w:r>
              <w:rPr/>
              <w:t>​</w:t>
            </w:r>
          </w:p>
        </w:tc>
        <w:tc>
          <w:tcPr>
            <w:tcW w:w="16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20,373</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2,463,797</w:t>
            </w:r>
          </w:p>
        </w:tc>
      </w:tr>
      <w:tr>
        <w:trPr/>
        <w:tc>
          <w:tcPr>
            <w:tcW w:w="30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2024 through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27,477</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1.86</w:t>
            </w:r>
          </w:p>
        </w:tc>
        <w:tc>
          <w:tcPr>
            <w:tcW w:w="109" w:type="dxa"/>
            <w:tcBorders/>
            <w:shd w:fill="CCEEFF" w:val="clear"/>
            <w:vAlign w:val="center"/>
          </w:tcPr>
          <w:p>
            <w:pPr>
              <w:pStyle w:val="TableContents"/>
              <w:bidi w:val="0"/>
              <w:spacing w:before="0" w:after="0"/>
              <w:ind w:left="0" w:right="0" w:hanging="0"/>
              <w:jc w:val="center"/>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62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27,477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2,412,757</w:t>
            </w:r>
          </w:p>
        </w:tc>
      </w:tr>
    </w:tbl>
    <w:p>
      <w:pPr>
        <w:pStyle w:val="TextBody"/>
        <w:pBdr/>
        <w:bidi w:val="0"/>
        <w:spacing w:before="0" w:after="0"/>
        <w:ind w:left="0" w:right="0" w:hanging="369"/>
        <w:jc w:val="both"/>
        <w:rPr>
          <w:shd w:fill="FFFFFF" w:val="clear"/>
        </w:rPr>
      </w:pPr>
      <w:r>
        <w:rPr>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On May 3, 2024, the Company's Board of Directors authorized a stock repurchase program allowing the Company to repurchase up to an aggregate amount of $2.5 million of its shares of common stock (the "2024 Repurchase Program").  The 2024 Repurchase Program may be modified, suspended or terminated by the Company’s Board of Directors at any time. All shares repurchased during the thirteen weeks ended June 30, 2024 were repurchased in open market transactions pursuant to a 10b5-1 purchase plan entered into by the Company</w:t>
            </w:r>
            <w:r>
              <w:rPr>
                <w:rFonts w:ascii="Times New Roman;Times;serif" w:hAnsi="Times New Roman;Times;serif"/>
                <w:b w:val="false"/>
                <w:i w:val="false"/>
                <w:caps w:val="false"/>
                <w:smallCaps w:val="false"/>
                <w:sz w:val="20"/>
                <w:shd w:fill="FFFFFF" w:val="clear"/>
              </w:rPr>
              <w:t>.</w:t>
            </w:r>
            <w:r>
              <w:rPr>
                <w:caps w:val="false"/>
                <w:smallCaps w:val="false"/>
              </w:rPr>
              <w:t xml:space="preserve"> </w:t>
            </w:r>
          </w:p>
        </w:tc>
      </w:tr>
    </w:tbl>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82" w:name="Item3DefaultsUponSeniorSecurities_546631"/>
      <w:bookmarkStart w:id="1083" w:name="_295695ac_024d_467b_b98d_732ec1e7aca6"/>
      <w:bookmarkEnd w:id="1082"/>
      <w:bookmarkEnd w:id="1083"/>
      <w:r>
        <w:rPr>
          <w:rFonts w:ascii="Times New Roman;Times;serif" w:hAnsi="Times New Roman;Times;serif"/>
          <w:b/>
          <w:sz w:val="20"/>
        </w:rPr>
        <w:t>Item 3. Defaults Upon Senior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84" w:name="Item4MineSafetyDisclosures_84191"/>
      <w:bookmarkStart w:id="1085" w:name="_d45bb81e_59d5_44b7_a00e_6e75911abc78"/>
      <w:bookmarkEnd w:id="1084"/>
      <w:bookmarkEnd w:id="1085"/>
      <w:r>
        <w:rPr>
          <w:rFonts w:ascii="Times New Roman;Times;serif" w:hAnsi="Times New Roman;Times;serif"/>
          <w:b/>
          <w:sz w:val="20"/>
        </w:rPr>
        <w:t>Item 4. 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pBdr/>
        <w:bidi w:val="0"/>
        <w:spacing w:before="0" w:after="0"/>
        <w:ind w:left="0" w:right="0" w:hanging="0"/>
        <w:jc w:val="both"/>
        <w:rPr>
          <w:rFonts w:ascii="Times New Roman;Times;serif" w:hAnsi="Times New Roman;Times;serif"/>
          <w:b/>
          <w:sz w:val="20"/>
        </w:rPr>
      </w:pPr>
      <w:bookmarkStart w:id="1086" w:name="Item5OtherInformation_793305"/>
      <w:bookmarkStart w:id="1087" w:name="_9380d8b2_dabb_41c5_b7ca_c229301117d6"/>
      <w:bookmarkEnd w:id="1086"/>
      <w:bookmarkEnd w:id="1087"/>
      <w:r>
        <w:rPr>
          <w:rFonts w:ascii="Times New Roman;Times;serif" w:hAnsi="Times New Roman;Times;serif"/>
          <w:b/>
          <w:sz w:val="20"/>
        </w:rPr>
        <w:t xml:space="preserve">Item 5. Other Information. </w:t>
      </w:r>
    </w:p>
    <w:p>
      <w:pPr>
        <w:pStyle w:val="TextBody"/>
        <w:shd w:fill="FFFFFF" w:val="clear"/>
        <w:bidi w:val="0"/>
        <w:spacing w:before="0" w:after="240"/>
        <w:ind w:left="0" w:right="0" w:hanging="0"/>
        <w:jc w:val="both"/>
        <w:rPr>
          <w:rFonts w:ascii="Times New Roman;Times;serif" w:hAnsi="Times New Roman;Times;serif"/>
          <w:i/>
          <w:sz w:val="20"/>
        </w:rPr>
      </w:pPr>
      <w:bookmarkStart w:id="1088" w:name="_Hlk148368400"/>
      <w:bookmarkEnd w:id="1088"/>
      <w:r>
        <w:rPr>
          <w:rFonts w:ascii="Times New Roman;Times;serif" w:hAnsi="Times New Roman;Times;serif"/>
          <w:i/>
          <w:sz w:val="20"/>
        </w:rPr>
        <w:t>Securities Trading Plans of Directors and Executive Officers</w:t>
      </w:r>
    </w:p>
    <w:p>
      <w:pPr>
        <w:pStyle w:val="TextBody"/>
        <w:bidi w:val="0"/>
        <w:spacing w:lineRule="auto" w:line="302" w:before="0" w:after="200"/>
        <w:ind w:left="0" w:right="0" w:firstLine="360"/>
        <w:jc w:val="both"/>
        <w:rPr>
          <w:rFonts w:ascii="Times New Roman;Times;serif" w:hAnsi="Times New Roman;Times;serif"/>
          <w:sz w:val="24"/>
        </w:rPr>
      </w:pPr>
      <w:r>
        <w:rPr>
          <w:rFonts w:ascii="Times New Roman;Times;serif" w:hAnsi="Times New Roman;Times;serif"/>
          <w:sz w:val="20"/>
        </w:rPr>
        <w:t>On June 13, 2024, David McCreight, a director</w:t>
      </w:r>
      <w:r>
        <w:rPr>
          <w:rFonts w:ascii="Times New Roman;Times;serif" w:hAnsi="Times New Roman;Times;serif"/>
          <w:sz w:val="24"/>
        </w:rPr>
        <w:t xml:space="preserve"> </w:t>
      </w:r>
      <w:r>
        <w:rPr>
          <w:rFonts w:ascii="Times New Roman;Times;serif" w:hAnsi="Times New Roman;Times;serif"/>
          <w:sz w:val="20"/>
        </w:rPr>
        <w:t>of the Company, entered</w:t>
      </w:r>
      <w:r>
        <w:rPr>
          <w:rFonts w:ascii="Times New Roman;Times;serif" w:hAnsi="Times New Roman;Times;serif"/>
          <w:sz w:val="24"/>
        </w:rPr>
        <w:t xml:space="preserve"> </w:t>
      </w:r>
      <w:r>
        <w:rPr>
          <w:rFonts w:ascii="Times New Roman;Times;serif" w:hAnsi="Times New Roman;Times;serif"/>
          <w:sz w:val="20"/>
        </w:rPr>
        <w:t>into a 10b5-1 sales plan intended to satisfy the affirmative defense of Rule 10b5-1(c) under the Exchange Act. The 10b5-1 sales plan, which was entered into during an open trading window under the Company’s insider trading policy, provides for the sale of up to 633,000</w:t>
      </w:r>
      <w:r>
        <w:rPr>
          <w:rFonts w:ascii="Times New Roman;Times;serif" w:hAnsi="Times New Roman;Times;serif"/>
          <w:sz w:val="24"/>
        </w:rPr>
        <w:t xml:space="preserve"> </w:t>
      </w:r>
      <w:r>
        <w:rPr>
          <w:rFonts w:ascii="Times New Roman;Times;serif" w:hAnsi="Times New Roman;Times;serif"/>
          <w:sz w:val="20"/>
        </w:rPr>
        <w:t>shares of common stock.  The trading plan is intended to permit the orderly disposition of a portion of the director’s holdings as part of his long-term financial and tax plan. The 10b5-1 sales plan becomes effective on September 16, 2024 and will terminate on the earlier of September 17, 2025, the date all shares covered under the 10b5-1 sales plan are sold, or the date a termination event occurs as provided in the 10b5-1 sales plan.  The 10b5-1 sales plan can be modified</w:t>
      </w:r>
      <w:r>
        <w:rPr>
          <w:rFonts w:ascii="Times New Roman;Times;serif" w:hAnsi="Times New Roman;Times;serif"/>
          <w:sz w:val="24"/>
        </w:rPr>
        <w:t xml:space="preserve"> </w:t>
      </w:r>
      <w:r>
        <w:rPr>
          <w:rFonts w:ascii="Times New Roman;Times;serif" w:hAnsi="Times New Roman;Times;serif"/>
          <w:sz w:val="20"/>
        </w:rPr>
        <w:t>or amended by Mr. McCreight during any open trading window under the Company’s insider trading policy.  No sales of shares have been made under the 10b5-1 sales plan.</w:t>
      </w:r>
      <w:r>
        <w:rPr>
          <w:rFonts w:ascii="Times New Roman;Times;serif" w:hAnsi="Times New Roman;Times;serif"/>
          <w:sz w:val="24"/>
          <w:shd w:fill="FFFFFF" w:val="clear"/>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89" w:name="Item6Exhibits_785378"/>
      <w:bookmarkStart w:id="1090" w:name="_845e2ae8_e828_4597_98e1_c79424898073"/>
      <w:bookmarkEnd w:id="1089"/>
      <w:bookmarkEnd w:id="1090"/>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822"/>
        <w:gridCol w:w="109"/>
        <w:gridCol w:w="4861"/>
        <w:gridCol w:w="109"/>
        <w:gridCol w:w="586"/>
        <w:gridCol w:w="109"/>
        <w:gridCol w:w="837"/>
        <w:gridCol w:w="109"/>
        <w:gridCol w:w="736"/>
        <w:gridCol w:w="109"/>
        <w:gridCol w:w="701"/>
        <w:gridCol w:w="109"/>
        <w:gridCol w:w="1008"/>
      </w:tblGrid>
      <w:tr>
        <w:trPr/>
        <w:tc>
          <w:tcPr>
            <w:tcW w:w="822" w:type="dxa"/>
            <w:tcBorders>
              <w:bottom w:val="single" w:sz="2" w:space="0" w:color="000000"/>
            </w:tcBorders>
            <w:vAlign w:val="center"/>
          </w:tcPr>
          <w:p>
            <w:pPr>
              <w:pStyle w:val="TableHeading"/>
              <w:bidi w:val="0"/>
              <w:spacing w:before="0" w:after="0"/>
              <w:ind w:left="0" w:right="0" w:hanging="0"/>
              <w:jc w:val="left"/>
              <w:rPr/>
            </w:pPr>
            <w:r>
              <w:rPr/>
              <w:t>​</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4861" w:type="dxa"/>
            <w:tcBorders>
              <w:bottom w:val="single" w:sz="2" w:space="0" w:color="000000"/>
            </w:tcBorders>
            <w:vAlign w:val="center"/>
          </w:tcPr>
          <w:p>
            <w:pPr>
              <w:pStyle w:val="TableHeading"/>
              <w:bidi w:val="0"/>
              <w:spacing w:before="0" w:after="0"/>
              <w:ind w:left="0" w:right="0" w:hanging="0"/>
              <w:jc w:val="center"/>
              <w:rPr/>
            </w:pPr>
            <w:r>
              <w:rPr/>
              <w:t>​</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3187" w:type="dxa"/>
            <w:gridSpan w:val="7"/>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100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822"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486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5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837"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73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701"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100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Furnished</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861"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4"/>
                  <w:shd w:fill="FFFFFF" w:val="clear"/>
                </w:rPr>
                <w:t>First Amendment to Credit Agreement, dated as of July 22, 2024, among Lulu’s Fashion Lounge, LLC, Lulu’s Fashion Lounge Parent, LLC, certain subsidiaries and Bank of America, N.A.</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hyperlink r:id="rId4">
              <w:r>
                <w:rPr>
                  <w:rStyle w:val="InternetLink"/>
                  <w:rFonts w:ascii="Times New Roman;Times;serif" w:hAnsi="Times New Roman;Times;serif"/>
                  <w:b w:val="false"/>
                  <w:i w:val="false"/>
                  <w:caps w:val="false"/>
                  <w:smallCaps w:val="false"/>
                  <w:sz w:val="24"/>
                </w:rPr>
                <w:t>001-41059</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07/25/2024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left"/>
              <w:rPr/>
            </w:pPr>
            <w:r>
              <w:rPr/>
              <w:t>​</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1" w:type="dxa"/>
            <w:tcBorders/>
            <w:tcMar>
              <w:bottom w:w="0" w:type="dxa"/>
            </w:tcMar>
            <w:vAlign w:val="center"/>
          </w:tcPr>
          <w:p>
            <w:pPr>
              <w:pStyle w:val="TableContents"/>
              <w:bidi w:val="0"/>
              <w:spacing w:before="0" w:after="0"/>
              <w:ind w:left="0" w:right="0" w:hanging="0"/>
              <w:jc w:val="left"/>
              <w:rPr/>
            </w:pPr>
            <w:hyperlink w:anchor="tmb-20240630xex31d1.htm">
              <w:r>
                <w:rPr>
                  <w:rStyle w:val="InternetLink"/>
                  <w:rFonts w:ascii="Times New Roman;Times;serif" w:hAnsi="Times New Roman;Times;serif"/>
                  <w:b w:val="false"/>
                  <w:i w:val="false"/>
                  <w:caps w:val="false"/>
                  <w:smallCaps w:val="false"/>
                  <w:sz w:val="24"/>
                </w:rPr>
                <w:t>Certification of Chief Executive Officer pursuant to Rule 13a-14(a)/15d-14(a).</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1" w:type="dxa"/>
            <w:tcBorders/>
            <w:tcMar>
              <w:bottom w:w="0" w:type="dxa"/>
            </w:tcMar>
            <w:vAlign w:val="center"/>
          </w:tcPr>
          <w:p>
            <w:pPr>
              <w:pStyle w:val="TableContents"/>
              <w:bidi w:val="0"/>
              <w:spacing w:before="0" w:after="0"/>
              <w:ind w:left="0" w:right="0" w:hanging="0"/>
              <w:jc w:val="left"/>
              <w:rPr/>
            </w:pPr>
            <w:hyperlink w:anchor="tmb-20240630xex31d2.htm">
              <w:r>
                <w:rPr>
                  <w:rStyle w:val="InternetLink"/>
                  <w:rFonts w:ascii="Times New Roman;Times;serif" w:hAnsi="Times New Roman;Times;serif"/>
                  <w:b w:val="false"/>
                  <w:i w:val="false"/>
                  <w:caps w:val="false"/>
                  <w:smallCaps w:val="false"/>
                  <w:sz w:val="24"/>
                </w:rPr>
                <w:t>Certification of Chief Financial Officer pursuant to Rule 13a-14(a)/15d-14(a).</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1" w:type="dxa"/>
            <w:tcBorders/>
            <w:tcMar>
              <w:bottom w:w="0" w:type="dxa"/>
            </w:tcMar>
            <w:vAlign w:val="center"/>
          </w:tcPr>
          <w:p>
            <w:pPr>
              <w:pStyle w:val="TableContents"/>
              <w:bidi w:val="0"/>
              <w:spacing w:before="0" w:after="0"/>
              <w:ind w:left="0" w:right="0" w:hanging="0"/>
              <w:jc w:val="left"/>
              <w:rPr/>
            </w:pPr>
            <w:hyperlink w:anchor="tmb-20240630xex32d1.htm">
              <w:r>
                <w:rPr>
                  <w:rStyle w:val="InternetLink"/>
                  <w:rFonts w:ascii="Times New Roman;Times;serif" w:hAnsi="Times New Roman;Times;serif"/>
                  <w:b w:val="false"/>
                  <w:i w:val="false"/>
                  <w:caps w:val="false"/>
                  <w:smallCaps w:val="false"/>
                  <w:sz w:val="24"/>
                </w:rPr>
                <w:t>Certification of Chief Executive Officer pursuant to 18 U.S.C. Section 1350.</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1" w:type="dxa"/>
            <w:tcBorders/>
            <w:tcMar>
              <w:bottom w:w="0" w:type="dxa"/>
            </w:tcMar>
            <w:vAlign w:val="center"/>
          </w:tcPr>
          <w:p>
            <w:pPr>
              <w:pStyle w:val="TableContents"/>
              <w:bidi w:val="0"/>
              <w:spacing w:before="0" w:after="0"/>
              <w:ind w:left="0" w:right="0" w:hanging="0"/>
              <w:jc w:val="left"/>
              <w:rPr/>
            </w:pPr>
            <w:hyperlink w:anchor="tmb-20240630xex32d2.htm">
              <w:r>
                <w:rPr>
                  <w:rStyle w:val="InternetLink"/>
                  <w:rFonts w:ascii="Times New Roman;Times;serif" w:hAnsi="Times New Roman;Times;serif"/>
                  <w:b w:val="false"/>
                  <w:i w:val="false"/>
                  <w:caps w:val="false"/>
                  <w:smallCaps w:val="false"/>
                  <w:sz w:val="24"/>
                </w:rPr>
                <w:t>Certification of Chief Financial Officer pursuant to 18 U.S.C. Section 1350.</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6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(as formatted as Inline XBRL and contained in Exhibit 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37"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01"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w:t>
      </w:r>
      <w:r>
        <w:rPr>
          <w:rFonts w:ascii="Times New Roman;Times;serif" w:hAnsi="Times New Roman;Times;serif"/>
          <w:sz w:val="20"/>
        </w:rPr>
        <w:t>Filed herewith</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w:t>
      </w:r>
      <w:r>
        <w:rPr>
          <w:rFonts w:ascii="Times New Roman;Times;serif" w:hAnsi="Times New Roman;Times;serif"/>
          <w:sz w:val="20"/>
        </w:rPr>
        <w:t>Furnished herewith</w:t>
      </w:r>
      <w:r>
        <w:rPr>
          <w:rFonts w:ascii="Times New Roman;Times;serif" w:hAnsi="Times New Roman;Times;serif"/>
          <w:sz w:val="24"/>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91" w:name="SIGNATURES_813814"/>
      <w:bookmarkStart w:id="1092" w:name="_88bab727_aa13_4a9a_96c4_394ed7df9600"/>
      <w:bookmarkEnd w:id="1091"/>
      <w:bookmarkEnd w:id="1092"/>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374" w:type="dxa"/>
        <w:jc w:val="left"/>
        <w:tblInd w:w="0" w:type="dxa"/>
        <w:tblLayout w:type="fixed"/>
        <w:tblCellMar>
          <w:top w:w="0" w:type="dxa"/>
          <w:left w:w="0" w:type="dxa"/>
          <w:bottom w:w="0" w:type="dxa"/>
          <w:right w:w="0" w:type="dxa"/>
        </w:tblCellMar>
      </w:tblPr>
      <w:tblGrid>
        <w:gridCol w:w="1951"/>
        <w:gridCol w:w="146"/>
        <w:gridCol w:w="406"/>
        <w:gridCol w:w="387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2710" cy="29210"/>
                      <wp:effectExtent l="0" t="0" r="0" b="0"/>
                      <wp:wrapNone/>
                      <wp:docPr id="291" name="Frame290"/>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57810" cy="29210"/>
                      <wp:effectExtent l="0" t="0" r="0" b="0"/>
                      <wp:wrapNone/>
                      <wp:docPr id="292" name="Frame291"/>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458085" cy="29210"/>
                      <wp:effectExtent l="0" t="0" r="0" b="0"/>
                      <wp:wrapNone/>
                      <wp:docPr id="293" name="Frame292"/>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LULU’S FASHION LOUNGE HOLDINGS, INC.</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(Principal Executive Officer)</w:t>
            </w:r>
            <w:r>
              <w:rPr>
                <w:rFonts w:ascii="Times New Roman;Times;serif" w:hAnsi="Times New Roman;Times;serif"/>
                <w:sz w:val="20"/>
              </w:rPr>
              <w:t> </w:t>
            </w:r>
          </w:p>
        </w:tc>
      </w:tr>
      <w:tr>
        <w:trPr/>
        <w:tc>
          <w:tcPr>
            <w:tcW w:w="19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right"/>
        <w:rPr>
          <w:rFonts w:ascii="Times New Roman;Times;serif" w:hAnsi="Times New Roman;Times;serif"/>
          <w:b/>
          <w:sz w:val="20"/>
        </w:rPr>
      </w:pPr>
      <w:bookmarkStart w:id="1093" w:name="tmb-20240630xex31d1.htm"/>
      <w:bookmarkStart w:id="1094" w:name="kstmb20240630xex31d1"/>
      <w:bookmarkEnd w:id="1093"/>
      <w:bookmarkEnd w:id="1094"/>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Crystal Landsem,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972" w:type="dxa"/>
        <w:jc w:val="center"/>
        <w:tblInd w:w="0" w:type="dxa"/>
        <w:tblLayout w:type="fixed"/>
        <w:tblCellMar>
          <w:top w:w="0" w:type="dxa"/>
          <w:left w:w="0" w:type="dxa"/>
          <w:bottom w:w="0" w:type="dxa"/>
          <w:right w:w="0" w:type="dxa"/>
        </w:tblCellMar>
      </w:tblPr>
      <w:tblGrid>
        <w:gridCol w:w="1951"/>
        <w:gridCol w:w="109"/>
        <w:gridCol w:w="406"/>
        <w:gridCol w:w="250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238885" cy="175260"/>
                      <wp:effectExtent l="0" t="0" r="0" b="0"/>
                      <wp:wrapNone/>
                      <wp:docPr id="294" name="Frame293"/>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591945" cy="175260"/>
                      <wp:effectExtent l="0" t="0" r="0" b="0"/>
                      <wp:wrapNone/>
                      <wp:docPr id="296" name="Frame295"/>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2024</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95" w:name="tmb-20240630xex31d2.htm"/>
      <w:bookmarkStart w:id="1096" w:name="kstmb20240630xex31d2"/>
      <w:bookmarkEnd w:id="1095"/>
      <w:bookmarkEnd w:id="1096"/>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Tiffany R. Smith,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337" w:type="dxa"/>
        <w:jc w:val="left"/>
        <w:tblInd w:w="0" w:type="dxa"/>
        <w:tblLayout w:type="fixed"/>
        <w:tblCellMar>
          <w:top w:w="0" w:type="dxa"/>
          <w:left w:w="0" w:type="dxa"/>
          <w:bottom w:w="0" w:type="dxa"/>
          <w:right w:w="0" w:type="dxa"/>
        </w:tblCellMar>
      </w:tblPr>
      <w:tblGrid>
        <w:gridCol w:w="1951"/>
        <w:gridCol w:w="109"/>
        <w:gridCol w:w="406"/>
        <w:gridCol w:w="387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38885" cy="175260"/>
                      <wp:effectExtent l="0" t="0" r="0" b="0"/>
                      <wp:wrapNone/>
                      <wp:docPr id="297" name="Frame296"/>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458085" cy="175260"/>
                      <wp:effectExtent l="0" t="0" r="0" b="0"/>
                      <wp:wrapNone/>
                      <wp:docPr id="299" name="Frame298"/>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2024</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97" w:name="tmb-20240630xex32d1.htm"/>
      <w:bookmarkStart w:id="1098" w:name="kstmb20240630xex32d1"/>
      <w:bookmarkEnd w:id="1097"/>
      <w:bookmarkEnd w:id="1098"/>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June 30, 2024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972" w:type="dxa"/>
        <w:jc w:val="center"/>
        <w:tblInd w:w="0" w:type="dxa"/>
        <w:tblLayout w:type="fixed"/>
        <w:tblCellMar>
          <w:top w:w="0" w:type="dxa"/>
          <w:left w:w="0" w:type="dxa"/>
          <w:bottom w:w="0" w:type="dxa"/>
          <w:right w:w="0" w:type="dxa"/>
        </w:tblCellMar>
      </w:tblPr>
      <w:tblGrid>
        <w:gridCol w:w="1951"/>
        <w:gridCol w:w="109"/>
        <w:gridCol w:w="406"/>
        <w:gridCol w:w="250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38885" cy="175260"/>
                      <wp:effectExtent l="0" t="0" r="0" b="0"/>
                      <wp:wrapNone/>
                      <wp:docPr id="300" name="Frame299"/>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591945" cy="175260"/>
                      <wp:effectExtent l="0" t="0" r="0" b="0"/>
                      <wp:wrapNone/>
                      <wp:docPr id="302" name="Frame301"/>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2024</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99" w:name="tmb-20240630xex32d2.htm"/>
      <w:bookmarkStart w:id="1100" w:name="kstmb20240630xex32d2"/>
      <w:bookmarkEnd w:id="1099"/>
      <w:bookmarkEnd w:id="1100"/>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June 30, 2024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337" w:type="dxa"/>
        <w:jc w:val="center"/>
        <w:tblInd w:w="0" w:type="dxa"/>
        <w:tblLayout w:type="fixed"/>
        <w:tblCellMar>
          <w:top w:w="0" w:type="dxa"/>
          <w:left w:w="0" w:type="dxa"/>
          <w:bottom w:w="0" w:type="dxa"/>
          <w:right w:w="0" w:type="dxa"/>
        </w:tblCellMar>
      </w:tblPr>
      <w:tblGrid>
        <w:gridCol w:w="1951"/>
        <w:gridCol w:w="109"/>
        <w:gridCol w:w="406"/>
        <w:gridCol w:w="387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38885" cy="175260"/>
                      <wp:effectExtent l="0" t="0" r="0" b="0"/>
                      <wp:wrapNone/>
                      <wp:docPr id="303" name="Frame302"/>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458085" cy="175260"/>
                      <wp:effectExtent l="0" t="0" r="0" b="0"/>
                      <wp:wrapNone/>
                      <wp:docPr id="305" name="Frame304"/>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2024</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Verdan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0201/000155837024010190/tmb-20240722xex10d1.htm" TargetMode="External"/><Relationship Id="rId4" Type="http://schemas.openxmlformats.org/officeDocument/2006/relationships/hyperlink" Target="https://www.sec.gov/Archives/edgar/data/1780201/000155837024010190/tmb-20240722xex10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21206</Words>
  <Characters>116886</Characters>
  <CharactersWithSpaces>139204</CharactersWithSpaces>
  <Paragraphs>4888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