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420" w:right="920" w:hanging="3392"/>
        <w:spacing w:after="0" w:line="328" w:lineRule="auto"/>
        <w:tabs>
          <w:tab w:leader="none" w:pos="504" w:val="left"/>
        </w:tabs>
        <w:numPr>
          <w:ilvl w:val="0"/>
          <w:numId w:val="1"/>
        </w:numPr>
        <w:rPr>
          <w:rFonts w:ascii="MS PGothic" w:cs="MS PGothic" w:eastAsia="MS PGothic" w:hAnsi="MS PGothic"/>
          <w:sz w:val="18"/>
          <w:szCs w:val="18"/>
          <w:color w:val="auto"/>
          <w:highlight w:val="white"/>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112395" cy="113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95" cy="1136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20" w:hanging="492"/>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6" w:lineRule="exact"/>
        <w:rPr>
          <w:rFonts w:ascii="MS PGothic" w:cs="MS PGothic" w:eastAsia="MS PGothic" w:hAnsi="MS PGothic"/>
          <w:sz w:val="18"/>
          <w:szCs w:val="18"/>
          <w:color w:val="auto"/>
          <w:highlight w:val="black"/>
        </w:rPr>
      </w:pPr>
    </w:p>
    <w:p>
      <w:pPr>
        <w:ind w:left="21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17"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112395" cy="113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95" cy="113665"/>
                    </a:xfrm>
                    <a:prstGeom prst="rect">
                      <a:avLst/>
                    </a:prstGeom>
                    <a:noFill/>
                  </pic:spPr>
                </pic:pic>
              </a:graphicData>
            </a:graphic>
          </wp:anchor>
        </w:drawing>
      </w:r>
    </w:p>
    <w:p>
      <w:pPr>
        <w:spacing w:after="0" w:line="1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Lulu’s Fashion Lounge Holdings,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1"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20-8442468</w:t>
            </w:r>
          </w:p>
        </w:tc>
      </w:tr>
      <w:tr>
        <w:trPr>
          <w:trHeight w:val="135"/>
        </w:trPr>
        <w:tc>
          <w:tcPr>
            <w:tcW w:w="3880" w:type="dxa"/>
            <w:vAlign w:val="bottom"/>
          </w:tcPr>
          <w:p>
            <w:pPr>
              <w:jc w:val="center"/>
              <w:ind w:right="170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780" w:type="dxa"/>
            <w:vAlign w:val="bottom"/>
          </w:tcPr>
          <w:p>
            <w:pPr>
              <w:jc w:val="center"/>
              <w:ind w:left="17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33"/>
        </w:trPr>
        <w:tc>
          <w:tcPr>
            <w:tcW w:w="3880" w:type="dxa"/>
            <w:vAlign w:val="bottom"/>
          </w:tcPr>
          <w:p>
            <w:pPr>
              <w:jc w:val="center"/>
              <w:ind w:right="1704"/>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780" w:type="dxa"/>
            <w:vAlign w:val="bottom"/>
          </w:tcPr>
          <w:p>
            <w:pPr>
              <w:jc w:val="center"/>
              <w:ind w:left="1706"/>
              <w:spacing w:after="0" w:line="133"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16"/>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w w:val="98"/>
              </w:rPr>
              <w:t>195 Humboldt Avenue</w:t>
            </w:r>
          </w:p>
        </w:tc>
        <w:tc>
          <w:tcPr>
            <w:tcW w:w="2780" w:type="dxa"/>
            <w:vAlign w:val="bottom"/>
          </w:tcPr>
          <w:p>
            <w:pPr>
              <w:spacing w:after="0"/>
              <w:rPr>
                <w:sz w:val="18"/>
                <w:szCs w:val="18"/>
                <w:color w:val="auto"/>
              </w:rPr>
            </w:pPr>
          </w:p>
        </w:tc>
      </w:tr>
      <w:tr>
        <w:trPr>
          <w:trHeight w:val="218"/>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rPr>
              <w:t>Chico, California</w:t>
            </w:r>
          </w:p>
        </w:tc>
        <w:tc>
          <w:tcPr>
            <w:tcW w:w="278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95928</w:t>
            </w:r>
          </w:p>
        </w:tc>
      </w:tr>
      <w:tr>
        <w:trPr>
          <w:trHeight w:val="166"/>
        </w:trPr>
        <w:tc>
          <w:tcPr>
            <w:tcW w:w="3880" w:type="dxa"/>
            <w:vAlign w:val="bottom"/>
          </w:tcPr>
          <w:p>
            <w:pPr>
              <w:jc w:val="center"/>
              <w:ind w:right="170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8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(530) 343-3545</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520" w:type="dxa"/>
            <w:vAlign w:val="bottom"/>
            <w:tcBorders>
              <w:top w:val="single" w:sz="8" w:color="auto"/>
              <w:left w:val="single" w:sz="8" w:color="auto"/>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0" w:type="dxa"/>
            <w:vAlign w:val="bottom"/>
            <w:tcBorders>
              <w:top w:val="single" w:sz="8" w:color="auto"/>
              <w:bottom w:val="single" w:sz="8" w:color="auto"/>
              <w:right w:val="single" w:sz="8" w:color="auto"/>
            </w:tcBorders>
          </w:tcPr>
          <w:p>
            <w:pPr>
              <w:spacing w:after="0"/>
              <w:rPr>
                <w:sz w:val="18"/>
                <w:szCs w:val="18"/>
                <w:color w:val="auto"/>
              </w:rPr>
            </w:pP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right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95"/>
        </w:trPr>
        <w:tc>
          <w:tcPr>
            <w:tcW w:w="3520" w:type="dxa"/>
            <w:vAlign w:val="bottom"/>
            <w:tcBorders>
              <w:left w:val="single" w:sz="8" w:color="auto"/>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LVLU</w:t>
            </w:r>
          </w:p>
        </w:tc>
        <w:tc>
          <w:tcPr>
            <w:tcW w:w="520" w:type="dxa"/>
            <w:vAlign w:val="bottom"/>
            <w:tcBorders>
              <w:bottom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213"/>
        </w:trPr>
        <w:tc>
          <w:tcPr>
            <w:tcW w:w="3520" w:type="dxa"/>
            <w:vAlign w:val="bottom"/>
          </w:tcPr>
          <w:p>
            <w:pPr>
              <w:spacing w:after="0"/>
              <w:rPr>
                <w:sz w:val="18"/>
                <w:szCs w:val="18"/>
                <w:color w:val="auto"/>
              </w:rPr>
            </w:pPr>
          </w:p>
        </w:tc>
        <w:tc>
          <w:tcPr>
            <w:tcW w:w="31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6"/>
              </w:rPr>
              <w:t>Securities registered pursuant to Section 12(g) of the Act:</w:t>
            </w:r>
          </w:p>
        </w:tc>
        <w:tc>
          <w:tcPr>
            <w:tcW w:w="3560" w:type="dxa"/>
            <w:vAlign w:val="bottom"/>
          </w:tcPr>
          <w:p>
            <w:pPr>
              <w:spacing w:after="0"/>
              <w:rPr>
                <w:sz w:val="18"/>
                <w:szCs w:val="18"/>
                <w:color w:val="auto"/>
              </w:rPr>
            </w:pPr>
          </w:p>
        </w:tc>
      </w:tr>
      <w:tr>
        <w:trPr>
          <w:trHeight w:val="174"/>
        </w:trPr>
        <w:tc>
          <w:tcPr>
            <w:tcW w:w="3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4"/>
              </w:rPr>
              <w:t>None.</w:t>
            </w:r>
          </w:p>
        </w:tc>
        <w:tc>
          <w:tcPr>
            <w:tcW w:w="3560" w:type="dxa"/>
            <w:vAlign w:val="bottom"/>
          </w:tcPr>
          <w:p>
            <w:pPr>
              <w:spacing w:after="0"/>
              <w:rPr>
                <w:sz w:val="15"/>
                <w:szCs w:val="15"/>
                <w:color w:val="auto"/>
              </w:rPr>
            </w:pPr>
          </w:p>
        </w:tc>
      </w:tr>
    </w:tbl>
    <w:p>
      <w:pPr>
        <w:spacing w:after="0" w:line="92" w:lineRule="exact"/>
        <w:rPr>
          <w:sz w:val="24"/>
          <w:szCs w:val="24"/>
          <w:color w:val="auto"/>
        </w:rPr>
      </w:pPr>
    </w:p>
    <w:p>
      <w:pPr>
        <w:ind w:left="20" w:right="2880"/>
        <w:spacing w:after="0" w:line="17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left="20" w:right="20"/>
        <w:spacing w:after="0" w:line="14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20" w:right="80"/>
        <w:spacing w:after="0" w:line="23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Non-accelerated filer</w:t>
            </w:r>
          </w:p>
        </w:tc>
        <w:tc>
          <w:tcPr>
            <w:tcW w:w="25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620"/>
              <w:spacing w:after="0" w:line="149" w:lineRule="exact"/>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20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1" w:lineRule="exact"/>
        <w:rPr>
          <w:sz w:val="24"/>
          <w:szCs w:val="24"/>
          <w:color w:val="auto"/>
        </w:rPr>
      </w:pPr>
    </w:p>
    <w:p>
      <w:pPr>
        <w:ind w:left="20" w:right="200"/>
        <w:spacing w:after="0" w:line="15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20" w:right="160"/>
        <w:spacing w:after="0" w:line="14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20" w:right="220"/>
        <w:spacing w:after="0" w:line="14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left="20" w:right="480"/>
        <w:spacing w:after="0" w:line="14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20"/>
        <w:spacing w:after="0" w:line="15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left="20" w:right="320"/>
        <w:spacing w:after="0" w:line="221" w:lineRule="auto"/>
        <w:rPr>
          <w:sz w:val="20"/>
          <w:szCs w:val="20"/>
          <w:color w:val="auto"/>
        </w:rPr>
      </w:pPr>
      <w:r>
        <w:rPr>
          <w:rFonts w:ascii="Times New Roman" w:cs="Times New Roman" w:eastAsia="Times New Roman" w:hAnsi="Times New Roman"/>
          <w:sz w:val="14"/>
          <w:szCs w:val="14"/>
          <w:color w:val="auto"/>
        </w:rPr>
        <w:t>At June 27, 2025, the last business day of the registrant’s most recently completed second fiscal quarter, the aggregate market value of the common stock of the registrant held by non-affiliates was approximately $2.9 million based on the closing price of the common stock on such date.</w:t>
      </w:r>
    </w:p>
    <w:p>
      <w:pPr>
        <w:spacing w:after="0" w:line="1" w:lineRule="exact"/>
        <w:rPr>
          <w:sz w:val="24"/>
          <w:szCs w:val="24"/>
          <w:color w:val="auto"/>
        </w:rPr>
      </w:pPr>
    </w:p>
    <w:p>
      <w:pPr>
        <w:ind w:left="20" w:right="220"/>
        <w:spacing w:after="0" w:line="230" w:lineRule="auto"/>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27, 2026, was 2,856,939. The foregoing reflects the reverse stock split of the registrant’s common stock that became effective as of the opening of business on July 7, 2025.</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ind w:left="20" w:right="200"/>
        <w:spacing w:after="0" w:line="28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2026 Annual Meeting of Stockholders to be filed with the Securities and Exchange Commission are incorporated by reference into Part III of this Annual Report on Form 10-K.</w:t>
      </w:r>
    </w:p>
    <w:p>
      <w:pPr>
        <w:sectPr>
          <w:pgSz w:w="11880" w:h="15480" w:orient="portrait"/>
          <w:cols w:equalWidth="0" w:num="1">
            <w:col w:w="10220"/>
          </w:cols>
          <w:pgMar w:left="800" w:top="1127" w:right="860" w:bottom="1440" w:gutter="0" w:footer="0" w:header="0"/>
        </w:sectPr>
      </w:pPr>
    </w:p>
    <w:bookmarkStart w:id="1" w:name="page2"/>
    <w:bookmarkEnd w:id="1"/>
    <w:p>
      <w:pPr>
        <w:spacing w:after="0" w:line="281" w:lineRule="auto"/>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1C.</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Cybersecurity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5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0"/>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Regarding Foreign Jurisdictions WKDW Prevent Inspections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5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4"/>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5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and Financial Statement Schedules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Item</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10-K Summary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920"/>
          </w:cols>
          <w:pgMar w:left="960" w:top="873" w:right="1000" w:bottom="0" w:gutter="0" w:footer="0" w:header="0"/>
          <w:type w:val="continuous"/>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2774315</wp:posOffset>
            </wp:positionH>
            <wp:positionV relativeFrom="page">
              <wp:posOffset>4775200</wp:posOffset>
            </wp:positionV>
            <wp:extent cx="1995170" cy="155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5170" cy="15557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920"/>
          </w:cols>
          <w:pgMar w:left="960" w:top="873" w:right="1000"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Annual Report on Form 10-K to the terms “Lulus,” “we,” “us,” “our,” or the “Company” refer to Lulu’s Fashion Lounge Holdings, Inc. and its consolidated subsidiaries.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fiscal year is a “52-53 week” year ending on the Sunday closest in proximity to December 31, such that each quarterly period will be 13 weeks in length, except during a 53 week year when the fourth quarter will be 14 weeks. References herein to “fiscal 2025” and/or “2025” relate to the year ended December 28, 2025, “fiscal 2024” and/or “2024” relate to the year ended December 29, 2024 and “fiscal 2023” and/or “2023” relate to the year ended December 31, 2023. The fiscal years ended December 28, 2025, December 29, 2024 and December 31, 2023 consisted of 52 weeks.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Throughout this Annual Report on Form 10-K,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Annual Report on Form 10-K, we also reference Adjusted EBITDA, </w:t>
      </w:r>
      <w:r>
        <w:rPr>
          <w:rFonts w:ascii="Times New Roman" w:cs="Times New Roman" w:eastAsia="Times New Roman" w:hAnsi="Times New Roman"/>
          <w:sz w:val="18"/>
          <w:szCs w:val="18"/>
          <w:color w:val="121212"/>
        </w:rPr>
        <w:t>Adjusted EBITDA Margin and Free Cash Flow</w:t>
      </w:r>
      <w:r>
        <w:rPr>
          <w:rFonts w:ascii="Times New Roman" w:cs="Times New Roman" w:eastAsia="Times New Roman" w:hAnsi="Times New Roman"/>
          <w:sz w:val="18"/>
          <w:szCs w:val="18"/>
          <w:color w:val="auto"/>
        </w:rPr>
        <w:t xml:space="preserve"> which are non-GAAP (generally accepted accounting principles in the United States of America) financial measure. See “Management’s Discussion and Analysis of Financial Condition and Results of Operations—Non-GAAP Financial Measures” for a discussion of Adjusted EBITDA, </w:t>
      </w:r>
      <w:r>
        <w:rPr>
          <w:rFonts w:ascii="Times New Roman" w:cs="Times New Roman" w:eastAsia="Times New Roman" w:hAnsi="Times New Roman"/>
          <w:sz w:val="18"/>
          <w:szCs w:val="18"/>
          <w:color w:val="121212"/>
        </w:rPr>
        <w:t>Adjusted EBITDA Margin and Free Cash Flow as well as a reconciliation of net</w:t>
      </w:r>
      <w:r>
        <w:rPr>
          <w:rFonts w:ascii="Times New Roman" w:cs="Times New Roman" w:eastAsia="Times New Roman" w:hAnsi="Times New Roman"/>
          <w:sz w:val="18"/>
          <w:szCs w:val="18"/>
          <w:color w:val="auto"/>
        </w:rPr>
        <w:t xml:space="preserve"> loss </w:t>
      </w:r>
      <w:r>
        <w:rPr>
          <w:rFonts w:ascii="Times New Roman" w:cs="Times New Roman" w:eastAsia="Times New Roman" w:hAnsi="Times New Roman"/>
          <w:sz w:val="18"/>
          <w:szCs w:val="18"/>
          <w:color w:val="121212"/>
        </w:rPr>
        <w:t>to Adjusted EBITDA and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21212"/>
        </w:rPr>
        <w:t>reconciliation to non-GAAP Free Cash Flow from net cash provided by operating activities</w:t>
      </w:r>
      <w:r>
        <w:rPr>
          <w:rFonts w:ascii="Times New Roman" w:cs="Times New Roman" w:eastAsia="Times New Roman" w:hAnsi="Times New Roman"/>
          <w:sz w:val="18"/>
          <w:szCs w:val="18"/>
          <w:color w:val="000000"/>
        </w:rPr>
        <w:t>. Net loss is the most directly comparable</w:t>
      </w:r>
      <w:r>
        <w:rPr>
          <w:rFonts w:ascii="Times New Roman" w:cs="Times New Roman" w:eastAsia="Times New Roman" w:hAnsi="Times New Roman"/>
          <w:sz w:val="18"/>
          <w:szCs w:val="18"/>
          <w:color w:val="121212"/>
        </w:rPr>
        <w:t xml:space="preserve"> </w:t>
      </w:r>
      <w:r>
        <w:rPr>
          <w:rFonts w:ascii="Times New Roman" w:cs="Times New Roman" w:eastAsia="Times New Roman" w:hAnsi="Times New Roman"/>
          <w:sz w:val="18"/>
          <w:szCs w:val="18"/>
          <w:color w:val="000000"/>
        </w:rPr>
        <w:t xml:space="preserve">financial measure to Adjusted EBITDA </w:t>
      </w:r>
      <w:r>
        <w:rPr>
          <w:rFonts w:ascii="Times New Roman" w:cs="Times New Roman" w:eastAsia="Times New Roman" w:hAnsi="Times New Roman"/>
          <w:sz w:val="18"/>
          <w:szCs w:val="18"/>
          <w:color w:val="121212"/>
        </w:rPr>
        <w:t>and net cash provided by operating activities is the most directly comparable financial measure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21212"/>
        </w:rPr>
        <w:t xml:space="preserve">to Free Cash Flow, </w:t>
      </w:r>
      <w:r>
        <w:rPr>
          <w:rFonts w:ascii="Times New Roman" w:cs="Times New Roman" w:eastAsia="Times New Roman" w:hAnsi="Times New Roman"/>
          <w:sz w:val="18"/>
          <w:szCs w:val="18"/>
          <w:color w:val="000000"/>
        </w:rPr>
        <w:t>required by, or presented in accordance with GAAP.</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920"/>
          </w:cols>
          <w:pgMar w:left="960" w:top="873" w:right="100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76" w:lineRule="exact"/>
        <w:rPr>
          <w:sz w:val="20"/>
          <w:szCs w:val="20"/>
          <w:color w:val="auto"/>
        </w:rPr>
      </w:pPr>
    </w:p>
    <w:p>
      <w:pPr>
        <w:ind w:left="680" w:right="20" w:hanging="319"/>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a strong community around the Lulus brand with engaged customers and influencers;</w:t>
      </w: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anticipate, identify, measure, and respond quickly to new and rapidly changing fashion trends, customer preferences and demands, and other factors;</w:t>
      </w: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drive traffic to our platform;</w:t>
      </w:r>
    </w:p>
    <w:p>
      <w:pPr>
        <w:spacing w:after="0" w:line="9"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key operating metrics are subject to inherent challenges;</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influencers, affiliate marketing, email, SMS, podcast advertisements, promotional partnerships and direct mail may adversely impact our brand and reputation or subject us to fines or other penalties;</w:t>
      </w: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connecting with our target customer base through effective marketing channels, it could have a material adverse effect on our business;</w:t>
      </w: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forecast income and appropriately plan our expenses;</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provide high-quality customer support or have significant changes to policies and/or services, third party or otherwise, it could have a material adverse effect on our business;</w:t>
      </w: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regulation, including increases in tariff rates and the imposition of additional tariffs, could increase our costs and adversely impact our business;</w:t>
      </w: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growing portion of our revenue is derived from wholesale partners, and changes in our relationships with, or the loss of, wholesale partners could adversely impact our financial condition and results of operations;</w:t>
      </w: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seasonality, which could result in fluctuations in our results of operations;</w:t>
      </w:r>
    </w:p>
    <w:p>
      <w:pPr>
        <w:spacing w:after="0" w:line="9"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borrowings, and we may incur additional indebtedness in the future;</w:t>
      </w:r>
    </w:p>
    <w:p>
      <w:pPr>
        <w:spacing w:after="0" w:line="9"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spacing w:after="0" w:line="9"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growth strategy will largely depend on our ability to manage the unique challenges presented by international markets;</w:t>
      </w: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the highly competitive retail apparel industry;</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consumer discretionary spending and may be adversely affected by economic downturns and other macroeconomic conditions or trends;</w:t>
      </w: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successfully maintain our desired merchandise assortment or manage our inventory effectively, we may be unable to attract a sufficient number of customers or sell sufficient quantities of our merchandise;</w:t>
      </w:r>
    </w:p>
    <w:p>
      <w:pPr>
        <w:jc w:val="both"/>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merchandise on a timely basis at competitive prices could suffer as a result of any deterioration or change in our supplier relationships or events and regulations that adversely affect our suppliers or their ability to obtain financing for their operations;</w:t>
      </w:r>
    </w:p>
    <w:p>
      <w:pPr>
        <w:spacing w:after="0" w:line="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returns and damages could harm our business;</w:t>
      </w:r>
    </w:p>
    <w:p>
      <w:pPr>
        <w:spacing w:after="0" w:line="9" w:lineRule="exact"/>
        <w:rPr>
          <w:rFonts w:ascii="Times New Roman" w:cs="Times New Roman" w:eastAsia="Times New Roman" w:hAnsi="Times New Roman"/>
          <w:sz w:val="18"/>
          <w:szCs w:val="18"/>
          <w:color w:val="auto"/>
        </w:rPr>
      </w:pPr>
    </w:p>
    <w:p>
      <w:pPr>
        <w:jc w:val="both"/>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80" w:right="2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technology and systems to support our supply chain, payments, financial reporting and other key aspects of our business;</w:t>
      </w:r>
    </w:p>
    <w:p>
      <w:pPr>
        <w:jc w:val="both"/>
        <w:ind w:left="680" w:right="2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email, SMS and other messaging services, and any restrictions on the sending of emails or messages or an inability to timely or successfully deliver such communications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technology based on artificial intelligence presents risks;</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and warehousing;</w:t>
      </w: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two distribution facilities and disruptions to the operations at these locations could have a material adverse effect on our business, financial condition, cash flows, and results of operations;</w:t>
      </w:r>
    </w:p>
    <w:p>
      <w:pPr>
        <w:ind w:left="680" w:hanging="319"/>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distributors, and other suppliers, and they may not continue to produce products or provide services that are consistent with our standards or applicable regulatory requirements;</w:t>
      </w:r>
    </w:p>
    <w:p>
      <w:pPr>
        <w:ind w:left="680" w:hanging="319"/>
        <w:spacing w:after="0" w:line="26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third-party suppliers and manufacturers are based in China, which exposes us to risks inherent in doing business there;</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920"/>
          </w:cols>
          <w:pgMar w:left="960" w:top="873" w:right="1000" w:bottom="0" w:gutter="0" w:footer="0" w:header="0"/>
          <w:type w:val="continuous"/>
        </w:sectPr>
      </w:pPr>
    </w:p>
    <w:bookmarkStart w:id="7" w:name="page8"/>
    <w:bookmarkEnd w:id="7"/>
    <w:p>
      <w:pPr>
        <w:jc w:val="both"/>
        <w:ind w:left="680" w:hanging="319"/>
        <w:spacing w:after="0" w:line="257"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increasing the number of direct sourcing relationships with manufacturers overseas, but because our experience with direct sourcing is still relatively limited, we may be exposed to unforeseen risks that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independent third-party transportation providers for substantially all of our merchandise;</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current laws, rules and regulations or changes to such laws, rules and regulations and other legal uncertainties may adversely affect our business, financial performance, results of operations or business growth;</w:t>
      </w:r>
    </w:p>
    <w:p>
      <w:pPr>
        <w:ind w:left="680" w:hanging="31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trademarks or other intellectual property rights;</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comply with applicable laws, including a failure to use acceptable labor practices, or if our suppliers suffer disruptions in their businesses, we could suffer adverse business consequences;</w:t>
      </w:r>
    </w:p>
    <w:p>
      <w:pPr>
        <w:ind w:left="68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including employment laws and laws related to our merchandise, could make conducting our business more expensive or otherwise cause us to change the way we do business;</w:t>
      </w:r>
    </w:p>
    <w:p>
      <w:pPr>
        <w:ind w:left="680" w:right="2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business growth and this capital might not be available or may be available only by diluting existing stockholders;</w:t>
      </w:r>
    </w:p>
    <w:p>
      <w:pPr>
        <w:ind w:left="68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meet the Nasdaq Capital Market’s continued listing requirements and other Nasdaq rules, or we may risk delisting;</w:t>
      </w:r>
    </w:p>
    <w:p>
      <w:pPr>
        <w:ind w:left="680" w:hanging="31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stock price will fluctuate significantly;</w:t>
      </w:r>
    </w:p>
    <w:p>
      <w:pPr>
        <w:spacing w:after="0" w:line="9"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a material disruption to our business as a result of activist stockholders or others;</w:t>
      </w:r>
    </w:p>
    <w:p>
      <w:pPr>
        <w:spacing w:after="0" w:line="9"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sellers of our stock may be manipulative and may drive down the market price of our common stock;</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market price and trading volume could decline if securities or industry analysts do not publish research or publish inaccurate or unfavorable research about our business;</w:t>
      </w:r>
    </w:p>
    <w:p>
      <w:pPr>
        <w:ind w:left="680" w:right="2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2024 Stock Repurchase Program will enhance long-term stockholder value and stock repurchases could increase the volatility of the trading price of our stock and could diminish our cash reserves;</w:t>
      </w:r>
    </w:p>
    <w:p>
      <w:pPr>
        <w:ind w:left="68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 could significantly affect our financial results or financial condition;</w:t>
      </w:r>
    </w:p>
    <w:p>
      <w:pPr>
        <w:ind w:left="68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goodwill impairment charges in the past, and may incur goodwill or intangible asset impairment charges again in the future;</w:t>
      </w:r>
    </w:p>
    <w:p>
      <w:pPr>
        <w:ind w:left="680" w:right="20" w:hanging="319"/>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claims made against us from time to time that can result in litigation that could distract management from our business activities and result in significant liability or damage to our brand; and</w:t>
      </w:r>
    </w:p>
    <w:p>
      <w:pPr>
        <w:ind w:left="680" w:hanging="31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personnel.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Lulus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world-class personal stylists, bridal concierge, and customer care team provide thoughtful, personalized service to shoppers around the world.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focused on building authentic personal relationships with our customers and offering them coveted products they cannot purchase elsewhere. We incorporate the pulse of the consumer by engaging with her through reviews, feedback and one-on-one interactions with our style advisors, fit experts and bridal concierge across the web, social media, and the Lulus’ mobile app. Customers express their love for our brand on social media and by word-of-mouth (both in-person and online). We strive to provide opportunities for the customer to have an in-person connection with our products and the brand, through wholesale accounts with department stores and other brick and mortar retailers and in-person events.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key differentiator of our business model from traditional fashion retail is our use of data to optimize almost all elements of our business. Nowhere is this more pronounced than in our product creation and curation cycle. Traditional merchandising approaches are risky and capital intensive, characterized by extended in-house design cycles, seasonal assortment decisions, deep buys, limited customer feedback, and high markdowns. Unlike traditional retailers, we leverage a “test, learn, and reorder” strategy to bringing new products to market almost every week; we test them in small batches, learn about customer demand and then quickly reorder winning products in higher volume to optimize profitability. This strategy allows us to rapidly convert new products into profitable sales on a consistent and repeatable basis while minimizing fashion and trend risk.</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920"/>
          </w:cols>
          <w:pgMar w:left="960" w:top="877" w:right="10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225"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Customer-Driven Fashion Brand:</w:t>
      </w:r>
      <w:r>
        <w:rPr>
          <w:rFonts w:ascii="PMingLiU" w:cs="PMingLiU" w:eastAsia="PMingLiU" w:hAnsi="PMingLiU"/>
          <w:sz w:val="18"/>
          <w:szCs w:val="18"/>
          <w:i w:val="1"/>
          <w:iCs w:val="1"/>
          <w:color w:val="auto"/>
        </w:rP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Lulus is one of the first digitally-native fashion brands in the United States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serving Gen Z and Millennial women. We take pride in our ability to offer more luxurious fabrics and incorporate elevated stylistic details into our products relative to what is offered by other comparably-priced brands. Our obsessive focus on customer experience creates deep personal connections, which in turn rewards us with customer loyalty and word-of-mouth sharing of the brand.</w:t>
      </w:r>
    </w:p>
    <w:p>
      <w:pPr>
        <w:spacing w:after="0" w:line="19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Customer-Centric Experience</w:t>
      </w:r>
      <w:r>
        <w:rPr>
          <w:rFonts w:ascii="PMingLiU" w:cs="PMingLiU" w:eastAsia="PMingLiU" w:hAnsi="PMingLiU"/>
          <w:sz w:val="18"/>
          <w:szCs w:val="18"/>
          <w:i w:val="1"/>
          <w:iCs w:val="1"/>
          <w:color w:val="auto"/>
        </w:rP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passionate about building a brand synonymous with exceptional customer service.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effectively brought the boutique experience online, developing one-on-one relationships with our customers in order to learn and then address their individual needs. Our customers value Lulus for our personalized fit and styling assistance from our live customer assistance when additional advice is required beyond that of our popular automated fit analyst tool. Further, we are able to offer standardized sizing across the Lulus assortment, simplifying the shopping experience and giving our customer confidence that she is selecting the best fit.</w:t>
      </w:r>
    </w:p>
    <w:p>
      <w:pPr>
        <w:spacing w:after="0" w:line="19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Leveraging Data to Best Serve our Customer:</w:t>
      </w:r>
      <w:r>
        <w:rPr>
          <w:rFonts w:ascii="PMingLiU" w:cs="PMingLiU" w:eastAsia="PMingLiU" w:hAnsi="PMingLiU"/>
          <w:sz w:val="18"/>
          <w:szCs w:val="18"/>
          <w:i w:val="1"/>
          <w:iCs w:val="1"/>
          <w:color w:val="auto"/>
        </w:rP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built a massive dataset which gives us strong insight into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Millions of customers have interacted with us, leaving detailed reviews, interacting with our on-demand Style Advisors, Fit Experts, and Bridal Concierge, and completing checkout surveys. Across Facebook, Instagram, Pinterest, Snapchat, TikTok, X, Threads, and YouTube, our over 8.9 million followers engage with us through their comments, feedback, photographs, and support of our brand. In aggregate, this data set gives us the ability to understand our customers’ preferences.</w:t>
      </w:r>
    </w:p>
    <w:p>
      <w:pPr>
        <w:spacing w:after="0" w:line="19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Marketing and Engagement Strategy:</w:t>
      </w:r>
      <w:r>
        <w:rPr>
          <w:rFonts w:ascii="PMingLiU" w:cs="PMingLiU" w:eastAsia="PMingLiU" w:hAnsi="PMingLiU"/>
          <w:sz w:val="18"/>
          <w:szCs w:val="18"/>
          <w:i w:val="1"/>
          <w:iCs w:val="1"/>
          <w:color w:val="auto"/>
        </w:rP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strive to engage with our customer where she is, in authentic and personalized ways: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website, mobile app, email, SMS, social media and in-person connections. This strategy helps drive brand awareness while fostering deep connections with our customers. Our brand ambassador partnerships span a broad range of audience sizes and engagement levels, including nano- and micro-influencers, college ambassadors, and celebrity partners, all of whom are selected based on alignment with our brand and product offering.</w:t>
      </w:r>
    </w:p>
    <w:p>
      <w:pPr>
        <w:spacing w:after="0" w:line="19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Data-Driven Product Creation Strategy: </w:t>
      </w:r>
      <w:r>
        <w:rPr>
          <w:rFonts w:ascii="Times New Roman" w:cs="Times New Roman" w:eastAsia="Times New Roman" w:hAnsi="Times New Roman"/>
          <w:sz w:val="18"/>
          <w:szCs w:val="18"/>
          <w:color w:val="auto"/>
        </w:rPr>
        <w:t>Our innovative product creation strategy leverages the power of our proprietary data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“test, learn, and reorder” approach to bring new styles online almost every weekday. We are highly focused on optimization of inventory levels to meet customer demand and minimize markdowns. This efficient, data-driven process, coupled with human insight, allows us to respond to fashion trends with speed and precision while significantly reducing risk in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marketing strategy leverages our strong visual brand presence to build awareness and drive engagement with our large, diverse community of loyal customers. We integrate the power of data across multiple channels to offer a singular brand voice that speaks to Gen Z and Millennial women. We seek to meet the Lulus customer wherever she is, enabling her discovery of the brand and providing her opportunities to interact with others in the Lulus community. Through this engagement with our customers, we strive to build personal connections that are authentic and durable. We attract and engage customers through a combination of owned, earned and paid media.</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attracting a new or existing customer to our website or mobile experience, we seek to maximize conversion through a variety of strategies:</w:t>
      </w:r>
    </w:p>
    <w:p>
      <w:pPr>
        <w:spacing w:after="0" w:line="160" w:lineRule="exact"/>
        <w:rPr>
          <w:sz w:val="20"/>
          <w:szCs w:val="20"/>
          <w:color w:val="auto"/>
        </w:rPr>
      </w:pPr>
    </w:p>
    <w:p>
      <w:pPr>
        <w:jc w:val="both"/>
        <w:ind w:left="680" w:hanging="320"/>
        <w:spacing w:after="0" w:line="221" w:lineRule="exact"/>
        <w:tabs>
          <w:tab w:leader="none" w:pos="680" w:val="left"/>
        </w:tabs>
        <w:numPr>
          <w:ilvl w:val="0"/>
          <w:numId w:val="5"/>
        </w:numPr>
        <w:rPr>
          <w:rFonts w:ascii="Times New Roman" w:cs="Times New Roman" w:eastAsia="Times New Roman" w:hAnsi="Times New Roman"/>
          <w:sz w:val="18"/>
          <w:szCs w:val="18"/>
          <w:color w:val="auto"/>
        </w:rPr>
      </w:pPr>
      <w:r>
        <w:rPr>
          <w:rFonts w:ascii="PMingLiU" w:cs="PMingLiU" w:eastAsia="PMingLiU" w:hAnsi="PMingLiU"/>
          <w:sz w:val="18"/>
          <w:szCs w:val="18"/>
          <w:i w:val="1"/>
          <w:iCs w:val="1"/>
          <w:color w:val="auto"/>
        </w:rPr>
        <w:t>%UDQG 6WUHQJWK DQG ([FOXVLYLW\</w:t>
      </w:r>
      <w:r>
        <w:rPr>
          <w:rFonts w:ascii="Times New Roman" w:cs="Times New Roman" w:eastAsia="Times New Roman" w:hAnsi="Times New Roman"/>
          <w:sz w:val="18"/>
          <w:szCs w:val="18"/>
          <w:color w:val="auto"/>
        </w:rPr>
        <w:t xml:space="preserve"> Rooted in our primarily digital-first approach, our brand's strength thrives on a profound understanding of the Lulus customer. This focus empowers us to curate exclusive collections perfectly suited for all of her life's moments. Our frequently updated catalog further enhances this experience, enabling customers to discover products that align with their needs, including our exclusive Lulus products.</w:t>
      </w:r>
    </w:p>
    <w:p>
      <w:pPr>
        <w:spacing w:after="0" w:line="198" w:lineRule="exact"/>
        <w:rPr>
          <w:rFonts w:ascii="Times New Roman" w:cs="Times New Roman" w:eastAsia="Times New Roman" w:hAnsi="Times New Roman"/>
          <w:sz w:val="18"/>
          <w:szCs w:val="18"/>
          <w:color w:val="auto"/>
        </w:rPr>
      </w:pPr>
    </w:p>
    <w:p>
      <w:pPr>
        <w:jc w:val="both"/>
        <w:ind w:left="680" w:hanging="320"/>
        <w:spacing w:after="0" w:line="221" w:lineRule="exact"/>
        <w:tabs>
          <w:tab w:leader="none" w:pos="680" w:val="left"/>
        </w:tabs>
        <w:numPr>
          <w:ilvl w:val="0"/>
          <w:numId w:val="5"/>
        </w:numPr>
        <w:rPr>
          <w:rFonts w:ascii="Times New Roman" w:cs="Times New Roman" w:eastAsia="Times New Roman" w:hAnsi="Times New Roman"/>
          <w:sz w:val="18"/>
          <w:szCs w:val="18"/>
          <w:color w:val="auto"/>
        </w:rPr>
      </w:pPr>
      <w:r>
        <w:rPr>
          <w:rFonts w:ascii="PMingLiU" w:cs="PMingLiU" w:eastAsia="PMingLiU" w:hAnsi="PMingLiU"/>
          <w:sz w:val="18"/>
          <w:szCs w:val="18"/>
          <w:i w:val="1"/>
          <w:iCs w:val="1"/>
          <w:color w:val="auto"/>
        </w:rPr>
        <w:t>3URGXFW5HYLHZV</w:t>
      </w:r>
      <w:r>
        <w:rPr>
          <w:rFonts w:ascii="Times New Roman" w:cs="Times New Roman" w:eastAsia="Times New Roman" w:hAnsi="Times New Roman"/>
          <w:sz w:val="18"/>
          <w:szCs w:val="18"/>
          <w:color w:val="auto"/>
        </w:rPr>
        <w:t xml:space="preserve"> One of the most important aspects of our digital shopping experience is our extensive database of proprietary customer product reviews, which we first enabled in 2012 and now amounts to over one million reviews. Our website has the functionality to allow customers to upload their own product photos along with their reviews, which bring the products to life on a diverse array of body types.</w:t>
      </w:r>
    </w:p>
    <w:p>
      <w:pPr>
        <w:spacing w:after="0" w:line="198" w:lineRule="exact"/>
        <w:rPr>
          <w:rFonts w:ascii="Times New Roman" w:cs="Times New Roman" w:eastAsia="Times New Roman" w:hAnsi="Times New Roman"/>
          <w:sz w:val="18"/>
          <w:szCs w:val="18"/>
          <w:color w:val="auto"/>
        </w:rPr>
      </w:pPr>
    </w:p>
    <w:p>
      <w:pPr>
        <w:jc w:val="both"/>
        <w:ind w:left="680" w:hanging="320"/>
        <w:spacing w:after="0" w:line="221" w:lineRule="exact"/>
        <w:tabs>
          <w:tab w:leader="none" w:pos="680" w:val="left"/>
        </w:tabs>
        <w:numPr>
          <w:ilvl w:val="0"/>
          <w:numId w:val="5"/>
        </w:numPr>
        <w:rPr>
          <w:rFonts w:ascii="Times New Roman" w:cs="Times New Roman" w:eastAsia="Times New Roman" w:hAnsi="Times New Roman"/>
          <w:sz w:val="18"/>
          <w:szCs w:val="18"/>
          <w:color w:val="auto"/>
        </w:rPr>
      </w:pPr>
      <w:r>
        <w:rPr>
          <w:rFonts w:ascii="PMingLiU" w:cs="PMingLiU" w:eastAsia="PMingLiU" w:hAnsi="PMingLiU"/>
          <w:sz w:val="18"/>
          <w:szCs w:val="18"/>
          <w:i w:val="1"/>
          <w:iCs w:val="1"/>
          <w:color w:val="auto"/>
        </w:rPr>
        <w:t>%RXWLTXH 6W\OLQJ ([SHULHQFH </w:t>
      </w:r>
      <w:r>
        <w:rPr>
          <w:rFonts w:ascii="Times New Roman" w:cs="Times New Roman" w:eastAsia="Times New Roman" w:hAnsi="Times New Roman"/>
          <w:sz w:val="18"/>
          <w:szCs w:val="18"/>
          <w:color w:val="auto"/>
        </w:rPr>
        <w:t xml:space="preserve"> We strive to offer exceptional customer service before, during, and after each purchase. We accomplish this by continuously improving the boutique experience on our platform through features such as our product recommendation engine, targeted messaging, and with our in-house team of customer service associates who maintain deep expertise of our brand, products, and systems.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920"/>
          </w:cols>
          <w:pgMar w:left="960" w:top="873" w:right="1000" w:bottom="0" w:gutter="0" w:footer="0" w:header="0"/>
          <w:type w:val="continuous"/>
        </w:sectPr>
      </w:pPr>
    </w:p>
    <w:bookmarkStart w:id="9" w:name="page10"/>
    <w:bookmarkEnd w:id="9"/>
    <w:p>
      <w:pPr>
        <w:jc w:val="both"/>
        <w:ind w:left="680" w:hanging="319"/>
        <w:spacing w:after="0" w:line="221" w:lineRule="exact"/>
        <w:tabs>
          <w:tab w:leader="none" w:pos="680" w:val="left"/>
        </w:tabs>
        <w:numPr>
          <w:ilvl w:val="0"/>
          <w:numId w:val="6"/>
        </w:numPr>
        <w:rPr>
          <w:rFonts w:ascii="Times New Roman" w:cs="Times New Roman" w:eastAsia="Times New Roman" w:hAnsi="Times New Roman"/>
          <w:sz w:val="18"/>
          <w:szCs w:val="18"/>
          <w:color w:val="auto"/>
        </w:rPr>
      </w:pPr>
      <w:r>
        <w:rPr>
          <w:rFonts w:ascii="PMingLiU" w:cs="PMingLiU" w:eastAsia="PMingLiU" w:hAnsi="PMingLiU"/>
          <w:sz w:val="18"/>
          <w:szCs w:val="18"/>
          <w:i w:val="1"/>
          <w:iCs w:val="1"/>
          <w:color w:val="auto"/>
        </w:rPr>
        <w:t>3HUVRQDOL]HGDQG2SWLPL]HG6KRSSLQJ([SHULHQFH</w:t>
      </w:r>
      <w:r>
        <w:rPr>
          <w:rFonts w:ascii="Times New Roman" w:cs="Times New Roman" w:eastAsia="Times New Roman" w:hAnsi="Times New Roman"/>
          <w:sz w:val="18"/>
          <w:szCs w:val="18"/>
          <w:color w:val="auto"/>
        </w:rPr>
        <w:t>: We customize and personalize our interactions with each Lulus customer by monitoring information such as how they arrive on our site, on-site behavior, and what they buy. Our customer insights, predictive capabilities, product recommendations, and custom-built website work seamlessly together to offer customers a personalized experience across desktop, mobile web, our mobile app, email, and SMS.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strategies work in unison to help drive order conversion. Whether they are browsing social media or providing feedback on a recent purchase, we engage with our customers across a multitude of touchpoints throughout the discovery and purchase journey.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mass market appeal of our brand, we believe there is a significant opportunity to bring new customers into the Lulus community through increased brand awareness. We intend to grow awareness of the Lulus brand and attract new customers through the following strategies:</w:t>
      </w:r>
    </w:p>
    <w:p>
      <w:pPr>
        <w:spacing w:after="0" w:line="176" w:lineRule="exact"/>
        <w:rPr>
          <w:sz w:val="20"/>
          <w:szCs w:val="20"/>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investment in top-of-funnel marketing to boost brand visibility and attract new audiences.</w:t>
      </w:r>
    </w:p>
    <w:p>
      <w:pPr>
        <w:spacing w:after="0" w:line="225"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engagement through key wholesale collaborations, introducing Lulus to new customers, showcasing our product and expanding our retail presence.</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performance-driven digital marketing strategies to maximize reach and efficiency.</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engaging on-site experiences to improve customer interaction and drive conversions.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marketing channels to reach untapped audiences.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brand ambassador program to deepen engagement and amplify brand stories.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organic growth through loyalty programs, customer reviews, and social content.</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influencer partnerships through a more focused and efficient approach to reach and engage diverse audiences.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 activations and events around key cultural moments to increase awareness and engagement.</w:t>
      </w:r>
    </w:p>
    <w:p>
      <w:pPr>
        <w:spacing w:after="0" w:line="225"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 strategic brand partnerships to capture new audiences, engage partner communities, and create memorable customer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and Retain Existing Customer Relationships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 large Lulus community of 2.3 million Active Customers as of December 28, 2025. We continue to leverage data-driven customer insights to try to develop strong customer relationships and become a one-stop shop for Gen Z and Millennial women. For example, we have had success leveraging data-driven insights across categories to offer personalized suggestions and reminders at targeted points in time, and we are focused on expanding these capabilities to provide enhanced real-time recommendations and post-purchase engagement. Additionally, we continually develop and evaluate new tools and programs designed to improve the key customer metrics that drive our business, such as frequency of purchase and Average Order Value (“AOV”) through the following strategies:</w:t>
      </w:r>
    </w:p>
    <w:p>
      <w:pPr>
        <w:spacing w:after="0" w:line="187" w:lineRule="exact"/>
        <w:rPr>
          <w:sz w:val="20"/>
          <w:szCs w:val="20"/>
          <w:color w:val="auto"/>
        </w:rPr>
      </w:pPr>
    </w:p>
    <w:p>
      <w:pPr>
        <w:ind w:left="680" w:hanging="319"/>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our website and mobile experience through continued A/B and multivariate testing;</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of customer segmentation and personalization features;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multi-region distribution facilities to offer faster order delivery and developing new shipping options;</w:t>
      </w:r>
    </w:p>
    <w:p>
      <w:pPr>
        <w:spacing w:after="0" w:line="225"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Love Rewards® loyalty program, to engender even deeper brand engagement, drive repeat purchase behavior and increase wallet share;</w:t>
      </w:r>
    </w:p>
    <w:p>
      <w:pPr>
        <w:spacing w:after="0" w:line="161"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our customer service through the expansion of our style advisors, fit experts, and bridal concierge dedicated to creating a truly personalized boutique experience;</w:t>
      </w:r>
    </w:p>
    <w:p>
      <w:pPr>
        <w:sectPr>
          <w:pgSz w:w="11880" w:h="15480" w:orient="portrait"/>
          <w:cols w:equalWidth="0" w:num="1">
            <w:col w:w="9920"/>
          </w:cols>
          <w:pgMar w:left="960" w:top="87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920"/>
          </w:cols>
          <w:pgMar w:left="960" w:top="875" w:right="1000" w:bottom="0" w:gutter="0" w:footer="0" w:header="0"/>
          <w:type w:val="continuous"/>
        </w:sectPr>
      </w:pPr>
    </w:p>
    <w:bookmarkStart w:id="10" w:name="page11"/>
    <w:bookmarkEnd w:id="10"/>
    <w:p>
      <w:pPr>
        <w:ind w:left="680" w:right="20" w:hanging="319"/>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our brand positioning as a women’s clothing brand offering modern, feminine styles at accessible prices for every occasion; and</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new technology that enhances our customers’ experience.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learned that enhancing our existing customers’ experience drives increased word-of-mouth (in-person and online) recommendations, which in turn helps grow brand awareness. We leverage artificial intelligence (“AI”) and machine learning among other technologies to enhance customer experiences, including personalization, optimized marketing, improved product recommendations, and streamlined customer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Customer Expansion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there is great potential to expand our customer base and drive growth within our existing core categories by focusing on, among other things, product size, fit, and construction. We remain focused on actively repositioning our casual wear and footwear categories and continuing to prioritize assortment optimization and strengthening our presence as a key destination for event dressing. Our engagement with potential and existing customers through product reviews, exit surveys, social media, and in-person feedback helps us understand the products they are most interested in shopping for, as well as those that could be improved. Our product development strategy enables us to test our assortment with minimal upfront investment and risk and gives us the ability to leverage our existing categories to attract new customers and drive repeat orders.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Channel Reach through Wholesale Partnerships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brand primarily operates direct-to-consumer, and while we expect that it will continue to operate in that manner as we continue to grow, we are focusing on channel expansion and wholesale initiatives to further build brand awareness, expand our reach and attract new customers. Lulus successfully launched in all Nordstrom stores across the U.S. in early 2026, and we intend to continue growing our successful wholesale initiatives with partners such as Dillard’s, Urban Outfitters, Amazon, Victoria’s Secret, and more. Lulus’ wholesale business grew 144% year-over-year from fiscal 2024 to 2025, and we believe there is continued opportunity to build partnerships that create mutual long-term value, expand awareness, reach new customers, and maintain a consistent brand experience.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International Expansion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expect the majority of our near-term customer demand to continue to come from the U.S., we believe that serving international customers represents a long-term growth opportunity. To date, we have shipped our merchandise to around 150 countries, with only limited marketing spend outside of the U.S., demonstrating our global appeal and broader market opportunity. We continue to focus on our platform, distribution and marketing process for international customers, allowing for a more optimized shopping experience, including more flexibility across languages and currencies, along with access to more communication channels and promotions. We believe that providing a localized shopping experience will significantly enhance our ability to serve customers in international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collaborate with a network of around 250 suppliers, who serve as our design and manufacturing partners. These suppliers often give us priority access and exclusivity to designs, given the strong relationships we have built over the last two decades. We do not have any long-term commitments requiring us to purchase minimum volumes from any supplier. We believe that continuing to enhance our localized shopping experience will improve our ability to serve customers in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www.lulus.com website, mobile app, and merchandising, customer, order, and warehouse management systems are proprietary, purpose-built solutions with the goal of delivering the best possible customer experience and operational efficiency. From payment card industry compliant checkout to the software running on handheld barcode scanners in order fulfillment, these key software processes are developed, maintained, and enhanced by our in-house engineering and data teams with the objective to exceed our customers’ expectations in a scalable way. Data-driven insights are core to what we do at Lulus. Technology drives and supports our business in several foundational areas, like our merchandising test, learn and reorder model, our cost-efficient marketing, and high operational efficiency.</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920"/>
          </w:cols>
          <w:pgMar w:left="960" w:top="877" w:right="1000" w:bottom="0" w:gutter="0" w:footer="0" w:header="0"/>
          <w:type w:val="continuous"/>
        </w:sectPr>
      </w:pPr>
    </w:p>
    <w:bookmarkStart w:id="11" w:name="page12"/>
    <w:bookmarkEnd w:id="1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proprietary reorder system is informed and powered by our data warehouse with predictive data modeling and business intelligence. Sales are analyzed across hundreds of product attributes and assortment architecture and trend analyses inform our buyers’ selection of new styles. Customer demand and return signal data, product profitability, seasonality, and product demand prediction are taken into consideration to advise our reorder buyers which products to reorder, when those reorders should arrive, and in what quantities.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combine purpose-built technology systems with customer focused engineering and data teams, to provide us with deep customer behavior insights. Integrating information from many available sources, from customer actions and feedback on the platforms to predictive analysis, continuously enhances our understanding of customer preference. This understanding allows us to activate personalization across our platform and in our various marketing channels. We utilize predictive analytics and AI to optimize our assortment and personalize the website experience through advanced search and product recommendations.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use our technology to optimize our operational efficiency as e-commerce fulfillment and reverse logistics are critical to profitability. We have implemented, and will continue to implement, robotics and other automation to support various processes and increase efficiency within our distribution facilities. Our business model is characterized by high SKU velocity, low to no SKU affinity, quick order-to-ship requirements, short return-to-refund timelines, and fast inventory turnover. We have built our own proprietary, integrated e-commerce backend system to minimize cost and maximize customer satisfaction.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built our software development and deployment cycles such that software changes can be deployed daily after being verified by fully automated testing, as well as by human functional testing. We work with reputable cloud services providers across multiple data centers, with fully redundant infrastructure within each data center, as well as with full failover capability between data centers, which allows us to serve our customers at virtually any time. Our infrastructure is fast, flexible and scalable to provide our customers with the best possible shopping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Data Protection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committed to the security of our customers’ data and personal information. We aggregate and analyze data in order to optimize the customer experience internally, and do not monetize the information we collect by selling it to third parties for money for their own external purposes. We utilize both on-premise and cloud-based technologies and undertake technical and other administrative measures to ensure the protection of our systems and customer data. We use various in-house and third-party tools to support our security policies and procedures including multi-factor authentication, user access controls, server monitoring, network firewalls, web application firewalls, security content policies, security training, and data encryption. We also use external certified security partners to test for vulnerabilities in our software and infrastructure, and assist in our security practices, which are designed to comply with the Payment Card Industry Data Security Standard. Finally, we have implemented processes and procedures to allow customers to review and delete their non-transactional account data and to opt out of the sharing or selling of their personal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women’s apparel, footwear, and accessories industry is large, fragmented, highly competitive and rapidly evolving. The industry consists of various brands and retailers that employ several different operating models at varying price points, and consumers have the option to shop both offline and online. Our competition includes traditional brands and retailers who market to consumers via offline and online channels. Our competition also includes e-commerce retailers that generally operate as online department stores for third-party and/or private label brands. Further, we may face new competitors and increased competition from existing competitors as we pursue increasing our brand awareness, growing our customer base, and channel and international expansion.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Competition in our industry is based on, among other things, quality, concept, price, breadth, and style of merchandise, as well as customer service, brand image, brand quality, strength of brand relationships, and ability to anticipate, identify, and respond to new and changing fashion trends. Because we are an early mover in our category, we believe we have a significant head start on becoming the go-to brand for Gen Z and Millennial consumers. As one of the first digitally-native brands, Lulus is well-positioned to capitalize on our deep digital footprint, social media infrastructure, loyal and active customer community, and product creation model. As a vertically integrated business, we retain full control of critical aspects of our business including brand, product, marketing, distribution, and customer service. Our long operating history means that we have collected a valuable dataset over the last decade while refining an efficient, scalable business model.</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920"/>
          </w:cols>
          <w:pgMar w:left="960" w:top="877" w:right="100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In 2025, consistent with most years, our net revenue was the highest during the second quarter due to the typically higher demand for event dresses in the spring and summer. Net revenue was the lowest during the fourth quarter given we are not a holiday gifting destination and event dress demand is typically lower during that time of year. The seasonality of our business has resulted in variability in our total net revenue quarter-to-quarter. We believe that this seasonality has affected and will continue to affect our results of operations. We recognized 23%, 29%, 26% and 22% of our annual net revenue during the first, second, third and fourth quarters of 2025,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2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trademarks, including LULUS® and </w:t>
      </w:r>
      <w:r>
        <w:rPr>
          <w:sz w:val="1"/>
          <w:szCs w:val="1"/>
          <w:color w:val="auto"/>
        </w:rPr>
        <w:drawing>
          <wp:inline distT="0" distB="0" distL="0" distR="0">
            <wp:extent cx="309245" cy="1123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9245" cy="112395"/>
                    </a:xfrm>
                    <a:prstGeom prst="rect">
                      <a:avLst/>
                    </a:prstGeom>
                    <a:noFill/>
                    <a:ln>
                      <a:noFill/>
                    </a:ln>
                  </pic:spPr>
                </pic:pic>
              </a:graphicData>
            </a:graphic>
          </wp:inline>
        </w:drawing>
      </w:r>
      <w:r>
        <w:rPr>
          <w:rFonts w:ascii="Times New Roman" w:cs="Times New Roman" w:eastAsia="Times New Roman" w:hAnsi="Times New Roman"/>
          <w:sz w:val="18"/>
          <w:szCs w:val="18"/>
          <w:color w:val="auto"/>
        </w:rPr>
        <w:t>®, are registered with the U.S. Patent and Trademark Office. We own additional registrations, including LULU’S®, LOVELULUS®, LOVE REWARDS®, and COVETED CURATED COLLECTED®. Each registration is renewable indefinitely, contingent upon continued use of the mark at the time of renewal. We own the domain name, and have a registered U.S. copyright for, www.lulus.com. We believe Lulus’ trademarks have significant value in the marketing of our merchandise. We also have registrations in Canada, the European Union (the “EU”), the United Kingdom, Australia, Mexico, China, and several other countries, as well as additional pending international applications. We vigorously protect our intellectual property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governing labor and employment, advertising and promotions, privacy, safety, customer protection, retailers and the promotion and sale of merchandise, and warehouse facilities. We monitor changes in these laws and believe that we are in material compliance with applicable laws.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subject to a number of domestic and foreign laws and regulations that affect companies conducting business on the internet, many of which are still evolving and could be interpreted in ways that could harm our business. These laws and regulations include federal and state consumer protection laws and regulations, which address, among other things, the privacy and security of consumer information, sending of commercial email, usage of SMS, push notifications, and other messaging, and unfair and deceptive trade practices. We maintain operational processes to address privacy and marketing requirements, including consent and preference management for email, SMS and targeted advertising, honoring applicable opt-out rights, and applying data minimization and protective techniques (such as pseudonymization, tokenization or encryption, as appropriate) to reduce risk while supporting business functions.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applicable federal and state laws and regulations addressing privacy and data security, we must provide notice to consumers of our policies with respect to the collection and use of personal information, our sharing of personal information with third parties, and notice of any changes to our data handling practices. In some instances, we may be obligated to give customers the right to prevent sharing or selling of their personal information with third parties. Under applicable federal and state laws, we also are required to adhere to a number of requirements when sending commercial email, SMS and other messages to consumers, including identifying advertising and promotional emails as such, ensuring that subject lines are not deceptive, giving consumers an opportunity to opt-out of further communications and clearly disclosing our name and physical address in each commercial email.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Regulation of privacy and data security matters is a rapidly evolving area, and a growing number of U.S. states have enacted, or are considering, comprehensive privacy laws that establish varying requirements and individual rights. For example, California enacted the California Consumer Privacy Act (“CCPA”) which has been significantly amended and expanded by the California Privacy Rights Act (“CPRA”) and which, among other things, requires certain disclosures to California consumers, and affords such consumers new abilities to opt out of certain sales and sharing of personal information, including with regard to targeted advertising activities.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under applicable federal and state unfair competition laws, including the California Consumer Legal Remedies Act and Federal Trade Commission (“FTC”) regulations, we must, and our network of influencers may be required to, accurately identify product offerings, not make misleading claims on our websites or in advertising, and use qualifying disclosures where and when appropriate. The growth and demand for e-commerce could result in more stringent domestic and foreign consumer protection laws that impose additional compliance burdens on companies that transact substantial business on the internet. For additional information on our cybersecurity risk management, governance and controls, see Item 1C. </w:t>
      </w:r>
      <w:r>
        <w:rPr>
          <w:rFonts w:ascii="Times New Roman" w:cs="Times New Roman" w:eastAsia="Times New Roman" w:hAnsi="Times New Roman"/>
          <w:sz w:val="18"/>
          <w:szCs w:val="18"/>
          <w:i w:val="1"/>
          <w:iCs w:val="1"/>
          <w:color w:val="auto"/>
        </w:rPr>
        <w:t>&amp;\EHUVHFXULW\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international business is subject to additional laws and regulations, including environmental laws and restrictions on imports from, exports to, and services provided to persons located in certain countries and territories, as well as foreign laws and regulations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920"/>
          </w:cols>
          <w:pgMar w:left="960" w:top="873" w:right="1000" w:bottom="0" w:gutter="0" w:footer="0" w:header="0"/>
          <w:type w:val="continuous"/>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8"/>
          <w:szCs w:val="18"/>
          <w:color w:val="auto"/>
        </w:rPr>
        <w:t>addressing topics such as advertising and marketing practices, customs duties and taxes, privacy, data protection, information security and consumer rights, any of which might apply by virtue of our sales in foreign countries and territories or our contacts with consumers in such foreign countries and territories. For example, the U.S. and China, where certain of our products are manufactured, have recently engaged in an escalating trade war, which has led to each side imposing tariffs that could adversely affect our business, financial condition and results of operations or cause us to relocate manufacturing to other countries and territories, which could disrupt our operations. The U.S. has imposed or threatened to impose tariffs on other countries as well, which could result in the adoption of retaliatory tariffs by those countries, including Canada and Mexico. In addition, the General Data Protection Regulation (“GDPR”), the UK General Data Protection Regulation (“UK GDPR”), the UK Data Protection Act 2018, and the Swiss Data Protection Act (“FADP”) impose stringent requirements regarding the collection, handling, use and transfer of personal data of individuals located in the European Economic Area (“EEA”) and provide for substantial penalties for noncompliance. These regulations impact the use of cookies, tracking technologies and other e-marketing efforts, and there have been significant recent European court and regulatory decisions in this area, including through privacy activists. More generally, many foreign jurisdictions have laws, regulations, or other requirements relating to privacy, data protection, and consumer protection, and countries and territories are adopting new legislation or other obligations with increasing frequency. Many of these laws may require disclosure to and consent from consumers for the use of data for various purposes, including marketing, which may reduce our ability to market our products. In addition, in June 2023, the EU's new Regulation (EU) 2023/1115 restricting sale in the EU of products that may cause deforestation or the degradation of forests entered into force. Initially, the regulation was set to apply from December 30, 2024, for large and medium-sized companies, and from June 30, 2025, for small and micro-sized enterprises. However, in response to concerns from global producers and internal EU stakeholders regarding preparedness and potential trade impacts, the European Union agreed to delay the implementation. The current compliance dates are December 30, 2026, for large and medium-sized companies, and June 30, 2027, for small and micro-sized enterprises. The regulation requires that certain commodities such as cattle, cocoa, coffee, oil palm, soya, wood, and rubber, and certain products derived therefrom, that are placed on the EU market, or exported from the EU market, no longer contribute to deforestation or forest degradation or do not originate from recently deforested land. The EU regulation contains requirements including due diligence and traceability obligations necessitating the linking of certain commodities and certain derived products to their place of production. We do not know of any existing environmental law, regulation nor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many jurisdictions, there is great uncertainty whether or how existing laws governing issues such as property ownership, sales and other taxes, libel and personal privacy apply to the internet and e-commerce. New legislation or regulation, the application of laws and regulations from jurisdictions whose laws do not currently apply to our business or the application of existing laws and regulations to the internet and e-commerce could result in significant additional obligations on our business or may necessitate changes to our business practices. These obligations or required changes could have an adverse effect on our cash flows and results of operations. Further, any actual or alleged failure to comply with any of these laws or regulations by us, our suppliers or our network of influencers could hurt our reputation, brand and business, force us to incur significant expenses in defending against proceedings or investigations, distract our management, increase our costs of doing business, result in a loss of customers and suppliers and may result in the imposition of monetary penalties. See “Risk Factors—Risks Related to Regulation, Taxation and Litigation — Unfavorable changes or failure by us to comply with evolving internet and e-commerce regulations could substantially harm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Lulus, we believe in being responsible business stewards and strive to understand the impact that our business has on our employees, customers, and the planet. We will look for opportunities to play a constructive role in addressing the ESG challenges of the fashion industry while working towards creating long-term value for our Company and our stakeholders.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Governance. Lulus’ ESG efforts are overseen by our Board of Directors through our Nominating and Corporate Governance Committee. Our General Counsel works with internal stakeholders, as well as with outside specialists, to set and implement our ESG strategy. Our ESG strategy and initiatives are discussed regularly at the Board of Directors level.</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Approach. In 2022, we engaged a third-party ESG consultant to conduct a materiality assessment. Working with internal and external stakeholders, this process helped us to identify the priority material topics that our stakeholders care about. These priority material topics inform our efforts around ESG matters. We have also worked with a third-party greenhouse gas (“GHG”) consulting firm to assess our annual Scope 1 and 2 GHG emissions for each year since 2021. Gathering this data will enable us to set a baseline for our GHG Scope 1 and 2 emissions and is relevant for potential consideration in future plan(s). As the nature of product sourcing is a priority topic of interest to our stakeholders, we have established a Vendor and Supplier Code of Conduct which sets forth our expectations for working conditions in all factories producing Lulus products. Our Vendor and Supplier Code of Conduct can be accessed on our investor relations website, which is located at https://investors.lulus.com. We also provide training to our vendors and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920"/>
          </w:cols>
          <w:pgMar w:left="960" w:top="877" w:right="1000" w:bottom="0" w:gutter="0" w:footer="0" w:header="0"/>
          <w:type w:val="continuous"/>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employees on responsible sourcing and production practices. In 2022, we engaged an outside supply chain risk management and audit company to evaluate our supply chain risks and develop an oversight and auditing program, under which we started conducting third-party audits in 2023. Lulus’ vendors and suppliers are subject to audit, at Lulus’ request, and are required to comply with all Lulus or third-party requests on behalf of Lulus to inspect or audit their facilities and records.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Permanent Chief Financial Officer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3, 2026, the Company appointed Heidi Crane as its permanent Chief Financial Officer (“CFO”), effective February 4, 2026 (“Effective Date”). Ms. Crane, had served as the Company’s fractional CFO since October 2025. Upon the Effective Date, Ms. Crane transitioned to a full-time employee of the Company, as well as its principal financial officer and principal accounting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Employees and Demographics. </w:t>
      </w:r>
      <w:r>
        <w:rPr>
          <w:rFonts w:ascii="Times New Roman" w:cs="Times New Roman" w:eastAsia="Times New Roman" w:hAnsi="Times New Roman"/>
          <w:sz w:val="18"/>
          <w:szCs w:val="18"/>
          <w:color w:val="auto"/>
        </w:rPr>
        <w:t>Our employees, also known as the “LuCrew” are integral to our success, and we strive to prioritize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employees’ development, growth, and wellbeing. As of December 28, 2025, we had 523 full-time and 6 part-time employees. We use contingent labor in varying levels throughout the year to augment our workforce. None of our employees are represented by a labor union, and we have had no labor-related work stoppages. We believe that we have good relationships with our employees.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Culture and Values. </w:t>
      </w:r>
      <w:r>
        <w:rPr>
          <w:rFonts w:ascii="Times New Roman" w:cs="Times New Roman" w:eastAsia="Times New Roman" w:hAnsi="Times New Roman"/>
          <w:sz w:val="18"/>
          <w:szCs w:val="18"/>
          <w:color w:val="auto"/>
        </w:rPr>
        <w:t>We are proud of our strong culture, which is embodied by our workforce. Our culture is defined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core values: “All Voices, All In, Always Evolving.”</w:t>
      </w:r>
    </w:p>
    <w:p>
      <w:pPr>
        <w:spacing w:after="0" w:line="159" w:lineRule="exact"/>
        <w:rPr>
          <w:sz w:val="20"/>
          <w:szCs w:val="20"/>
          <w:color w:val="auto"/>
        </w:rPr>
      </w:pPr>
    </w:p>
    <w:p>
      <w:pPr>
        <w:jc w:val="both"/>
        <w:ind w:left="340" w:hanging="330"/>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Voices”: Quality starts with people, including the people we serve, our customers. We listen closely to our customers, whose feedback shapes what we offer and how we show up. We also create space for every voice to be heard, ensuring all team members feel safe, seen, and valued. We raise the bar by sharing ideas, speaking up, actively listening, and working together because great work comes from collaboration, care, and connection.</w:t>
      </w:r>
    </w:p>
    <w:p>
      <w:pPr>
        <w:spacing w:after="0" w:line="179" w:lineRule="exact"/>
        <w:rPr>
          <w:rFonts w:ascii="Times New Roman" w:cs="Times New Roman" w:eastAsia="Times New Roman" w:hAnsi="Times New Roman"/>
          <w:sz w:val="18"/>
          <w:szCs w:val="18"/>
          <w:color w:val="auto"/>
        </w:rPr>
      </w:pPr>
    </w:p>
    <w:p>
      <w:pPr>
        <w:jc w:val="both"/>
        <w:ind w:left="340" w:hanging="330"/>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 We take full ownership of our work, from big wins to the smallest details, because quality is everyone’s responsibility. We anticipate needs, care deeply about our customers and co-workers, and strive for excellence in everything we do. No task is too small, and no one is above rolling up their sleeves to get it right. We commit and are accountable to deliver our best to our customers and each other with pride, purpose, and accountability.</w:t>
      </w:r>
    </w:p>
    <w:p>
      <w:pPr>
        <w:spacing w:after="0" w:line="179" w:lineRule="exact"/>
        <w:rPr>
          <w:rFonts w:ascii="Times New Roman" w:cs="Times New Roman" w:eastAsia="Times New Roman" w:hAnsi="Times New Roman"/>
          <w:sz w:val="18"/>
          <w:szCs w:val="18"/>
          <w:color w:val="auto"/>
        </w:rPr>
      </w:pPr>
    </w:p>
    <w:p>
      <w:pPr>
        <w:jc w:val="both"/>
        <w:ind w:left="340" w:hanging="330"/>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“Always Evolving”: Excellence requires evolution. We stay curious, seek feedback, and commit to getting better every day. From refining how we serve customers to improving product flow and internal processes, we pursue quality with intention and adaptability. Growth means knowing there’s always room to improve and that our journey forward is one we take together. Executing with quality isn’t a pass, fail, or a checkmark; it’s a continuous improvement cycle that keeps the Lulus experience feeling fresh, elevated, and uniquely ours.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embody these core values in our connections with our customers as well as our employees. Our core values form an integral part of our employee experience and expectations. Employees are introduced to these core values during orientation, and they are a component of employees’ performance evaluation. We also honor “Core Values Champions” in our monthly company newsletter and in our “All Voices” company meetings.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All Voices. </w:t>
      </w:r>
      <w:r>
        <w:rPr>
          <w:rFonts w:ascii="Times New Roman" w:cs="Times New Roman" w:eastAsia="Times New Roman" w:hAnsi="Times New Roman"/>
          <w:sz w:val="18"/>
          <w:szCs w:val="18"/>
          <w:color w:val="auto"/>
        </w:rPr>
        <w:t>Our core value of “All Voices” recognizes the importance of respecting each other’s backgrounds and self-expression,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ensuring that both internally and in our public materials we reflect the customer base that we serve. We are dedicated to fostering a culture of belonging, where every team member can show up as their authentic self and thrive. During 2025, we continued to dedicate internal resources to talent, culture and learning to help further the evolution of our All Voices core value as we continue to drive momentum in genuine ways. We held meaningful learning sessions, events sponsored by our multiple Employee Resource Groups (“ERGs”), and shared resources in our monthly employee newsletter. The ERGs create opportunities for employees to share their perspectives, connect with each other on a deeper level, and are intended to promote a culture that is open, inclusive and respectful. These groups have also contributed to greater understanding Companywide of different perspectives, with meetings, celebrations, and learning experiences open to the entire Company. Our ERGs continue to play a vital role in helping Lulus identify nonprofits to support. In 2025, we partnered with Gyrl Wonder and Altadena Girls Project, contributing monetarily and actively participating in their initiatives. Additionally, we provided clothing donations to various organizations, and our ERGs organized and participated in meaningful volunteer events within our communities.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920"/>
          </w:cols>
          <w:pgMar w:left="960" w:top="877" w:right="1000" w:bottom="0" w:gutter="0" w:footer="0" w:header="0"/>
          <w:type w:val="continuous"/>
        </w:sectPr>
      </w:pPr>
    </w:p>
    <w:bookmarkStart w:id="15" w:name="page16"/>
    <w:bookmarkEnd w:id="15"/>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Leadership and Development. </w:t>
      </w:r>
      <w:r>
        <w:rPr>
          <w:rFonts w:ascii="Times New Roman" w:cs="Times New Roman" w:eastAsia="Times New Roman" w:hAnsi="Times New Roman"/>
          <w:sz w:val="18"/>
          <w:szCs w:val="18"/>
          <w:color w:val="auto"/>
        </w:rPr>
        <w:t>Central to our “Always Evolving” core value is a dedication to developing our LuCrew members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them with skills and development opportunities. We have internal resources dedicated to employee learning and development. We continue to offer targeted leadership fundamentals training for our new and emerging leaders, a mentorship program as well as other opportunities for cross-functional knowledge sharing and collaboration.</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Our compensation and benefits are designed to enable us to attract, motivate, and retain qualified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talent. We regularly evaluate wages and salary bands to be competitive with the market. We also offer competitive employee benefits including life and health insurance (medical, dental, and vision), paid time off, paid sick leave, Company holiday pay, paid parental leave, an Employee Stock Purchase Program and a 401(k) plan. We recognize milestone anniversaries both in our newsletter and with individual gifts.</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Health and Safety. </w:t>
      </w:r>
      <w:r>
        <w:rPr>
          <w:rFonts w:ascii="Times New Roman" w:cs="Times New Roman" w:eastAsia="Times New Roman" w:hAnsi="Times New Roman"/>
          <w:sz w:val="18"/>
          <w:szCs w:val="18"/>
          <w:color w:val="auto"/>
        </w:rPr>
        <w:t>The health and safety of our employees is core to our Lulus values. Each of our Distribution Centers has a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and safety captains dedicated to maintaining a safe workplace. We continue to take proactive and precautionary steps to protect the health and safety of our employees. In addition, we provide several channels for employees to make suggestions or report concerns related to health and safety. In support of our employees’ mental health, we have an Employee Assistance Program that provides all employees up to three visits per year with a licensed professional counselor.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Our investor relations website is </w:t>
      </w:r>
      <w:r>
        <w:rPr>
          <w:rFonts w:ascii="PMingLiU" w:cs="PMingLiU" w:eastAsia="PMingLiU" w:hAnsi="PMingLiU"/>
          <w:sz w:val="18"/>
          <w:szCs w:val="18"/>
          <w:i w:val="1"/>
          <w:iCs w:val="1"/>
          <w:color w:val="auto"/>
        </w:rPr>
        <w:t>LQYHVWRUVOXOXVFRP</w:t>
      </w:r>
      <w:r>
        <w:rPr>
          <w:rFonts w:ascii="Times New Roman" w:cs="Times New Roman" w:eastAsia="Times New Roman" w:hAnsi="Times New Roman"/>
          <w:sz w:val="18"/>
          <w:szCs w:val="18"/>
          <w:color w:val="auto"/>
        </w:rPr>
        <w:t xml:space="preserve">. In addition to the information about us contained in this Annual Report on Form 10-K, information about us can be found on our website. Our website and information included in or linked to our website are not part of this Annual Report on Form 10-K. 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 Additionally the SEC maintains an internet site that contains reports, proxy and information statements and other information. The address of the SEC’s website is </w:t>
      </w:r>
      <w:r>
        <w:rPr>
          <w:rFonts w:ascii="PMingLiU" w:cs="PMingLiU" w:eastAsia="PMingLiU" w:hAnsi="PMingLiU"/>
          <w:sz w:val="18"/>
          <w:szCs w:val="18"/>
          <w:i w:val="1"/>
          <w:iCs w:val="1"/>
          <w:color w:val="auto"/>
        </w:rPr>
        <w:t>ZZZVHFJRY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383" w:lineRule="exact"/>
        <w:rPr>
          <w:sz w:val="20"/>
          <w:szCs w:val="20"/>
          <w:color w:val="auto"/>
        </w:rPr>
      </w:pPr>
      <w:r>
        <w:rPr>
          <w:rFonts w:ascii="PMingLiU" w:cs="PMingLiU" w:eastAsia="PMingLiU" w:hAnsi="PMingLiU"/>
          <w:sz w:val="6"/>
          <w:szCs w:val="6"/>
          <w:i w:val="1"/>
          <w:iCs w:val="1"/>
          <w:color w:val="auto"/>
        </w:rPr>
        <w:t>2XU RSHUDWLRQV DQG ILQDQFLDO UHVXOWV DUH VXEMHFW WR YDULRXV ULVNV DQG XQFHUWDLQWLHV LQFOXGLQJ WKHVH GHVFULEHG EHORZ &lt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³)RUZDUG/RRNLQJ6WDWHPHQWV´</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a strong community around the Lulus brand with engaged customers and influencers. We may not be able to maintain and enhance our existing brand community if we receive customer complaints, negative publicity or otherwise fail to live up to consumers’ expectations, which could materially adversely affect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maintaining our brand image, particularly with our core target customers, is important to maintaining and expanding our customer base and sales. Maintaining and enhancing our brand image may require us to make additional investments in areas such as merchandising, marketing, online operations, online displays and other promotions, and employee training. These investments may be substantial and may not ultimately be successful. If we are unable to maintain or enhance our brand image, brand awareness, and reputation, our business, financial condition, and results of operations may be materially and adversely affected.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identify new styles and maintain and enhance our existing brand is critical to retaining and expanding our base of customers. A significant portion of our customers’ experience depends on third parties outside of our control, including suppliers and logistics providers such as UPS and the U.S. Postal Service. If these third parties do not meet our or our customers’ expectations or if they increase their rates, our business may suffer irreparable damage or our costs may increase. In addition, maintaining and enhancing relationships with third-party brands may require us to make substantial investments, and these investments may not be successful. Also, if we fail to promote and maintain our brand, or if we incur excessive expenses in this effort, our business, financial condition, and</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920"/>
          </w:cols>
          <w:pgMar w:left="960" w:top="873" w:right="1000" w:bottom="0" w:gutter="0" w:footer="0" w:header="0"/>
          <w:type w:val="continuous"/>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may be materially adversely affected. We anticipate that, as our market becomes increasingly competitive, maintaining, and enhancing our brand may become increasingly difficult and expensive.</w:t>
      </w:r>
    </w:p>
    <w:p>
      <w:pPr>
        <w:spacing w:after="0" w:line="16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Customer complaints or negative publicity about our website or mobile app, products, merchandise quality, product delivery times, customer data handling and security practices or customer support, especially on social media, blogs, and in reviews, could rapidly and severely diminish consumer use of our website or mobile app and customer and supplier confidence in us, and result in harm to our brand. We believe that much of the growth in our customer base to date has originated from word-of-mouth, including social media and our influencer-driven marketing strategy. If we are not able to develop and maintain positive relationships with our network of influencers or our online customer community, our ability to promote and maintain or enhance awareness of Lulus and leverage social media platforms to drive visits to </w:t>
      </w:r>
      <w:r>
        <w:rPr>
          <w:rFonts w:ascii="PMingLiU" w:cs="PMingLiU" w:eastAsia="PMingLiU" w:hAnsi="PMingLiU"/>
          <w:sz w:val="18"/>
          <w:szCs w:val="18"/>
          <w:i w:val="1"/>
          <w:iCs w:val="1"/>
          <w:color w:val="auto"/>
        </w:rPr>
        <w:t>ZZZOXOXVFRP</w:t>
      </w:r>
      <w:r>
        <w:rPr>
          <w:rFonts w:ascii="Times New Roman" w:cs="Times New Roman" w:eastAsia="Times New Roman" w:hAnsi="Times New Roman"/>
          <w:sz w:val="18"/>
          <w:szCs w:val="18"/>
          <w:color w:val="auto"/>
        </w:rPr>
        <w:t xml:space="preserve"> or our mobile app may be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acquire or retain customers may not be successful, which could prevent us from maintaining or increasing our sales.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acquire customers in a cost-effective manner. Customer expectations and the associated competitive pressures have increased, and in order to expand our customer base, we must appeal to and acquire customers who have historically used other means of commerce in shopping for apparel and may prefer alternatives to our offerings, such as traditional brick-and-mortar retailers and the websites and mobile apps of our competitors. We have made significant investments related to customer acquisition and expect to continue to spend significant amounts to acquire additional customers. For example, we engage in social media marketing campaigns and maintain relationships with thousands of social media and celebrity influencers. Such campaigns can be expensive and may not result in cost-effective acquisition of customers. We also continue to invest in AI and generative AI technologies to enhance our customers’ shopping experience. We cannot assure that the benefit of acquiring new customers will exceed the cost. If we fail to deliver a quality shopping experience, or if consumers do not perceive the products we offer to be of high value and quality, we may not be able to acquire new customers. If we are unable to acquire or retain customers who purchase products in numbers sufficient to grow our business, we may not be able to generate the scale necessary to drive beneficial network effects with our suppliers, our net revenue may decrease, and our business, financial condition, and results of operations may be materially adversely affected.</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seek to engage with our customers and build awareness of our brands through sponsoring unique events and experiences, such as in-person influencer events or pop-ups, which are experiences we create for our customers and influencers. We anticipate that our marketing initiatives may become increasingly expensive as competition increases and generating a meaningful return on those initiatives may be difficult. If our marketing efforts are not successful in promoting awareness of our brands and products, driving customer engagement or attracting new customers, or if we are not able to effectively manage our marketing expenses, our business, financial condition, and results of operations will be adversely affected.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obtain a significant amount of traffic via social networking platforms or other third-party online channels used by our current and prospective customers. As e-commerce and social networking platforms continue to rapidly evolve, we must continue to maintain and establish relationships with these channels and may be unable to develop or maintain these relationships on acceptable terms. These third-party platforms may unilaterally and with little or no notice change, among other things, their algorithms, policies, fee structures, content moderation rules, data access, and programs in ways that could, among other things, increase our customer acquisition costs, or otherwise diminish the effectiveness and economics of our efforts. Our participation on these platforms also exposes us to certain operational and reputational risks. We have in the past, and may again in the future, encounter counterfeit or unauthorized sellers offering similar or infringing products at lower prices, which could impact, among other things, our pricing and brand equity.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platforms are now using some form of AI shopping features, some using generative and agentic AI, to recommend or complete shopping journeys, and we may not support or be discovered by all of these new uses. We also acquire and retain customers through paid search/product listing ads, paid social, retargeting, affiliate marketing, personalized email, direct mail marketing and in-person experiences. The recent introduction of AI and large language models (LLMs) within search and other marketing channels may change consumer search behavior and our ability to cost effectively acquire and retain customers. For example, in March 2025, Google introduced an experimental AI mode within its search platform and other platforms have or may in the future launch similar functionality. If we are unable to adapt to this and similar changes, our net sales growth and profitability may be adversely affected. If we are unable to cost-effectively drive traffic to our website or mobile app, our ability to acquire new customers and our financial condition would suffer.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 high level of engagement with our customers and increase their spending with us, which could harm our business, financial condition, cash flows, or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high proportion of our net revenue comes from repeat purchases by existing customers, especially those existing customers who are highly engaged and purchase a significant amount of merchandise from us. If existing customers no longer find our merchandise</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920"/>
          </w:cols>
          <w:pgMar w:left="960" w:top="877" w:right="1000" w:bottom="0" w:gutter="0" w:footer="0" w:header="0"/>
          <w:type w:val="continuous"/>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appealing, they may make fewer purchases and may stop shopping with us. Even if our existing customers find our merchandise appealing, if customer buying preferences change, they may decide to purchase less merchandise over time. Additionally, if customers who purchase a significant amount of merchandise from us were to make fewer purchases or stop shopping with us, then our sales may decline. We experienced a decrease in the number of Active Customers in fiscal 2025 as compared to fiscal 2024. A continued decrease in the number of our Active Customers or a decrease in their spending on the merchandise we offer could negatively impact our business, financial condition, cash flows, and results of operations. Further, we believe that our future success will depend in part on our ability to increase sales to our existing customers over time and, if we are unable to do so, our business may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identify, measure, and respond quickly to new and rapidly changing fashion trends, customer preferences and demands and other factors.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core market of apparel, footwear, and accessories for women is subject to new and rapidly changing fashion trends, constantly evolving consumer preferences and demands, and a modest brand loyalty. Accordingly, our success is dependent on our ability to anticipate, identify, measure and respond to the latest fashion trends and customer demands, and to translate such trends and demands into appropriate, desirable product offerings in a timely manner. A select team of our employees is primarily responsible for performing this analysis and making initial product decisions, and they rely on feedback on fashion trends from a variety of sources, which may not accurately predict evolving fashion trends. Our failure to anticipate, identify or react swiftly and appropriately to new and changing styles, trends or desired customer preferences or to accurately anticipate and forecast demand for certain product offerings is likely to lead to lower demand for our merchandise, which could cause, among other things, sales declines, excess inventories, a greater number of markdowns and lower margins.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if we are not able to anticipate, identify and respond to changing fashion trends and customer preferences, we may lose customers and market share to our competitors who are able to better anticipate, identify and respond to such trends and preferences. In addition, because our success depends on our brand image, our business could be materially adversely affected if new product offerings are not accepted by our customers. We cannot assure investors that our new product offerings will be met with the same level of acceptance as our past product offerings or that we will be able to adequately respond to fashion trends or the preferences of our customers in a timely manner or at all. If we do not accurately anticipate, identify, forecast, or analyze fashion trends and sales levels, it could have a material adverse effect on our business, financial condition, cash flows,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platform, which could negatively affect our business, financial condition, cash flows,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attract customers cost effectively. With respect to our marketing channels, we rely heavily on relationships with providers of online services, search engines, social media, directories, and other websites and e-commerce businesses to provide content, advertising banners, and other links that direct customers to our websites and retail store. We rely on these relationships to provide significant traffic to our website. In particular, we rely primarily on digital platforms, such as Google and Meta, as important marketing channels. Digital channels change their algorithms periodically, and our rankings in organic searches and visibility in social media feeds may be adversely affected by those changes, as has occurred from time to time, requiring us to increase our spending on paid marketing to offset the loss in traffic. Search engine companies may also determine that we are not in compliance with their guidelines and consequently penalize us in their algorithms as a result. Even with an increase in marketing spend to offset any loss in search engine optimization traffic as a result of algorithm changes, the recovery period in organic traffic may span multiple quarters or years. If digital platforms change or penalize us with their algorithms, terms of service, display and featuring of search results, or if competition increases for advertisements, we may be unable to cost-effectively attract customers.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third-party AI tools and platforms are rapidly evolving and may change traffic patterns, search visibility, or shopping behavior in ways that we cannot predict or fully support. In recent years, a shift in customer search behavior has started, with an increasing number of individuals transitioning from traditional search engines like Google to AI platform answer engines such as ChatGPT and Copilot for certain types of queries. This transition stems from the way AI tools can effectively address certain questions that users once turned to search engines to answer. This evolution in how people are seeking information, even if often complementing, rather than replacing, the kinds of customer searches we typically focus on, could have a material adverse effect on our business.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relationships with digital platforms are not covered by long-term contractual agreements and do not require any specific performance commitments. These third-party platforms may unilaterally and with little or no notice change, among other things, their algorithms, policies, fee structures, content moderation rules, data access, the types of information we can use for targeted advertising, and programs in ways that could, among other things, increase our customer acquisition costs, or otherwise diminish the effectiveness and economics of our efforts. In addition, many of the platforms and agencies with whom we have advertising arrangements provide advertising services to other companies, including retailers with whom we compete. As competition for online</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920"/>
          </w:cols>
          <w:pgMar w:left="960" w:top="877" w:right="1000" w:bottom="0" w:gutter="0" w:footer="0" w:header="0"/>
          <w:type w:val="continuous"/>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has increased, the cost for some of these services has also increased. A significant increase in the cost of the marketing providers upon which we rely could adversely impact our ability to attract customers cost effectively and harm our business, financial condition, results of operations, and prospects.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Also, our ability to connect with customers remains highly reliant on key digital platforms. For example, we have cultivated a significant presence on TikTok, particularly among Gen Z customers, making any potential restriction or ban of this platform a considerable risk to maintaining that connection, engaging with customers and promoting our brand. Government actions, regulatory changes, or disruptions targeting specific platforms or their parent companies, such as TikTok, including potential bans, limitations on app store availability, forced divestitures, or heightened data-privacy and content-moderation requirements, could impair or eliminate our access to certain platforms, reduce user engagement, affect our ability to reach new customers or necessitate costly changes to our operations and technology. Increased scrutiny of endorsements and influencer advertising, data collection and cross-border data transfers, and AI–driven recommendations may also lead to new compliance obligations, enforcement actions, fines, or litigation, including class actions and claims under consumer protection, privacy, advertising, or intellectual property laws. If we or our influencers fail to comply with applicable platform terms or legal requirements, we could face account suspensions, content removals, monetization limits, or termination.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key operating metrics are subject to inherent challenges in measurement and real or perceived inaccuracies in such metrics may harm our reputation and negatively affect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track certain key operating metrics using internal data analytics tools, which have certain limitations. In addition, we rely on data received from third parties, including third-party platforms, to track certain performance indicators. We also aggregate and collate the data for analysis and reporting which is subject to error or unintended mistakes. Data from both such sources may include information subject to errors or unintended mistakes relating to fraudulent accounts and interactions with our sites or the social media accounts of our influencers (including as a result of the use of bots or other automated or manual mechanisms to generate false impressions that are delivered through our sites or their accounts). We have only limited abilities to verify data from our sites or third parties and perpetrators of fraudulent impressions may change their tactics and may become more sophisticated, which would make it still more difficult to detect such activity.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methodologies for tracking metrics may also change over time, which could result in changes to the metrics we report. If we undercount or overcount performance due to the internal data analytics tools we use, issues with the data received from third parties, errors or unintended mistakes, or if our internal data analytics tools contain algorithmic or other technical errors, the data we report may not be accurate or comparable with prior periods.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limitations, changes or errors with respect to how we measure data may affect our understanding of certain details of our business, which could affect our longer-term strategies. If our performance metrics are not accurate representations of the reach or monetization of our brand, if we discover material inaccuracies in our metrics or the data on which such metrics are based, or if we can no longer calculate any of our key performance metrics with a sufficient degree of accuracy and cannot find an adequate replacement for the metric, our business, financial condition and operating results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influencers, affiliate marketing, email, SMS, podcast advertisements, promotional partnerships and direct mail may adversely impact our brand and reputation or subject us to fines or other penalties.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social media including Facebook, Instagram, Pinterest, Snapchat, TikTok, X, Threads, and YouTube, as well as affiliate marketing, email, SMS, podcast advertisements, promotional partnerships and direct mail as part of our multi-channel approach to marketing, and we encourage our customers to use social media while shopping. We utilize various marketing-related contests and giveaways that are subject to applicable laws. We also maintain relationships with thousands of social media influencers, who serve as our brand ambassadors, and engage in sponsorship initiatives. Laws and regulations governing the use of these platforms and other digital marketing channels are rapidly evolving. It may become more difficult for us or our partners to comply with such laws, and future data privacy laws and regulations or industry standards may restrict or limit our ability to use some or all of the marketing strategies on which we currently rely. The failure by us, our employees or third parties acting at our direction to abide by applicable laws and regulations in the use of these platforms could adversely impact our reputation or subject us to fines or other penalties. In addition, our employees or third parties acting at our direction, including our large network of social media brand ambassadors, may knowingly or inadvertently make use of social media in ways that could lead to the loss or infringement of intellectual property, as well as the public disclosure of proprietary, confidential or sensitive personal information of our business, employees, customers, or others. Any such inappropriate use of social media tools could also cause business interruptions and reputational damage.</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920"/>
          </w:cols>
          <w:pgMar w:left="960" w:top="877" w:right="1000" w:bottom="0" w:gutter="0" w:footer="0" w:header="0"/>
          <w:type w:val="continuous"/>
        </w:sectPr>
      </w:pPr>
    </w:p>
    <w:bookmarkStart w:id="19" w:name="page20"/>
    <w:bookmarkEnd w:id="1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Customers value readily available information concerning retailers and their goods and services and often act on such information without further investigation and without regard to its accuracy.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financial condition, and results of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For example, in some cases, the FTC has sought enforcement action where an endorsement has failed to clearly and conspicuously disclose a financial relationship between an influencer and an advertiser.</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Negative commentary regarding us, our products, or influencers and other third parties who are affiliated with us may also be posted on social media platforms and may have an adverse impact to our reputation or business. Influencers with whom we maintain relationships could engage in behavior or use their platforms to communicate directly with our customers in a manner that reflects poorly on our brand and may be attributed to us or otherwise adversely affect us. It is not possible to prevent such behavior, and the precautions we take to detect this activity may not be effective in all cases. Our target customers often value readily available information and often act on such information without further investigation and without regard to its accuracy. The harm may be immediate, without affording us an opportunity for redress or correction.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connecting with our target customer base through effective marketing channels,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utilize a diverse array of marketing channels to engage our audience and drive traffic to our platform. These channels include organic content creation, affiliate marketing, email campaigns, SMS outreach, direct mail, paid search, social media marketing, and integrated brand campaigns designed to build awareness and deepen customer engagement. We also maintain promotional and strategic partnerships to extend our reach across multiple consumer touchpoints, including digital, out-of-home, and connected media formats.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multi-channel approach is intended to reduce reliance on any single marketing channel and provide flexibility in an evolving media landscape. However, despite these efforts, our ability to effectively reach and engage customers remains significantly dependent on key digital platforms and third-party marketing channels. Changes in platform algorithms, advertising policies, pricing structures, audience behavior, or platform performance could reduce the effectiveness of our marketing efforts and increase customer acquisition costs.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digital platforms we rely on are dependent on third-party mobile operating systems and infrastructure, including iOS and Android, which we do not control. Changes to operating system policies, privacy frameworks, data-sharing practices, or attribution capabilities could limit our ability to target, measure, and optimize marketing campaigns, potentially impacting traffic, conversion rates, and overall marketing efficiency.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marketing effectiveness may also be affected by increased competition for consumer attention, rising media costs, reduced effectiveness of paid channels, or shifts in consumer preferences that diminish engagement with existing formats or platforms. If we are unable to adapt our marketing strategies, messaging, or channel mix in response to these changes, our ability to acquire new customers, retain existing customers, and support our growth objectives could be adversely affected.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accurately forecast income and appropriately plan our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base our current and future expense levels on our operating forecasts and estimates of future income. Income and results of operations are difficult to forecast because they generally depend on the volume, timing and value of the orders we receive, and return rates, all of which are uncertain. In addition, we cannot be certain that the same growth rates, trends and other key performance metrics are meaningful predictors of future growth. Additionally, our business is affected by general economic and business conditions around the world, competition, shifting trends and changes in consumer preferences. The rapid changes and uncertainty in global trade practices, including tariff rates, make it difficult to predict sales, inventory levels and gross margin could result in significant fluctuations in our net sales, margins and profitability from period-to-period.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investments are based on future estimates of net revenue, and we may be unable to adjust our spending in a timely manner to compensate for any unexpected deviation from our sales forecast. This inability could cause our net income/(loss) after tax in a given quarter to be higher or lower than expected. We also make certain assumptions when forecasting the amount of expense we expect related to our future share based payments, which includes the expected volatility of our share price and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920"/>
          </w:cols>
          <w:pgMar w:left="960" w:top="877" w:right="1000" w:bottom="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life of share awards granted. These assumptions are partly based on historical results. If actual results differ from our estimates, our net income in a given quarter may be lower than expected or our net loss in a given quarter may be higher than expected.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accurately forecast and plan expenses could be adversely impacted by a number of third-party factors outside of our control, including, but not limited to, supply chain- and transportation-related costs. Although we are able to update our forecasts and estimates based on current data and modify the pricing of our products accordingly, there is often a lag before such modified pricing is reflected in our operating results, and there is a limit to how much of any third-party cost increase we can pass onto our customers. Any such limits may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high-quality customer support or have significant changes to policies and/or services, third party or otherwise, it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ongoing customer support is important to the successful marketing and sale of our merchandise. Providing this support requires that our customer support personnel have fashion, retail, technical, and other knowledge and expertise, making it difficult for us to hire qualified personnel and scale our support operations. The demand on our customer support organization will increase as we expand our business and pursue new customers, and such increased support could require us to devote significant development services and support personnel, which could strain our team and infrastructure and reduce our profit margins. If we are unable to hire and retain customer support personnel capable of consistently providing customer support at a high level, as demonstrated by their enthusiasm for our culture, understanding of our customers, and knowledge of the merchandise that we offer, our ability to expand our business may be impaired. Further, if we do not help our customers quickly resolve issues and provide effective ongoing customer support, our ability to sell additional merchandise to existing and future customers could suffer and our reputation would be harmed. If we modify our customer service policies or services, this may result in customer dissatisfaction and our ability to expand our business may be impaired. Our customer experience also depends on the availability and performance of third-party platforms and technologies we use to support customers. Any outages, disruptions, or performance issues affecting these systems could negatively impact our ability to support customers in a timely and effective manner. If we incorporate AI and automation into our customer support tools, we may be exposed to risks related to system accuracy, reliability, data handling, or evolving regulatory expectations, which could adversely affect the customer experience and our business.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regulation, including increases in tariff rates and the imposition of additional tariffs, could increase our costs and adversely impact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Due to our international sourcing activities, we are exposed to risks associated with changes in the laws and regulations governing the importing of products into the U.S. A predominant portion of the merchandise we sell is originally manufactured in countries other than the U.S., including China and Mexico. International trade disputes that result in increases in tariff rates, the implementation of new tariffs and other protectionist or retaliatory measures could adversely affect our business, including disruption and cost increases in our established patterns for sourcing our merchandise and increased uncertainties in planning our sourcing strategies and forecasting our margins. For example, since February 2025, the U.S. government has imposed incremental tariffs on most goods imported from China. At various points in 2025, the total tariff rate on our goods imported from China reached 152.5%. These tariffs are in addition to a pre-existing Section 301 tariff of 7.5% and baseline Harmonized Tariff Schedule, or HTS, tariffs, which vary by product. On February 20, 2026, the Supreme Court of the U.S. ruled against President Trump's use of the International Emergency Economic Powers Act (“IEEPA”), to impose tariffs on global trade partners, effective immediately. The impact of this decision on previous tariffs that we have paid is undetermined while the case is returned to the Court of International Trade for reconsideration in accordance with the Supreme Court ruling. Following the Supreme Court ruling, the U.S. announced new 10% global tariffs under Section 122 of the Trade Act of 1974 effective February 24, 2026 for a period of 150 days.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Heightened tariffs, particularly on Chinese goods, directly impact our owned brand products and, to a lesser extent, a limited number of third-party branded products. If U.S. tariffs on China or other countries from which we source products are reinstated or are increased further, it may increase our cost of sales and may also increase the price of our products. We are working with our current suppliers to mitigate our exposure to current or potential tariffs and seeking opportunities to engage other suppliers, but there can be no assurance that we will be able to offset any increased costs or secure other suppliers. It is also possible one or more of these suppliers may suffer disruptions in their business or experience significant increases in the cost of their goods or services sold due to factors beyond their control, including changes in the import and export policies, including trade restrictions, new or increased tariffs, sanctions and countersanctions. Further, we may have to increase prices for our customers, which could reduce the competitiveness of our products and adversely affect customer demand and sales.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920"/>
          </w:cols>
          <w:pgMar w:left="960" w:top="877" w:right="1000" w:bottom="0" w:gutter="0" w:footer="0" w:header="0"/>
          <w:type w:val="continuous"/>
        </w:sectPr>
      </w:pPr>
    </w:p>
    <w:bookmarkStart w:id="21" w:name="page22"/>
    <w:bookmarkEnd w:id="2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future changes in trade policy may adversely impact the macroeconomic environment, consumer sentiment and international demand if consumers outside of the U.S. boycott U.S. retailers. If we are not able to adjust our inventory levels and our inventory assortment in response to reduced customer demand, our gross margin may be adversely impacted.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general uncertainty and overall risk from potential changes in trade laws and policies, as we make business decisions in the face of such uncertainty, we may incorrectly anticipate the outcomes, miss out on business opportunities, or fail to effectively adapt our business strategies and manage the adjustments that are necessary in response to those changes. These risks could adversely affect our revenues, reduce our profitability, and negatively impact our business.</w:t>
      </w:r>
    </w:p>
    <w:p>
      <w:pPr>
        <w:spacing w:after="0" w:line="165" w:lineRule="exact"/>
        <w:rPr>
          <w:sz w:val="20"/>
          <w:szCs w:val="20"/>
          <w:color w:val="auto"/>
        </w:rPr>
      </w:pPr>
    </w:p>
    <w:p>
      <w:pPr>
        <w:ind w:left="40" w:right="20" w:hanging="16"/>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A growing portion of our revenue is derived from wholesale partners, and changes in our relationships with, or the loss of, wholesale partners could adversely impact our financial condition and results of operations.</w:t>
      </w:r>
    </w:p>
    <w:p>
      <w:pPr>
        <w:spacing w:after="0" w:line="1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a number of wholesale partnerships and intend to continue growing these initiatives. If any major wholesale partner decreases or ceases its purchases from us, cancels its orders, delays or defaults on its payment obligations to us, reduces the floor space, assortments, or advertising for our products or changes its manner of doing business with us for any reason, such as due to store closures, decreased foot traffic, inflationary pressures or recession, such actions could adversely affect our business and financial condition. In addition, competition between our wholesale partners may impact the prices at which they sell our products, thereby impacting the prices at which they are willing to buy products from us. Further, a decline in the performance or financial condition of a major wholesale customer—including bankruptcy or liquidation—could result in an adverse impact on revenue and require us to assume more credit risk relating to our receivables from that partner or limit our ability to collect amounts related to previous purchases by that partner. Any of these changes could also decrease our opportunities in the market and could adversely impact our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seasonality, which could result in fluctuations in our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experience fluctuations in aggregate sales volume during the year. Historically, our net revenue has typically been highest in our second fiscal quarter and lowest in our fourth fiscal quarter. The seasonality of our business has resulted in variability in our total net revenue quarter-to-quarter. In addition, our customers may change their order patterns and buying habits, including frequency of purchase and/or number of items per order. As a result, we may not be able to accurately predict our quarterly sales. Accordingly, our results of operations are likely to fluctuate significantly from period to period. This seasonality, along with other factors that are beyond our control, including general economic conditions, changes in consumer preferences, weather conditions, including the effects of climate change, the availability of import quotas, transportation disruptions and foreign currency exchange rate fluctuations, could adversely affect our business and cause our results of operations to fluctuate.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accept payments online via credit and debit cards, Lulus gift cards, Lulus online credit, buy now pay later options, and other digital wallet services, which subject us to certain regulations and risk of fraud, and we may in the future offer new payment options to customers that would be subject to additional regulations and risks. We pay interchange and other fees in connection with credit card payments, which may increase over time and adversely affect our results of operations. Certain payment processors may seek to implement reserves against our processed transactions which could negatively impact our cash flows should we continue to offer these payment methods to our customers. While we use third parties to process credit and debit card payments, we are subject to payment card association operating rules and certification requirements, including the Payment Card Industry Data Security Standard and rules governing electronic funds transfers. If we fail to comply with applicable rules (such as the PCI DSS 4.0 requirements) and regulations or experience a security breach involving payment card information, we may be subject to fines, assessments and/or higher transaction fees and may lose our ability to accept online payments or other payment card transactions. Further, payment card associations and/or payment gateways have implemented requirements to engage a Qualified Security Assessor (QSA) or Internal Security Assessor (ISA) to validate our compliance with certain requirements. If we fail to successfully complete such validation or fail to comply with these requirements, we may be unable to complete our annual PCI compliance, which could result in rejection by payment processors, fines from payment card associations, increased transaction fees, or loss of our ability to accept credit card payments, any of which could have a material adverse effect on our business, financial condition, and results of operations. If any of these events were to occur, our business, financial condition, and results of operations could be adversely affected.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920"/>
          </w:cols>
          <w:pgMar w:left="960" w:top="877" w:right="100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could be adversely affected if the financial institutions in which we hold our cash fail.</w:t>
      </w:r>
    </w:p>
    <w:p>
      <w:pPr>
        <w:spacing w:after="0" w:line="2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domestic cash deposits in Federal Deposit Insurance Corporation (“FDIC”) insured banks. The domestic bank deposit balances may exceed the FDIC insurance limits. These balances could be impacted if one or more of the financial institutions in which we deposit money fails or is subject to other adverse conditions in the financial or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losses from customer and/or credit card fraud and theft.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 and theft, including stolen credit card numbers, claims that a customer did not authorize a purchase, merchant fraud, and customers who have closed bank accounts or have insufficient funds in open bank accounts to satisfy payments, and any such losses may be significant.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Although we have measures in place to detect and reduce the occurrence of fraudulent activity, those measures may not always be effective. Our failure to adequately prevent fraudulent transactions and theft could damage our reputation, result in litigation or regulatory action and lead to expenses that could substantially impact our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borrowings and we may incur additional indebtedness in the future, which may require us to use a portion of our cash flow to service debt and limit our financial and operating flexibility.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14, 2025, we entered into a Loan and Security Agreement with White Oak Commercial Finance, LLC, as Administrative Agent, and the lenders party thereto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us to maintain lockbox accounts and cash management arrangements under the control of the Administrative Agent, who has full dominion and control over each Collection Account and all Deposit Accounts (except Excluded Accounts) (as such terms are defined in the 2025 Credit Agreement).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28, 2025, the outstanding borrowing under the 2025 Credit Agreement was $14.4 million in addition to a $0.3 million letter of credit outstanding. After giving effect to the excess availability covenant and the outstanding letter of credit, the unused availability was $1.3 million.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borrowing base fluctuates and directly impacts our ability to borrow additional amounts under the 2025 Credit Agreement. The covenants in the 2025 Credit Agreement could limit our ability to finance our future operations or capital needs, or to pursue available business opportunities. Additionally, we may be required to take certain actions that would act in a manner contrary to our business objectives to meet the covenants. Our failure to comply with any of the covenants under our 2025 Credit Agreement could prevent us from being able to draw on the revolving credit facility, cause an event of default under the 2025 Credit Agreement and result in an acceleration of our outstanding indebtedness and various other rights and remedies of the lenders including the sale of the collateral. If our outstanding indebtedness were to be accelerated, we likely would not be able to satisfy all of our obligations under such indebtedness, which would materially adversely affect our financial condition and results of operations.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920"/>
          </w:cols>
          <w:pgMar w:left="960" w:top="873" w:right="100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Risks Related to Our Growth</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and even if the markets in which we compete achieve the forecasted growth, our business may not grow at similar rates, or at all.</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10-K are subject to significant uncertainty and are based on assumptions and estimates which may not prove to be accurate. The estimates and forecasts included in this Annual Report on Form 10-K relating to size and expected growth of our target market may prove to be inaccurate. Even if the markets in which we compete meet the size estimates and growth forecasts included in this Annual Report on Form 10-K, our business may not grow at similar rates, or at all. Our growth is subject to many factors, including our success in implementing our business strategy, which is subject to many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past results may not be indicative of future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past results, including periods of rapid growth of our net revenue and profitability and periods of macroeconomic pressure and corresponding decreases in net revenue and profitability, should not be considered as indicative of our future performance. We operate in a rapidly evolving industry that may not develop in a manner favorable to our business. You should consider our business and prospects in light of the risks and challenges we may encounter.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success will depend in large part upon our ability to, among other things:</w:t>
      </w:r>
    </w:p>
    <w:p>
      <w:pPr>
        <w:spacing w:after="0" w:line="225" w:lineRule="exact"/>
        <w:rPr>
          <w:sz w:val="20"/>
          <w:szCs w:val="20"/>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acquire new customers and engage with and retain existing customers;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and effectively staff our distribution facilities;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inventory effectively;</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market share;</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consumer awareness of our brand and maintain our reputation;</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offering and geographic reach;</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assortment of merchandise that is attractive to our customers;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in our business from information technology downtime, cybersecurity breaches, or labor stoppages;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of our technology infrastructure;</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to enhance the customer experience on our sites; and</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new suppliers and deepen our relationships with existing suppliers.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address the risks and challenges that we face, including those associated with the challenges listed above as well as those described elsewhere in this “Risk Factors” section, our business and our operating results will be adversely affected.</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920"/>
          </w:cols>
          <w:pgMar w:left="960" w:top="873" w:right="100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be able to achieve or maintain profitability in the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for the past three years and we may not be able to achieve or maintain profitability in the future. We incurred net losses of $14 million, $55 million, and $19 million in the fiscal years ended December 28, 2025, December 29, 2024, and December 31, 2023, respectively. Even as we try to manage our expenses and expand revenue, these efforts may be more costly than we expect and may not result in increased revenue or growth or margin improvements in our business in the future. Any failure to increase our revenue sufficiently to keep pace with our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business strategy, which, in turn, is dependent upon a number of factors, including our ability to:</w:t>
      </w:r>
    </w:p>
    <w:p>
      <w:pPr>
        <w:spacing w:after="0" w:line="121" w:lineRule="exact"/>
        <w:rPr>
          <w:sz w:val="20"/>
          <w:szCs w:val="20"/>
          <w:color w:val="auto"/>
        </w:rPr>
      </w:pPr>
    </w:p>
    <w:p>
      <w:pPr>
        <w:ind w:left="680" w:hanging="320"/>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brand awareness and attract new customers;</w:t>
      </w:r>
    </w:p>
    <w:p>
      <w:pPr>
        <w:spacing w:after="0" w:line="198"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retain our existing customer relationships; and</w:t>
      </w:r>
    </w:p>
    <w:p>
      <w:pPr>
        <w:spacing w:after="0" w:line="184"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international expansion.</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that we can successfully achieve any or all of the above initiatives in the manner or time period that we expect. Further, achieving these objectives will require investments which may result in short-term costs without generating any net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 and such growth may adversely affect our existing resources and cause us to encounter challenges we have not faced before.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grown over the years, with our net revenue increasing from $133 million in 2016 to $282 million in 2025, with variability in the years between primarily attributed to the impact of the COVID-19 pandemic and the ensuing pent-up demand period followed by a period of macroeconomic pressures and more muted consumer spending. If we experience substantial growth in the future, it may strain our existing infrastructure, including our consolidated distribution facilities, information technology systems, financial controls, merchandising, and operations personnel, and place increased demands on our suppliers, to the extent we increase the size of our merchandise orders. New order delivery times could lengthen as a result of the strains that growth may place on our existing resources, and our growth may make it otherwise difficult for us to respond quickly to changing trends, customer preferences and other factors, which could impair our ability to continue to offer on-trend merchandise and could result in excess inventory, greater markdowns, loss of market share and decreased sales which, in turn, could have a material adverse effect on our business, financial condition, and results of operations. In addition, our current and planned personnel, systems, procedures, and controls may not be adequate to support and effectively manage any expansion in future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we may not continue to grow as expected, which may result in the need to reduce resources. Any reductions to current personnel, systems, procedures, and controls may not be adequate to support and effectively manage our business and future operations. We have implemented cost reduction measures in recent years that included workforce reductions and we may undertake similar measures in the future. Any such restructuring plans, reductions in force or other cost reduction measures could divert management attention, adversely affect employee morale and turnover, and damage our reputation as an employer, which could increase the difficulty of attracting, retaining and motivating qualified personnel and maintaining our corporate culture. Further, our reduced headcount following such restructuring plans and any further turnover may increase the difficulty of executing on our plans, including due to the loss of historical, technical or other expertise, and challenges of covering leaves of absence with a reduced headcount, which may have an adverse effect on our business, prospects and results of operations.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920"/>
          </w:cols>
          <w:pgMar w:left="960" w:top="873" w:right="1000" w:bottom="0" w:gutter="0" w:footer="0" w:header="0"/>
          <w:type w:val="continuous"/>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pursue our international growth strategy, our success will largely depend on our ability to manage the unique challenges presented by international markets.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continue to sell products to customers located outside the U.S. Further, we may establish additional relationships in other countries to grow our operations. The substantial up-front investment required, the lack of consumer awareness of our products in jurisdictions outside of the U.S., differences in consumer preferences and trends between the U.S. and other jurisdictions, the risk of inadequate intellectual property protections and differences in packaging, labeling, privacy, consumer protection, advertising, ESG and related laws, rules and regulations are all substantial matters that need to be evaluated prior to doing business in new territories. We cannot assure that our international efforts will be successful. International sales and increased international operations may be subject to risks such as:</w:t>
      </w:r>
    </w:p>
    <w:p>
      <w:pPr>
        <w:spacing w:after="0" w:line="175" w:lineRule="exact"/>
        <w:rPr>
          <w:sz w:val="20"/>
          <w:szCs w:val="20"/>
          <w:color w:val="auto"/>
        </w:rPr>
      </w:pPr>
    </w:p>
    <w:p>
      <w:pPr>
        <w:ind w:left="680" w:hanging="319"/>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laws and regulations, including more stringent regulations relating to data privacy and security, particularly in the EU;</w:t>
      </w:r>
    </w:p>
    <w:p>
      <w:pPr>
        <w:spacing w:after="0" w:line="134"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effects and foreign exchange controls making it difficult to repatriate earnings and cash;</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instability, terrorism and wars;</w:t>
      </w:r>
    </w:p>
    <w:p>
      <w:pPr>
        <w:spacing w:after="0" w:line="211"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34"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198"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laws and labor disruptions;</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consumer protection and product laws;</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 controls;</w:t>
      </w:r>
    </w:p>
    <w:p>
      <w:pPr>
        <w:spacing w:after="0" w:line="198"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use or to obtain adequate intellectual property protection for our key brands and products;</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customs duties and the classifications of our goods by applicable governmental bodies;</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system subject to undue influence or corruption;</w:t>
      </w:r>
    </w:p>
    <w:p>
      <w:pPr>
        <w:spacing w:after="0" w:line="198"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culture in which illegal sales practices may be prevalent;</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sourcing;</w:t>
      </w:r>
    </w:p>
    <w:p>
      <w:pPr>
        <w:spacing w:after="0" w:line="198"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and</w:t>
      </w:r>
    </w:p>
    <w:p>
      <w:pPr>
        <w:spacing w:after="0" w:line="21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overall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global apparel industry is subject to intense pricing pressure.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apparel industry is characterized by low barriers to entry for both suppliers and marketers, global sourcing through suppliers located throughout the world, trade liberalization, continuing movement of product sourcing to lower cost countries, regular promotional activity and the ongoing emergence of new competitors with widely varying strategies and resources. These factors have contributed,</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920"/>
          </w:cols>
          <w:pgMar w:left="960" w:top="873" w:right="1000" w:bottom="0" w:gutter="0" w:footer="0" w:header="0"/>
          <w:type w:val="continuous"/>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and may continue to contribute in the future, to intense pricing pressure and uncertainty throughout the supply chain. Pricing pressure has been exacerbated by the availability of raw materials in recent years. Additionally, the imposition or increase in tariffs, inflation and supply chain constraints could increase pricing pressure on our business. This pressure could have adverse effects on our business and financial condition, including:</w:t>
      </w:r>
    </w:p>
    <w:p>
      <w:pPr>
        <w:spacing w:after="0" w:line="180" w:lineRule="exact"/>
        <w:rPr>
          <w:sz w:val="20"/>
          <w:szCs w:val="20"/>
          <w:color w:val="auto"/>
        </w:rPr>
      </w:pPr>
    </w:p>
    <w:p>
      <w:pPr>
        <w:ind w:left="680" w:hanging="319"/>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gross margins across our product lines and distribution channels;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supplier demands for allowances, incentives, and other forms of economic support; and</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us to reduce our product costs and operating expenses.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the highly competitive retail apparel industry, and the size and resources of some of our competitors may allow them to compete more effectively than we can, which could adversely impact our growth and market share, and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operate in the highly competitive retail apparel industry. We compete on the basis of a combination of factors, including our quality, concept, price, breadth, and style of merchandise, as well as our online experience and level of customer service, our brand image, and our ability to anticipate, identify and respond to new and changing fashion trends and customer demands. While we believe that we compete primarily with national and international apparel retailers and e-commerce businesses that specialize in women’s apparel, footwear, and accessories, we also face competition from foreign e-commerce platforms, national and regional department stores, specialty retailers, fast-fashion retailers, value retailers, and mass merchants. In addition, our expansion into markets served by our competitors and entry of new competitors or expansion of existing competitors into our markets could have a material adverse effect on our business, financial condition, and results of operations.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compete with a wide variety of large and small retailers and e-commerce businesses for customers, suppliers, influencers and personnel. The competitive landscape we face, particularly among apparel retailers, is subject to rapid change as new competitors emerge and existing competitors change their offerings. We cannot assure investors that we will be able to continue to compete successfully and navigate the shifts in the competitive landscape in our markets.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competitors are, and many of our potential competitors may be, larger and have greater name recognition and access to greater financial, marketing and other resources than us. Therefore, these competitors may be able to adapt to changes in trends and customer desires more quickly, devote greater resources to the marketing and sale of their products, generate greater brand recognition or adopt more aggressive pricing policies than we can. Many of our competitors also utilize advertising and marketing media which we have not historically used, including advertising via newspapers, magazines, and television, which may provide them with greater brand recognition than we have. As a result, we may lose market share, which could reduce our sales and have a material adverse effect on our business, financial condition, and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may also sell certain products or substantially similar products for prolonged promotional periods through online and also through outlet centers or discount stores, increasing the competitive pressure for those products. We cannot assure investors that we will continue to be able to compete successfully against existing or future competitors. Our expansion into markets served by our competitors and entry of new competitors or expansion of existing competitors into our markets could have a material adverse effect on us. Competitive forces and pressures may intensify as our presence in the retail marketplace grows.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possess exclusive rights to many of the elements that comprise our online experience and merchandise offerings. Some apparel retailers offer a personalized shopping experience that in certain ways is similar to the one we strive to provide to our customers. Our competitors may seek to emulate facets of our business strategy, including “test, learn, and reorder,” speed-to-market and online experience, which could result in a reduction of any competitive advantage or special appeal that we might possess. In addition, some of our merchandise offerings are sold to us on a non-exclusive basis. As a result, our current and future competitors, especially those with greater financial, marketing, or other resources, may be able to duplicate or improve upon some or all of the elements of our online experience or merchandise offerings that we believe are important in differentiating our website and our customers’ shopping experience. If our competitors were to duplicate or improve upon some or all of the elements of our online experience or product offerings, our competitive position could suffer, which could have a material adverse effect on our business, financial condition, and results of operations.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920"/>
          </w:cols>
          <w:pgMar w:left="960" w:top="877" w:right="1000" w:bottom="0" w:gutter="0" w:footer="0" w:header="0"/>
          <w:type w:val="continuous"/>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consumer discretionary spending and may be adversely affected by economic downturns and other macroeconomic conditions or trends.</w:t>
      </w:r>
    </w:p>
    <w:p>
      <w:pPr>
        <w:spacing w:after="0" w:line="15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are subject to global economic conditions and their impact on consumer discretionary spending. Customer purchases of discretionary retail items and specialty retail products, which include our apparel, footwear, and accessories, may be adversely affected by economic conditions such as employment levels, salary and wage levels, the availability of customer credit, inflation, high interest rates, high tax rates, high fuel prices, increased tariffs and global trade instability, and customer confidence with respect to current and future economic conditions. Customer purchases may decline during recessionary periods or at other times when unemployment is higher, fuel prices are higher or disposable income is lower. During 2023, 2024, and 2025, we experienced reductions in net revenue due to challenging macroeconomic conditions where consumers generally lowered their spending levels. These risks may be exacerbated for retailers like us that focus significantly on selling discretionary fashion merchandise to customers who seek value. Customer willingness to make discretionary purchases may decline, may stall or may be slow to increase due to national and regional economic conditions.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may be particularly susceptible to economic and other conditions in certain regions, states or countries. Considerable uncertainty and volatility remains in the national and global economy, and any further or future slowdowns or disruptions in the economy could adversely affect online shopping traffic and customer discretionary spending and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Merchandise and Inventory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maintain our desired merchandise assortment or manage our inventory effectively, we may be unable to attract a sufficient number of customers or sell sufficient quantities of our merchandise, which could result in excess inventories, markdowns, and foregone sales.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offer our customers a broad merchandise assortment with new styles introduced virtually every day in small batches. This enables us to learn about customer demand using our proprietary reorder algorithm, which allows us to reorder best selling products in higher volume. We cannot assure investors that we will be able to continue to stock a broad assortment of merchandise at our current frequency. If we are unable to offer a broad merchandise assortment or manage our inventory effectively, customers may choose to visit our website less frequently, our brand could be impaired, we could lose sales, and our ability to compete successfully and our market share may decline. Further, any failure to manage our merchandise assortment or deficiencies in product testing may result in inaccurate demand forecasting and could lead to excess inventories which could result in higher markdowns. We have experienced logistics issues that have adversely affected our ability to manage our inventory in the past and may experience such issues in the future. If we are unable to identify the appropriate products to reorder in higher volume or successfully manage our desired merchandise assortment, it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merchandise on a timely basis at competitive prices could suffer as a result of any deterioration or change in our supplier relationships or events that adversely affect our suppliers or their ability to obtain financing for their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many important supplier relationships. We do not own or operate any manufacturing facilities. Instead, we purchase nearly all of our merchandise from third-party suppliers. During 2025, our top nine suppliers accounted for approximately 50% of our purchases, with no single supplier accounting for more than approximately 9.0% of our purchases. Our business and financial performance depend in large part on our ability to evaluate merchandise quickly for style and then modify if needed or to improve the quality, look, and fit of the item. We must also be able to quickly source merchandise and place orders in order to successfully execute our strategy of rapidly responding to evolving fashion trends. Merchandise may not be available to meet our fashion needs on a timely basis, at competitive prices, or at all. Due to the nature of our product strategy, we do not have long-term commitments with any of our suppliers, and we generally operate without any contractual assurances of continued supply, pricing, or access to new products. Our standard terms and conditions do not commit us or our suppliers to any particular quantities, which are established on a purchase order basis.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supplier relationships, and therefore our business, could be materially adversely affected if our suppliers:</w:t>
      </w:r>
    </w:p>
    <w:p>
      <w:pPr>
        <w:spacing w:after="0" w:line="225" w:lineRule="exact"/>
        <w:rPr>
          <w:sz w:val="20"/>
          <w:szCs w:val="20"/>
          <w:color w:val="auto"/>
        </w:rPr>
      </w:pPr>
    </w:p>
    <w:p>
      <w:pPr>
        <w:ind w:left="680" w:hanging="320"/>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prices they charge us;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pricing terms to require us to pay upfront or upon delivery;</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920"/>
          </w:cols>
          <w:pgMar w:left="960" w:top="873" w:right="1000" w:bottom="0" w:gutter="0" w:footer="0" w:header="0"/>
          <w:type w:val="continuous"/>
        </w:sectPr>
      </w:pPr>
    </w:p>
    <w:bookmarkStart w:id="28" w:name="page29"/>
    <w:bookmarkEnd w:id="28"/>
    <w:p>
      <w:pPr>
        <w:ind w:left="680" w:right="220" w:hanging="319"/>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access to styles, brands, and merchandise by entering into broad exclusivity arrangements with our competitors or otherwise in the marketplace;</w:t>
      </w:r>
    </w:p>
    <w:p>
      <w:pPr>
        <w:spacing w:after="0" w:line="161" w:lineRule="exact"/>
        <w:rPr>
          <w:rFonts w:ascii="Times New Roman" w:cs="Times New Roman" w:eastAsia="Times New Roman" w:hAnsi="Times New Roman"/>
          <w:sz w:val="18"/>
          <w:szCs w:val="18"/>
          <w:color w:val="auto"/>
        </w:rPr>
      </w:pPr>
    </w:p>
    <w:p>
      <w:pPr>
        <w:ind w:left="680" w:right="420" w:hanging="319"/>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similar merchandise to our competitors with similar or better pricing, many of whom already purchase merchandise in significantly greater volume and, in some cases, at lower prices than we do;</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their lead times;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quality of their merchandise;</w:t>
      </w:r>
    </w:p>
    <w:p>
      <w:pPr>
        <w:spacing w:after="0" w:line="225" w:lineRule="exact"/>
        <w:rPr>
          <w:rFonts w:ascii="Times New Roman" w:cs="Times New Roman" w:eastAsia="Times New Roman" w:hAnsi="Times New Roman"/>
          <w:sz w:val="18"/>
          <w:szCs w:val="18"/>
          <w:color w:val="auto"/>
        </w:rPr>
      </w:pPr>
    </w:p>
    <w:p>
      <w:pPr>
        <w:ind w:left="680" w:right="200" w:hanging="319"/>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expand sales of apparel, footwear, and accessories to retail customers directly through their own stores, catalogs, or on the internet and compete with us directly; or</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choose to discontinue selling merchandise to us.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business is driven in part by the price-value proposition we offer our customers. If the costs of the raw materials, for example cotton, synthetics, and trim, or other inputs, such as energy costs or prevailing wages, used in producing our merchandise increase, our suppliers may look to pass these cost increases along to us. The price and availability of such raw materials may fluctuate significantly, depending on many factors which are outside of our control, including commodity prices, crop yields, and weather patterns. In addition, the costs of other inputs are also outside of our control. If our suppliers attempt to pass any cost increases on to us and we refuse to pay the increases, we could lose those suppliers, resulting in the risk that we could not fill our purchase orders in a timely manner or at all. If we pay the increases, we could either attempt to raise retail prices for our merchandise, which could adversely affect our sales and our brand image, or choose not to raise prices, which could adversely affect the profitability of our merchandise sales. As a result, any increase in the cost of raw materials or other inputs could have a material adverse effect on our business, financial condition, and results of operations.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historically have established good working relationships with many suppliers, some of which have more limited resources, production capacities and operating histories than others. Market and economic events that adversely impact our suppliers could impair our ability to obtain merchandise in sufficient quantities. Such events include difficulties or problems associated with our suppliers’ business, finances, ability to import or ship merchandise as a result of strikes, labor disruptions or other events, costs, production, insurance, and reputation. We cannot assure investors that we will be able to acquire desired merchandise in sufficient quantities on acceptable terms or at all in the future, especially if we need significantly greater amounts of inventory in connection with the growth of our business, or that we will be able to get such merchandise delivered to our distribution facilities on a timely basis. We may need to develop new relationships, as our current suppliers may be unable to supply us with needed quantities and we may not be able to find similar merchandise on the same terms. If we are unable to acquire suitable merchandise in sufficient quantities, at acceptable prices with adequate delivery times due to the loss of or a deterioration or change in our relationship with one or more of our key suppliers or if events harmful to our suppliers occur, it could have a material adverse effect on our business, financial condition,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new trade restrictions are imposed or existing trade restrictions become more burdensome, our ability to source imported merchandise efficiently and cost effectively could be materially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majority of our inventory is produced by foreign manufacturers, including those based in China, which is either directly imported by domestic importers or imported by us from foreign suppliers. While we believe this is the best strategic business model for the time being, our dependence on foreign supply sources is subject to risks associated with international trade conflicts, particularly with respect to export and import controls and laws, global sourcing and manufacturing which could result in disruptions to our operations.</w:t>
      </w:r>
    </w:p>
    <w:p>
      <w:pPr>
        <w:spacing w:after="0" w:line="2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Suppliers, to the extent they obtain merchandise from outside of the U.S., are subject to trade restrictions, including tariffs, safeguards, or quotas, changes to which could increase the cost or reduce the supply of merchandise available to us. For example, since February 2025, the U.S. government has imposed incremental tariffs on most goods imported from China. In addition, U.S. tariffs on goods imported from certain other countries included an incremental reciprocal tariff of 10% imposed since April 2025. On February 20, 2026, the Supreme Court of the United States of America ruled against President Trump's use of IEEPA, to impose tariffs on global trade partners, effective immediately. The impact of this decision on previous tariffs paid is undetermined while the case is returned to the Court of International Trade for reconsideration in accordance with the Supreme Court ruling.</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920"/>
          </w:cols>
          <w:pgMar w:left="960" w:top="877" w:right="1000" w:bottom="0" w:gutter="0" w:footer="0" w:header="0"/>
          <w:type w:val="continuous"/>
        </w:sectPr>
      </w:pPr>
    </w:p>
    <w:bookmarkStart w:id="29" w:name="page30"/>
    <w:bookmarkEnd w:id="29"/>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Heightened tariffs, particularly on Chinese goods, directly impact our owned brand products and, to a lesser extent, a limited number of third-party branded products. If U.S. tariffs on China or other countries from which we or our suppliers source products are reinstated or are increased further, it may increase our cost of sales and may also increase the price of our products. In addition, heightened tariffs may adversely impact our ability to acquire products on acceptable terms and may also adversely impact global logistics, which may result in our inability to purchase sufficient inventory to meet customer demand and in turn materially and adversely impact our sales.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and other trade restrictions could have a significant impact on our suppliers’ sourcing patterns in the future. The extent of this impact, if any, and the possible effect on our purchasing patterns and costs, cannot be determined at this time. We cannot predict whether any of the countries in which our suppliers’ merchandise is currently manufactured or may be manufactured in the future will be subject to additional trade restrictions imposed by the U.S. or foreign governments, nor can we predict the likelihood, type or effect of any restrictions. Trade restrictions, including increased tariffs or quotas, embargoes, safeguards, and customs restrictions against items we offer, as well as U.S. or foreign labor strikes, work stoppages or boycotts, could increase the cost or reduce the supply of merchandise to our suppliers, and we would expect the costs to be passed along in increased prices to us, which we may be unable to pass on to our customers,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returns and damages could harm our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allow our customers to return merchandise, subject to our return policy. If merchandise return economics become more costly, our business, financial condition, and results of operations could be harmed. Further, we modify our policies relating to returns or damages from time to time, which may result in customer dissatisfaction or an increase in the number of merchandise returns or damaged products. Supplier non-compliance can also result in increased returns or damages. From time to time, our products are damaged or lost in transit or damaged by customers, which can increase return rates and inventory write-offs and harm our brand. Competitive pressures could cause us to alter our shipping policies, which could also result in customer dissatisfaction or an increase in the number of merchandise returns or damaged products. Due to our customer friendly return policy and consumer behavior, we have experienced and may in the future experience heightened levels of returns, which have and may continue to negatively impact our operating results and financial position. We have also experienced and may in the future experience increased levels of returns due to changes in consumer shopping behavior and discretionary spending as a result of changes in macroeconomic conditions or consumer confidence, including levels of unemployment, the size and timing of federal stimulus programs, salaries and wage rates, high inflation, high interest rates, recession or fears of recession, housing costs, energy and fuel costs, income tax rates and the timing of tax refunds, consumer perceptions of personal well-being and security, availability of consumer credit and consumer debt levels.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international returns may harm our gross margin if we are unable to successfully recover applicable duties and taxes. For merchandise returned by customers in certain countries, we refund the full amount of the customer’s purchase to the customer, including applicable duties and taxes, and must separately attempt to recover the amount of duties and taxes paid by the customer from the relevant government authority. Our ability to recover such duties and taxes may be limited by country, shipping carrier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Infrastructure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External parties, such as experienced computer programmers and hackers, or even internal users (including both employees and non-employees with authorized access), may be able to penetrate or create systems disruptions or cause shutdowns of our networks, systems and applications or those of third-party companies with which we have contracted to provide services. We collect and use personal information about our employees, customers and others, and sometimes rely upon third-party service providers to maintain or process data on our behalf and to provide security for the information in their possession. Any real or perceived compromise of such information could deter customers from using our platform, subject us to governmental investigations and/or enforcement actions, fines and penalties, litigation, claims and other liabilities, and harm our reputation, which could have a material adverse effect on our business, financial condition and results of operations. Moreover, we could incur significant expenses or disruptions of our operations in connection with system failures, timeliness of applying updates to vulnerable systems or other factors within or beyond our control. Such failures or breaches in our information systems could also result in the disclosure, misappropriation, modification or misuse of, or unauthorized access to, our confidential, proprietary, or personal information, disruption of our operations or damage to our networks and systems. An increasing number of websites, including several large internet companies, have disclosed breaches of their security, some of which have involved increasingly sophisticated and highly targeted attacks on portions of their sites. For example, online businesses have been targeted with attacks aimed at compromising the security of payment card information submitted by customers for</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920"/>
          </w:cols>
          <w:pgMar w:left="960" w:top="877" w:right="1000" w:bottom="0" w:gutter="0" w:footer="0" w:header="0"/>
          <w:type w:val="continuous"/>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online purchases, including by injecting malicious code or scripts on website pages or by gaining unauthorized access to payment systems. As an online retailer, we may be targeted with similar attempts.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take steps to protect our networks, systems, applications and data, including the implementation of additional security measures from time to time, we or our service providers may be unable to anticipate, defend against, or timely identify and respond to such activity, including but not limited to hacking, malware, viruses, social engineering (such as phishing or other scams), extortion, account takeover attacks, denial or degradation of service attacks, supply chain attacks, computer and network vulnerabilities or the negligence and malfeasance of individuals with authorized access to our data. In addition, sophisticated hardware and operating system software and applications that we buy or license from third parties may contain defects in design or manufacture, including “bugs” and other problems that could unexpectedly interfere with the security and operation of the systems. The costs to us to eliminate or alleviate security problems, viruses and bugs, or any problems associated with the outsourced services provided to us, could be significant, and efforts to address these problems could result in interruptions, delays or cessation of service that may impede our sales, distribution, or other critical functions and have a material adverse effect on our business, financial condition and results of operations.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many states and countries have enacted laws or regulations that require companies to notify individuals about certain types of security incidents or breaches, and any such disclosures or a failure to disclose may lead to negative publicity and may deter customers from shopping with us or result in a claim that we failed to meet the requirements of applicable regulations. It is also possible that security breaches affecting our competitors or others in our industry could also result in negative publicity that indirectly harms our reputation. Increasing public, industry, and governmental focus on privacy and data security may continue to lead to additional guidance or legislative and regulatory action, and the increased emphasis on privacy may lead customers to request that we take additional measures to enhance security or restrict the manner in which we collect and use customer information to gather insights into customer behavior and craft our marketing programs. As a result, we may have to modify our business systems and practices with the goal of further improving data security,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have a material adverse effect on our business, financial condition, and results of operations.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existing general liability and cybersecurity insurance may not cover any, or cover only a portion of any, potential claims or expenses related to security breaches that affect us or may not be adequate to indemnify us for all or any portion of liabilities that may be imposed. In addition, we cannot assure investors that the limitations on liability in our contracts would be enforceable or adequate or would otherwise protect us from any such liabilities with respect to any particular claim. Any imposition of liability that is not covered by insurance or is in excess of insurance coverage would increase our operating expenses and reduce our net income, if any, or increase our net loss.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continually update, augment and add technology systems, which could potentially disrupt our operations and have a material adverse effect on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the years, we have found a balance between developing proprietary applications that are optimized for and tailored to our business and customers’ needs on the one hand, and best-in-class third-party solutions on the other hand. We periodically evaluate whether our proprietary application solutions can be replaced by either more advanced or more cost effectively scaled third-party solutions. While currently our order and warehouse management systems are developed in-house, when suitable third-party solutions become available, we might replace our internal systems depending on the growth and the demands of the business.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example, we implemented a data warehouse solution that in near real-time integrates data from our proprietary software applications and third-party software applications to unlock the various data silos and allow for holistic business intelligence analysis and reporting. The actionable insights we have been able to gather from these analytics have allowed us to detect and act on trends sooner, identify improvement opportunities and implement predictive analysis models to gain efficiencies.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open source software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The failure of our information systems, open source software and the third-party systems we rely on to perform as designed, or our failure to implement and operate them effectively, could disrupt our business or subject us to liability and thereby harm our profitability.</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920"/>
          </w:cols>
          <w:pgMar w:left="960" w:top="877" w:right="1000" w:bottom="0" w:gutter="0" w:footer="0" w:header="0"/>
          <w:type w:val="continuous"/>
        </w:sectPr>
      </w:pPr>
    </w:p>
    <w:bookmarkStart w:id="31" w:name="page32"/>
    <w:bookmarkEnd w:id="3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when integrating or introducing AI and generative AI technologies into our platforms, processes and systems, we may be exposed to new or expanded liabilities and risks due to elevated governmental scrutiny and monitoring, litigation, data privacy risks and compliance issues in a disparate and at times conflicting regulatory environment, all of which could negatively affect our financial performance and business reputation.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risks associated with the above systems changes, as well as any failure of such systems to operate effectively, could disrupt and adversely impact the promptness and accuracy of our merchandise distribution, transaction processing, financial accounting and reporting, and our internal controls over financial reporting, the efficiency of our operations and our ability to properly forecast earnings and cash requirements. We could be required to make significant additional expenditures to remediate any such failures or problems in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implement these new systems or, if implemented, we may still face unexpected disruptions or cost overruns in the future,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technology and systems to support our supply chain, payments, financial reporting and other key aspects of our business. Any failure, inadequacy, interruption or security failure of those systems could have a material adverse effect on our business, reputation and brand,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sites, transaction-processing systems and technology infrastructure are critical to our reputation and our ability to acquire and retain customers, as well as maintain adequate customer service levels. Our ability to effectively manage our business depends significantly on our information systems and platforms provided by third parties, which we use primarily to manage items, purchase orders, stock ledgers and allocation and supply chain planning. To manage the growth of our operations and personnel, we will need to continue to improve and expand our operational and financial systems, transaction processing and internal controls and business processes; in doing so, we could encounter transitional issues and incur substantial additional expenses. If we are unable to maintain our current relationships with these service providers, there is no assurance that we will be able to locate replacements on a timely basis or on acceptable terms. The failure of our information systems to operate effectively, problems with transitioning to upgraded or replacement systems or expanding them, or a breach in security of these systems, could materially adversely affect the promptness and accuracy of our merchandise distribution, transaction processing, financial accounting and reporting, the efficiency of our operations and our ability to properly forecast earnings and cash requirements. We could be required to make significant additional expenditures to remediate any such failure, problem or breach.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we house many of our systems offsite at third-party data centers. Our data centers may be subject to cyber-attacks or other technology-related incidents, and also break-ins, sabotage and intentional acts of vandalism that could cause disruptions in our ability to serve our customers and protect data. Some of our systems are not fully redundant, and our disaster recovery planning cannot account for all eventualities. The occurrence of a natural disaster, intentional sabotage or other anticipated problems could result in lengthy interruptions to our service. Any errors or vulnerability in our systems or damage to or failure of our systems, or a third-party data center hosting our data, could result in interruptions in our operations and could have a material adverse effect on our business, financial condition, and results of operations.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now and in the future implement new systems to increase efficiencies and profitability. We may encounter transitional issues and incur substantial additional expenses in connection with any implementation or change to existing processes, any of which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heavily on email, SMS and other messaging services, and any restrictions on the sending of emails or messages or an inability to timely deliver such communications could materially adversely affect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email, SMS and other messaging services for promoting our brand and platform. We send promotional email and SMS messages and push notifications to inform customers of new products, shipping specials and other offers, and transactional emails and SMS messages to communicate updates to customer orders and returns or to respond to customer outreach. We believe these messages are an important part of our customer experience. If we are unable to successfully deliver emails, SMS or other messages to our subscribers, or if subscribers decline to open or read our messages, our net revenue and profitability would be materially adversely affected. Changes in how web, mail and carrier services block, organize and prioritize messaging may reduce the number of subscribers who receive or open our messages. For example, Google’s Gmail service has a feature that organizes incoming emails into categories (for example, primary, social and promotions). Such categorization or similar inbox organizational features may</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920"/>
          </w:cols>
          <w:pgMar w:left="960" w:top="877" w:right="1000" w:bottom="0" w:gutter="0" w:footer="0" w:header="0"/>
          <w:type w:val="continuous"/>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 SMS or other messages could also adversely impact our business. From time to time, email service providers or other third parties may block bulk email transmissions or otherwise experience technical difficulties that could result in our inability to successfully deliver emails or other messages to customers. Changes in the laws or regulations that limit our ability to send such communications or impose additional requirements upon us in connection with sending such communications would also materially adversely impact our business. Our use of email, SMS and other messaging services to send communications to customers may also result in legal claims against us, which may cause us increased expense, and if successful, might result in fines or orders with costly reporting and compliance obligations or might limit or prohibit our ability to send email, SMS or other messages.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rely on social media platforms to communicate with our customers and to encourage our customers to engage with our brand. Changes to the terms of these social media platforms to limit promotional communications or our ability or our customers’ ability to send communications through their services, disruptions or downtime experienced by these social media platforms, or decline in the use of or engagement with social media platforms by consumers could materially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software and systems contain open source software, which may pose particular risks to our proprietary applications.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utilize open source software in the applications we have developed to operate our business and will use open source software in the future. Such open source software is generally licensed by its authors or other third parties under open source licenses and is typically freely accessible, usable, and modifiable. Pursuant to such open source licenses, we may be subject to certain conditions, including requirements that we offer our proprietary software that incorporates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We may face claims from third parties claiming ownership of, or demanding the release or license of, the open source software or derivative works that we developed from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or cease offering the implicated software unless and until we can re-engineer it to avoid infringement. We also may be required to re-engineer products if the license terms for incorporated open source software change. The re-engineering process of some or all of our software could require significant additional research and development resources, and we may not be able to complete it successfully. In addition, use of open source software can lead to greater risks than use of third-party commercial software because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These risks could be difficult to eliminate or manage and, if not addressed, could adversely affect our business, results of operations, and financial conditions.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technology based on artificial intelligence presents risks relating to confidentiality, creation of inaccurate and flawed outputs and emerging regulatory risk, any or all of which may adversely affect our business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use or may in the future use AI and machine learning in our business to, among other things, facilitate personalized customer journeys, predict shopping behaviors, optimize marketing, generate data aggregation, summarizations and insights, and streamline workflows. Issues relating to our use or potential use of new and evolving AI technologies may cause us to experience brand or reputational harm, competitive harm, customer loss, legal liability or new or enhanced governmental or regulatory scrutiny, and to incur additional costs to resolve such issues. For example, sensitive, proprietary, or confidential information of the Company and employees could be leaked, disclosed, or revealed as a result of or in connection with the use of generative AI technologies by our employees or vendors. Any such information input into a third-party generative AI or machine learning platform could be revealed to others, including if information is used to train the third party's generative AI or machine learning models, which may impact our ability to realize the benefit of, or adequately maintain, protect, and enforce our intellectual property or confidential information, harming our competitive position and business. Additionally, where a generative AI or machine learning model ingests personal information and makes connections using such data, those technologies may reveal other sensitive, proprietary, or confidential information generated by the model. The use of AI also brings ethical issues related to privacy, customer monitoring and consent and transparency of use, as well as potential for bias and discrimination. We have implemented a policy and guidelines for employee use of AI tools and may implement access controls and other safeguards for certain AI use cases. We also assess third-party AI tools and services through risk-based diligence and impose contractual requirements, where we seek to manage risks relating to ownership and licensing of input and output data. However, uncertainties remain with respect to evolving intellectual property rights and privacy requirements.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920"/>
          </w:cols>
          <w:pgMar w:left="960" w:top="877" w:right="1000" w:bottom="0" w:gutter="0" w:footer="0" w:header="0"/>
          <w:type w:val="continuous"/>
        </w:sectPr>
      </w:pPr>
    </w:p>
    <w:bookmarkStart w:id="33" w:name="page34"/>
    <w:bookmarkEnd w:id="3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Generative AI or machine learning models may create incomplete, inaccurate, offensive or otherwise flawed outputs, some of which may appear correct. Further, AI algorithms are based on machine learning and predictive analytics, which can include unexpected biases and lead to discriminatory outcomes. We may engage in testing, review, or monitoring commensurate with the use case to help identify and address issues such as inaccuracy, bias, or drift; however, such measures cannot eliminate these risks. Due to these issues, these models could lead us to make flawed decisions that could result in adverse consequences to us. Further, any outputs that we create using generative AI technologies may not be subject to copyright protection, which may adversely affect our intellectual property rights in, or ability to commercialize or use, any such content. To the extent that we do not have sufficient rights to use the data or other material or content used in or produced by the AI-enabled systems used in our business, or if we experience cybersecurity incidents in connection with our use or any third party’s use of AI-enabled tools, it could adversely affect our reputation and expose us to legal liability or regulatory risk, including with respect to third-party intellectual property, data privacy, cybersecurity, publicity, contractual or other rights.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uncertainty in the legal regulatory regime relating to AI may require significant resources to modify and maintain business practices to comply with applicable law, the nature of which cannot be determined at this time. Several jurisdictions have already proposed or enacted laws governing AI. Other jurisdictions may decide to adopt similar or more restrictive legislation that may render the use of such technologies challenging. The timing, scope, and enforcement of such requirements remain uncertain. These obligations may prevent or limit our ability to use AI in our business, lead to regulatory fines or penalties, or require us to change our business practices. If we cannot use AI, or that use is restricted, our business may be less efficient, or we may be at a competitive disadvantage. Any of these factors could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regulations and laws specifically governing the Internet and eCommerce. Existing and future regulations and laws could impede the growth of the Internet, eCommerce or mobile commerce. These regulations and laws may involve online payments, taxes, tariffs, privacy, data protection, data security, anti-spam, content protection, website accessibility, Internet neutrality, AI, automated decision making, electronic contracts and communications, consumer protection, website accessibility, Internet neutrality and gift cards. Additional examples include intermediary liability protections, online platform liability, content moderation, online child safety, packaging and recycling requirements, seller certification and representative requirements, and know-your-customer/business regulations.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laws and regulations are continuously evolving, and compliance is costly and can require changes to our business practices and significant management time and effort. We strive to comply with all applicable laws, and compliance is often complex and/or operationally challenging. In addition, applicable laws may conflict with other rules or our practices and by complying with the laws or regulations of one jurisdiction, we may find that we are violating the laws or regulations of another jurisdiction.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consumers and suppliers and may result in the imposition of monetary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Supply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and warehousing.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source nearly all of the merchandise we offer from third-party suppliers, and as a result we may be subject to price fluctuations or demand disruptions. Our results of operations would be negatively impacted by increases in the prices of our merchandise, and we have no guarantees that prices will not rise. We are working to strategically establish more direct sourcing relationships with factories, which adds risks related to shipping, importation, and payment terms. In addition, as we expand into new categories and product types, we expect that we may not have strong purchasing power in these new areas, which could lead to higher prices than we have historically seen in our current categories. We may not be able to pass increased prices on to customers, which could adversely affect our results of operations. Moreover, in the event of a significant disruption in the supply of the fabrics or raw materials used in the manufacture of the merchandise we offer, the suppliers we work with might not be able to locate alternative suppliers of materials of comparable quality at an acceptable price. For example, natural disasters could increase raw material costs, impacting pricing with certain of our suppliers, or cause shipping delays for certain of our merchandise. We may not be able to maintain the quality expectations of customers due to disruptions in the supply of the fabrics or raw materials used in the manufacture of our products. Global climate change is resulting in certain types of natural disasters occurring more frequently or with more intense effects. Any delays, interruption,</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920"/>
          </w:cols>
          <w:pgMar w:left="960" w:top="877" w:right="1000" w:bottom="0" w:gutter="0" w:footer="0" w:header="0"/>
          <w:type w:val="continuous"/>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damage to, or increased costs in the manufacture of the merchandise we offer could result in higher prices to acquire the merchandise or non-delivery of merchandise altogether and could adversely affect our results of operations.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have strong supplier relationships, and we work continuously with our suppliers to manage cost increases. Our overall profitability depends, in part, on the success of our ability to mitigate rising costs or shortages of raw materials used to manufacture our merchandise. Cotton, synthetics and other raw materials used to manufacture our merchandise are subject to availability constraints and price volatility impacted by a number of factors, including supply and demand for fabrics, weather, government regulations, economic climate, and other unpredictable factors. In addition, our sourcing costs may fluctuate due to labor conditions, transportation, or freight costs, energy prices, currency fluctuations, or other unpredictable factors. The cost of labor at many of our third-party suppliers has been increasing in recent years, and we believe it is unlikely that such cost pressures will abate.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of our merchandise is shipped from our suppliers by ocean vessel. If a disruption occurs in the operation of ports through which our merchandise is imported, we may incur increased costs related to air freight or use of alternative ports. Shipping by air is significantly more expensive than shipping by ocean and our margins and profitability could be reduced. Shipping to alternative ports could also lead to delays in receipt of our merchandise. We rely on third-party shipping companies to deliver our merchandise to us. Failures by these shipping companies to deliver our merchandise to us or lack of capacity in the shipping industry could lead to delays in receipt of our merchandise or increased expense in the delivery of our merchandise. Geopolitical tensions in early 2026 involving Iran, the U.S., Israel, and multiple Gulf states have introduced potential volatility in oil markets that could result in higher fuel-related surcharges from carriers. Any of these developments could have a material adverse effect on our business, financial condition,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cannot guarantee that merchandise we receive from suppliers will be of sufficient quality or free from damage, or that such merchandise will not be damaged during shipping, while stored in one of our distribution facilities, or when returned by customers. Further, as we establish more direct sourcing relationships, we will become increasingly responsible for any product quality issues that arise. While we take measures to ensure merchandise quality and avoid damage, including evaluating supplier product samples, conducting inventory inspections and inspecting returned product, we cannot control merchandise while it is out of our possession or prevent all damage while in our distribution facilities. We may incur additional expenses and our reputation could be harmed if customers and potential customers believe that our merchandise is not of sufficiently high quality or may be damaged.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two distribution facilities and disruptions to the operations at these locations could have a material adverse effect on our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one distribution facility located in California and one in Pennsylvania. All of our merchandise is shipped from our suppliers to one of our distribution facilities and then packaged and shipped from our distribution facilities to our customers. The success of our business depends on our timely receipt of merchandise so we can continuously bring new, on-trend products online for sale. The success of our business also depends on customer orders being timely processed and delivered to meet promised delivery dates and satisfy our customers. The efficient flow of our merchandise requires that we have adequate capacity and uninterrupted service in our distribution facilities to support both our current level of operations and any increased levels that may follow from future growth plans. We may be unable to accommodate future growth using our existing distribution facilities. In such case, we will either need to expand and upgrade our existing distribution facilities or open additional distribution facilities. Upgrading our existing distribution facilities or transferring our operations to a facility with greater capacity will require us to incur additional costs, which could be significant, and may require us to secure additional favorable real estate or may require us to obtain additional financing. Appropriate locations or financing for the purchase or lease of such additional real estate may not be available at reasonable costs or at all. Our failure to provide adequate order fulfillment, secure additional distribution capacity when necessary, or retain a suitable third-party logistics provider could impede our growth plans. Further increasing this capacity could increase our costs, which in turn could have a material adverse effect on our business, financial condition, and results of operations. Alternatively, based on our assessments and if required by business conditions, we may make capital investments to move or close all or part of additional distribution facilities in the future. These changes could result in significant future charges or disruptions in our operations, and we may not achieve the expected benefits from these changes, which could result in an adverse impact on our operating results, cash flows and financial condition.</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we encounter difficulties associated with our distribution facilities or if they were to shut down or be unable to operate for any reason, including because of fire, natural disaster, power outage, or other event, we could face inventory shortages, resulting in “out-of-stock” conditions on our website, and delays in shipments, resulting in significantly higher costs and longer lead times distributing our merchandise. In addition, operations and distribution staff would need to find an alternative location, causing further disruption to our business and operations and increased costs associated with opening a new location.</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920"/>
          </w:cols>
          <w:pgMar w:left="960" w:top="877" w:right="1000" w:bottom="0" w:gutter="0" w:footer="0" w:header="0"/>
          <w:type w:val="continuous"/>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encounter difficulties or disasters with our distribution facilities or corporate offices, our disaster recovery, business continuity and document retention plans may be inadequate or insufficient and our critical systems, operations and information may not be restored in a timely manner, or at all, and this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distributors, and other suppliers,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facilities. We use multiple third-party suppliers to source and manufacture many of our products under our owned brand, and those third-party suppliers source from manufacturers based primarily in China and, to a lesser extent, countries such as Mexico, Vietnam, India and the U.S. We are also working to strategically establish more direct sourcing relationships with manufacturers overseas. We engage our third-party suppliers and manufacturers on a purchase order basis combined with customary terms and conditions and are not party to any long-term contracts containing purchase obligations. The ability of these third parties to supply and manufacture our products may be affected by competing orders placed by other clients and the demands of those clients. If we experience significant increases in demand or need to replace a significant number of existing suppliers or manufacturers, we cannot assure that additional supply and manufacturing capacity will be available when required on terms that are acceptable to us, or at all, or that any supplier or manufacturer will allocate sufficient capacity to us in order to meet our requirements.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quality control problems, such as the use of materials and delivery of products that do not meet our quality control standards and specifications or comply with applicable laws or regulations, could harm our business. We do not regularly inspect our suppliers and quality control problems could result in regulatory action, such as restrictions on importation, products of inferior quality or product stock outages or shortages, harming our sales, and creating inventory write-downs for unusable products. Further, we cannot assure that we will be able to detect, prevent or fix all defects that may affect our merchandise, which could hurt the image of our brand and is critical to maintaining and expanding our business. Any negative publicity or lawsuits filed against us related to the perceived quality of our products could harm our brand and decrease demand for our products.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Countries from which we or our vendors obtain products may, from time to time, impose new or adjust prevailing quotas or other restrictions on exported products, and the U.S. may impose new duties, quotas and other restrictions on imported products. This could disrupt the supply of such products to us and adversely affect our operations. The U.S. Congress periodically considers other restrictions on the importation of products obtained for us. The cost of such products may increase for us if applicable duties are raised or import quotas with respect to such products are imposed or made more restrictive.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strategies to try to mitigate the impact of current and potential future tariffs, including collaborative efforts with our vendor partners and suppliers. There can be no assurance that the imposed tariffs will not be increased, expanded or extended. The impact of these tariffs on current and future fiscal years could have a material adverse effect on our cost of goods sold and results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third-party manufacturers, suppliers, and distributors may:</w:t>
      </w:r>
    </w:p>
    <w:p>
      <w:pPr>
        <w:spacing w:after="0" w:line="225" w:lineRule="exact"/>
        <w:rPr>
          <w:sz w:val="20"/>
          <w:szCs w:val="20"/>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contrary to our instructions, requests, policies or objectives;</w:t>
      </w:r>
    </w:p>
    <w:p>
      <w:pPr>
        <w:spacing w:after="0" w:line="225" w:lineRule="exact"/>
        <w:rPr>
          <w:rFonts w:ascii="Times New Roman" w:cs="Times New Roman" w:eastAsia="Times New Roman" w:hAnsi="Times New Roman"/>
          <w:sz w:val="18"/>
          <w:szCs w:val="18"/>
          <w:color w:val="auto"/>
        </w:rPr>
      </w:pPr>
    </w:p>
    <w:p>
      <w:pPr>
        <w:ind w:left="680" w:right="40" w:hanging="320"/>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under relevant purchase orders, including obligations to meet our production deadlines, quality standards, pricing guidelines and product specifications, and to comply with applicable regulations, including those regarding the safety and quality of products;</w:t>
      </w:r>
    </w:p>
    <w:p>
      <w:pPr>
        <w:spacing w:after="0" w:line="17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financial difficulties;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raw material or labor shortages;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increases in raw material or labor costs which may affect our procurement costs;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confidential information or intellectual property to competitors or third parties;</w:t>
      </w:r>
    </w:p>
    <w:p>
      <w:pPr>
        <w:spacing w:after="0" w:line="225" w:lineRule="exact"/>
        <w:rPr>
          <w:rFonts w:ascii="Times New Roman" w:cs="Times New Roman" w:eastAsia="Times New Roman" w:hAnsi="Times New Roman"/>
          <w:sz w:val="18"/>
          <w:szCs w:val="18"/>
          <w:color w:val="auto"/>
        </w:rPr>
      </w:pPr>
    </w:p>
    <w:p>
      <w:pPr>
        <w:ind w:left="680" w:hanging="320"/>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activities or employ practices that may harm our reputation; and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920"/>
          </w:cols>
          <w:pgMar w:left="960" w:top="877" w:right="1000" w:bottom="0" w:gutter="0" w:footer="0" w:header="0"/>
          <w:type w:val="continuous"/>
        </w:sectPr>
      </w:pPr>
    </w:p>
    <w:bookmarkStart w:id="36" w:name="page37"/>
    <w:bookmarkEnd w:id="36"/>
    <w:p>
      <w:pPr>
        <w:ind w:left="680" w:hanging="319"/>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be acquired by, or come under control of, our competitors.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third-party suppliers and manufacturers are based in China, which exposes us to risks inherent in doing business there.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use third-party suppliers and manufacturers based in China. This sourcing concentration increases our dependence of these suppliers and exposes us to the risks of doing business in China. We may have greater risks than our peers due to the concentration of our suppliers and manufacturers in China. With the rapid development of the Chinese economy, the cost of labor has increased and may continue to increase in the future. Our results of operations will be materially and adversely affected if the labor costs of our third-party suppliers increase significantly.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our suppliers may not be able to find a sufficient number of qualified workers due to the intensely competitive and fluid market for skilled labor in China. Sourcing products from China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custom duties, environmental regulations, land use rights, intellectual property, currency controls, network security, sanctions, embargoes, employee benefits and other matters. In addition, we may not obtain or retain the requisite legal permits to continue to operate in China, and costs or operational limitations may be imposed in connection with obtaining and complying with such permits. Further, Chinese trade regulations are in a state of flux, and we may become subject to other forms of taxation, tariffs and duties in these jurisdictions. Imports into the U.S. of products from China may also be subject to increased risk of seizure by Customs and Border Protection in light of enforcement directives established by the Uyghur Forced Labor Prevention Act, or UFLPA, and regulations issued pursuant to UFLPA.</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increasing the number of direct sourcing relationships with manufacturers overseas, but because our experience with direct sourcing is still relatively limited, we may be exposed to unforeseen risks that could have a material adverse effect on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an effort to address some of the challenges with our current supply chain, including pricing, geopolitical challenges, competing orders placed by other clients, and overall risks of doing business in China, we are working to strategically build upon our direct sourcing relationships with manufacturers overseas across various locations. We have some experience with direct sourcing relationships but overall, our experience is limited in comparison to our third-party supplier relationships. We may not be successful in establishing direct sourcing relationships, and we may not successfully identify the correct suppliers or countries in which to establish relationships or correct business or legal terms to govern the relationships. If we engage suppliers whose materials and/or delivery of products do not meet our quality control standards and specifications or comply with applicable laws or regulations, our operating results and reputation could be materially adversely impacted. We may not be successful in obtaining the margin benefits we are anticipating from direct sourcing, and may experience difficulties with order quantities, payment terms, quality, third-party, regulatory compliance, and customs complexities. If any of these events occur, our results of operations, financial condition, and cash flows could be materially and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suppliers to comply with product safety, labor or other laws, our Vendor and Supplier Code of Conduct, or our standard terms and conditions, or to provide safe factory conditions for their workers may damage our reputation and brand and harm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merchandise we sell to our customers is subject to regulation by the U.S. Consumer Product Safety Commission and similar state and international regulatory authorities. As a result, such merchandise could be in the future subject to recalls and other remedial actions. Product safety, labeling, and licensing concerns may require us to voluntarily remove selected merchandise from our inventory. Such recalls or voluntary removal of merchandise can result in, among other things, lost sales, diverted resources, potential harm to our reputation, and increased customer service costs and legal expenses, which could have a material adverse effect on our results of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subject to regulations related to the manufacture of the merchandise that we sell. For example, in California, we are subject to record keeping and wage guarantor obligations pursuant to SB 62 (the “Garment Worker Protection Act”), for certain items that we contract to manufacture, as well as AB 701 (the “Warehouse Quotas Law”), which requires us to ensure that quotas do not interfere with warehouse worker meal and rest periods under California’s wage orders.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920"/>
          </w:cols>
          <w:pgMar w:left="960" w:top="877" w:right="1000" w:bottom="0" w:gutter="0" w:footer="0" w:header="0"/>
          <w:type w:val="continuous"/>
        </w:sectPr>
      </w:pPr>
    </w:p>
    <w:bookmarkStart w:id="37" w:name="page38"/>
    <w:bookmarkEnd w:id="37"/>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purchase our merchandise from numerous third-party domestic and international suppliers. Failure by us or our third-party suppliers to comply with such laws and regulations, as well as with ethical, social, product, labor and environmental standards, or related political considerations, could result in the cancellation of orders by customers and termination of relationships, among other things. Some of the merchandise we sell may expose us to product liability claims and litigation or regulatory action relating to personal injury or environmental or property damage. Although we maintain liability insurance, we cannot be certain that our coverage will be adequate for liabilities actually incurred or that insurance will continue to be available to us on economically reasonable terms or at all. In addition, some of our agreements with our suppliers may not indemnify us from product liability for a particular supplier’s merchandise or our suppliers may not have sufficient resources or insurance to satisfy their indemnity and defense obligations. Our standard vendor terms and conditions require suppliers to comply with applicable laws and to warrant that the products are made without use of child labor, convict labor, indentured or bonded labor, or labor obtained through human trafficking. Our Vendor and Supplier Code of Conduct, which our vendors contractually agree to, further sets forth our baseline expectations for safe and humane factory conditions. Failure of our suppliers to comply with applicable laws, regulations and contractual requirements or to provide safe and humane factory conditions and oversight at their facilities could damage our reputation and brand and lead to legal claims against us, resulting in increased legal expenses and costs. Further,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9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upon independent third-party transportation providers for substantially all of our merchandise shipments and any disruptions or increased transportation costs could have a material adverse effect on our business, financial condition, and results of operations.</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rely upon independent third-party transportation providers for substantially all of our merchandise shipments, including shipments to all of our distribution facilities and our customers. Our shipments are subject to risks, including increases in fuel prices, which would increase our distribution costs, and employee strikes and inclement weather, which may impact the third party’s ability to provide delivery services that adequately meet our needs. For example, it can take as long as six to seven days to get shipments from our distribution facilities. If we change shipping companies, we could face logistical difficulties that could adversely impact deliveries and we would incur costs and expend resources in connection with such change. Moreover, we may not be able to obtain terms as favorable as those received from the independent third-party transportation providers we currently use, which would increase our costs. Historically, the shipping and handling fees we charge our customers are intended to partially offset the related shipping and handling expenses. Pure-play and omni-channel retailers are increasing their focus on delivery services, as customers are increasingly seeking faster, guaranteed delivery times and low-price or free shipping. To remain competitive, we may be required to offer discounted, free or other more competitive shipping options to our customers, including expedited delivery services, which may result in declines in our shipping and handling fees and increased shipping and handling expense. Any increase in shipping costs or any other significant shipping difficulties or disruptions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Taxation and Litigation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and other risks if we, our suppliers or the manufacturers of our merchandise infringe upon the trademarks, copyrights or other intellectual property rights of third parties, including the risk that we could acquire merchandise from our suppliers without the full right to sell it.</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purchase merchandise that may be subject to copyrights, design patents, trademark, trade dress or otherwise may incorporate protected intellectual property. Typically we are not involved in the manufacture of any of the merchandise that we purchase from our suppliers for sale to our customers, and we do not independently investigate whether our suppliers or the manufacturers with whom they do business hold intellectual property rights to the merchandise we purchase. Third parties have and may bring legal claims, or threaten to bring legal claims, against us that their intellectual property rights are being infringed or violated by our use of intellectual property if our suppliers or the manufacturers of our merchandise infringe upon the intellectual property rights of third parties. Litigation or threatened litigation, regardless of merit, could be costly, time consuming to defend, require us to redesign or rebrand our products or packaging, if feasible, distract our senior management from operating our business and require us to enter into royalty or licensing agreements in order to obtain the right to use a third party’s intellectual property. Any such royalty or licensing agreements, if required, may not be available to us on acceptable terms or at all. If we were to be found liable for any such infringement, we could be required to pay substantial damages which our indemnifying suppliers may not be able to fully pay, and could be subject to injunctions preventing further infringement. In addition, any payments we are required to make and any injunctions with which we are required to comply as a result of infringement claims could be costly. While our standard vendor terms and conditions require our suppliers to indemnify us against third-party intellectual property claims, certain agreements with our suppliers may not indemnify us from intellectual property claims for a particular supplier’s merchandise or our suppliers may not have sufficient resources or insurance to satisfy their indemnity</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920"/>
          </w:cols>
          <w:pgMar w:left="960" w:top="877" w:right="1000" w:bottom="0" w:gutter="0" w:footer="0" w:header="0"/>
          <w:type w:val="continuous"/>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and defense obligations. Any legal claims or litigation could have a material adverse effect on our business, financial condition, and results of operations.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third party claims to have licensing rights with respect to merchandise we purchased from a supplier, or if we acquire unlicensed merchandise, we may be obligated to remove this merchandise from our platform, incur costs associated with this removal if the distributor or supplier is unwilling or unable to reimburse us and be subject to liability under various civil and criminal causes of action, including actions to recover unpaid royalties and other damages and injunctions. Additionally, we could need to purchase new merchandise to replace any we remove. Any such events could have a material adverse effect on our business, financial condition, and results of operations.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Laws and regulations relating to the liability of providers of online services for the activities of their marketers or their social media creators and the content of their marketers' listings are currently unsettled. We could be subject to claims for defamation, negligence, copyright or trademark infringement, or claims based on other theories relating to the information we publish on our websites, or the information published across social media. These types of claims have been brought, sometimes successfully, against online services including us in the past. We may not successfully avoid civil or criminal liability for unlawful activities carried out by our marketers or our creators. Our potential liability for unlawful activities of our marketers or our creators or the content of our marketers' listings could require us to implement measures to reduce our exposure to such liability, which may require us, among other things, to spend substantial resources or to reevaluate marketing efforts. Our insurance may not adequately protect us against these types of claims and the defense of such claims may divert the attention of our management from our operations. If we are subject to such lawsuits, it may adversely affect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including geo-blocking and other geographically based restrictions, internet advertising and price display, customer protection, anti-corruption, antitrust and competition, economic and trade sanctions, tax, banking, data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severely damage our reputation and our relationship with our customers, third party partners and investors as well as decrease demand for our services, limit marketing methods and capabilities, affect our margins, increase costs or subject us to additional liabilities.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customer-generated content, user privacy, data security, behavioral targeting and online advertising, taxation, liability for third-party activities and the quality of services. Furthermore, the growth and development of e-commerce may prompt calls for more stringent customer protection laws and more aggressive enforcement efforts, which may impose additional burdens on online businesses generally.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Likewise, 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as well as specifically targeted individuals and entities that are identified on U.S. and other blacklists, and those owned by them or those acting on their behalf. Anti-corruption laws, including the U.S. Foreign Corrupt Practices Act (the “FCPA”), generally prohibit direct or indirect corrupt payments to government officials and, under certain laws, private persons to obtain or retain business or an improper business advantage.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have policies and procedures in place designed to promote compliance with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920"/>
          </w:cols>
          <w:pgMar w:left="960" w:top="877" w:right="1000" w:bottom="0" w:gutter="0" w:footer="0" w:header="0"/>
          <w:type w:val="continuous"/>
        </w:sectPr>
      </w:pPr>
    </w:p>
    <w:bookmarkStart w:id="39" w:name="page40"/>
    <w:bookmarkEnd w:id="3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expand our operations in existing and new jurisdictions internationally, we will need to increase the scope of our compliance programs to address the risks relating to the potential for violations of the FCPA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services, reduce net revenue, increase costs or subject us to additional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trademarks or other intellectual property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trademarks are integral to our business and our success in building our brand image and customer loyalty. We rely on trademark registrations and common law trademark rights to protect the distinctiveness of our brand and have registered, or have applied to register, those trademarks that we believe are important to our business with the U.S. Patent and Trademark Office and in many foreign countries. We cannot assure that our applications will be approved or that these registrations will prevent imitation of our name, merchandising concept, website design or merchandise or the infringement of our other intellectual property rights by others. Third parties may also oppose our trademark applications or otherwise challenge our use of the trademarks. In certain cases, the merchandise we sell is purchased on a non-exclusive basis from suppliers that also sell to our competitors. While we use our brand name on these items, our competitors may seek to replicate aspects of our business strategy and online experience, thereby diluting the experience we offer and adversely affecting our brand and competitive position. Imitation of our name, concept, website design or merchandise in a manner that projects lesser quality or carries a negative connotation of our brand image could have a material adverse effect on our business, financial condition,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be certain that the actions we have taken to establish, police and protect our trademarks or our resources will be adequate to prevent imitation of our merchandise by others or to prevent others from seeking to block sales of our merchandise as a violation of the trademarks or proprietary rights of others. If disputes arise in the future, we may not be able to successfully resolve these types of conflicts to our satisfaction. In the event that our trademarks are successfully challenged, we could be forced to rebrand our products, which could result in loss of brand recognition and could require us to devote resources to advertising and marketing new brands. Although we cannot currently estimate the likelihood of success of any such lawsuit or ultimate resolution of such a conflict, such a conflict, regardless of outcome, could have an adverse effect on our business, financial condition, and results of operations.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Litigation may be necessary to protect our trademarks and other intellectual property rights or to enforce these rights. Any litigation or claims brought by us could result in substantial costs and diversion of our resources,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affect our results, operations or reputation.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collect personal information and other data from our employees, customers, prospective customers and others to provide products and services, to support, expand and improve our business, and to tailor our marketing and advertising efforts. We may also share customers’ personal information with certain third parties as authorized by the customer or as described in our privacy policy. Sophisticated hackers and cybercriminals employ advanced techniques, including social engineering and automated attacks, which may evade detection for extended periods. A breach of our networks, or those of our service providers or vendors with whom we provide or grant access to information, could result in the loss of confidential business and financial data, misappropriation of personal information of customers or employees, and disruption of business operations. Such incidents could materially adversely affect our business through impaired customer relationships, loss of sales and customers, potential fines and lawsuits, significant legal and remediation costs, and damage to our brand. If we expand or enhance mobile applications or age sensitive experiences, we may be subject to additional or evolving requirements related to youth privacy, age verification and age-appropriate design, and app distribution platform policies, and any failure or perceived failure to comply could lead to enforcement actions, litigation, reputational harm, or business interruption.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are subject to an increasingly complex, and sometimes conflicting, set of legal obligations related to data protection, privacy and information security in the U.S., Europe, Canada and other countries where we do business, and there will continue to be new proposed laws and regulations and changes to existing legal frameworks that govern how we collect, use, share, and process personal data. In the U.S., multiple states have enacted, or are considering, comprehensive consumer privacy laws, that establish varying obligations and individual rights, and these laws continue to evolve rapidly. The CCPA (as amended by the CPRA), the most stringent state privacy law, grants California residents data privacy rights that include, among other things, the right to request a copy from a covered company of the personal information collected about them, the right to request deletion of such personal information, the right to request to opt-out of certain sales of such personal information as well as a private right of action for certain data breaches. The European Union adopted the GDPR and the United Kingdom enacted the UK General Data Protection Regulation (which implements the GDPR into UK law); both of which impose significant compliance requirements, including extensive documentation requirements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920"/>
          </w:cols>
          <w:pgMar w:left="960" w:top="877" w:right="1000" w:bottom="0" w:gutter="0" w:footer="0" w:header="0"/>
          <w:type w:val="continuous"/>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and granting certain rights to individuals to control how businesses collect, use, disclose, retain and leverage information about them or how they obtain consent from them. In Canada, the Personal Information Protection and Electronic Documents Act (“PIPEDA”), and various provincial laws require companies to give detailed privacy notices to consumers; obtain consent to use personal information, with limited exceptions; allow individuals to access and correct their personal information; and report certain data breaches.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failure or perceived failure by us to comply with rapidly evolving data protection laws and regulations, policies (including our own stated privacy policies), legal obligations, contractual obligations or industry standards, or any security incident that results in the unauthorized release or transfer of personally identifiable information or other customer data, may result in governmental investigations and/or enforcement actions, litigation (including customer class actions), claims by our customers and other third parties, fines, penalties and other liabilities, damage to our reputation or adverse publicity, and could cause our customers to lose trust in us, which could have a material adverse effect on our business, results of operations, financial condition,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comply with applicable laws, including a failure to use acceptable labor practices, or if our suppliers suffer disruptions in their businesses, we could suffer adverse business consequences.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suppliers source the merchandise we sell from manufacturers both inside and outside of the U.S. Although our suppliers are required to comply with all applicable laws, including labor and employment, immigration, customs, environmental and product safety, we do not own, supervise or control our suppliers or the manufacturers that produce the merchandise we sell. In the past, we have purchased merchandise from our suppliers solely within the U.S. Over the course of the last past few years, we have increased and expect to further increase direct purchases from suppliers outside the U.S., which may expose us to additional risks. The violation, or perception of any violation, of any labor, immigration, product safety, or other laws by any of our suppliers, their U.S. and non-U.S. manufacturers, or our direct suppliers, such as use of forced or child labor, or the divergence of the labor practices followed by any of our suppliers or these manufacturers from those generally accepted in the U.S., could damage our brand image or subject us to boycotts by our customers or activist groups which could have a material adverse effect on our business, financial condition, and results of operations.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event causing a sudden disruption of manufacturing or imports, including the imposition of additional import restrictions, could interrupt, or otherwise disrupt the shipment of finished products to us by our suppliers. Political and financial instability outside the U.S., strikes, adverse weather conditions or natural disasters that may occur or acts of war or terrorism in the U.S. or worldwide, may affect the production, shipment or receipt of merchandise. These factors, which are beyond our control, may require us to modify our current business practices or incur increased costs and could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including employment laws and laws related to our merchandise, could make conducting our business more expensive or otherwise cause us to change the way we do business, which could have a material adverse effect on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numerous laws and regulations, including labor and employment, truth-in-advertising, California’s Proposition 65 and other environmental laws and regulations, customer protection and zoning and occupancy laws and ordinances that regulate retailers generally or govern the promotion and sale of merchandise and the operation of warehouse facilities. If these regulations were to change or were violated by our management, employees, or suppliers, the costs of certain goods could increase, or we could experience delays in shipments of our goods, be subject to fines or penalties or suffer reputational harm, which could reduce demand for our merchandise and have a material adverse effect on our business, financial condition, and results of operations. In addition to increased regulatory compliance requirements, changes in laws could make the ordinary conduct of our business more expensive or require us to change the way we do business.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Laws related to employee benefits and treatment of employees, including laws related to limitations on employee hours, immigration laws, child labor laws, supervisory status, leaves of absence, wages, pay transparency, mandated health benefits or overtime pay, could also increase compensation and benefits costs. Moreover, changes in product safety or other customer protection laws, could lead to increased costs to us for some merchandise, or additional labor costs associated with readying merchandise for sale. It is often difficult for us to plan and prepare for potential changes to applicable laws, and future actions or increased costs related to these changes could have a material adverse effect on our business, financial condition, and results of operations.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920"/>
          </w:cols>
          <w:pgMar w:left="960" w:top="877" w:right="1000" w:bottom="0" w:gutter="0" w:footer="0" w:header="0"/>
          <w:type w:val="continuous"/>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Amendments to existing tax laws, rules or regulations or enactment of new unfavorable tax laws, rules or regulations could have an adverse effect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of the underlying laws, rules or regulations imposing taxes and other obligations were established before the growth of the internet and e-commerce. Tax authorities in non-U.S. jurisdictions and at the U.S. federal, state and local levels continue to review the appropriate treatment of companies engaged in internet commerce and consider changes to existing tax or other laws that could regulate our transmissions and/or levy sales, income, consumption, use or other taxes relating to our activities, and/or impose obligations on us to collect such taxes. We cannot predict whether such changes will occur, nor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services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financial condition, results of operations, and prospects.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various governments and intergovernmental organizations could introduce proposals for tax legislation, or adopt tax laws, that may have a significant adverse effect on our worldwide effective tax rate, or increase our tax liabilities, the carrying value of deferred tax assets, or our deferred tax liabilities. For example, the U.S. federal government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It is possible that other jurisdictions in which we operate or do business could enact tax legislation that could adversely affect us through increasing our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application of indirect taxes could adversely affect our business and results of operations.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provincial taxes, goods and services tax, business tax and gross receipt tax, to our business and to our retailers and brands is a complex and evolving issue. Significant judgment is required to evaluate applicable tax obligations. As a result, amounts recorded may be subject to adjustments by the relevant tax authorities. In many cases, the ultimate tax determination is uncertain because it is not clear how new and existing statutes might apply to our business or to the businesses of our retailers and brands. One or more states, the federal government or other countries may seek to impose additional reporting, record-keeping or indirect tax collection obligations on businesses like ours that facilitate e-commerce. For example, state and local taxing authorities in the U.S. and taxing authorities in other countries have identified e-commerce platforms as a means to calculate, collect and remit indirect taxes for transactions taking place over the internet. Multiple U.S. states have enacted related legislation and other states are now considering similar legislation. Such legislation could require us to incur substantial costs in order to comply, including costs associated with legal advice, tax calculation, collection, remittance and audit requirements, which could make selling in such markets less attractive and could adversely affect our business. In 2018, the U.S. Supreme Court held in South Dakota v. Wayfair that a U.S. state may require an online retailer to collect sales taxes imposed by that state, even if the retailer has no physical presence in that state, thus permitting a wider enforcement of such sales tax collection requirements. Most U.S. states have enacted new sales tax laws requiring remote vendors and online marketplaces to collect, remit and report sales tax. While we now collect, remit, and report sales tax in all states where we have assessed such obligation, it is still possible that one or more jurisdictions could assert that we have a liability from previous periods that could result in additional liabilities.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which requires us to conduct due diligence on and disclose whether or not our products sold during the prior fiscal year contained conflict minerals. These requirements could adversely affect the sourcing, availability, and pricing of the materials used in the manufacture of components used in our products. In addition, we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920"/>
          </w:cols>
          <w:pgMar w:left="960" w:top="873" w:right="10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 and Our Ownership Structure</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stockholders may experience significant dilution of their ownership interests. If we raise additional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or at all, our ability to continue to support our business growth and to respond to business challenges could be significantly limited and our business and prospects could fail or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principal stockholders may prevent new investors from influencing significant corporate decisions.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our executive officers, directors, and principal stockholders own, in the aggregate, approximately 75% of our outstanding common stock. These stockholders will be able to exercise significant control over all matters requiring stockholder approval, including the election of directors, amendment of our amended and restated certificate of incorporation, and approval of significant corporate transactions and will have significant control over our management and policies. This concentration of influence could be disadvantageous to other stockholders with interests different from those of our officers, directors, and principal stockholders and could have an adverse effect on the price of our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these stockholders could take actions that have the effect of delaying or preventing a change-in-control of us or discouraging others from making tender offers for our shares, which could prevent stockholders from receiving a premium for their shares. These actions may be taken even if other stockholders oppose them.</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bylaws and under Delaware law could make an acquisition of us more difficult, limit attempts by our stockholders to replace or remove our current management and limit the market price of our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80" w:right="20" w:hanging="319"/>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10,000,000 shares of undesignated preferred stock;</w:t>
      </w:r>
    </w:p>
    <w:p>
      <w:pPr>
        <w:spacing w:after="0" w:line="161" w:lineRule="exact"/>
        <w:rPr>
          <w:rFonts w:ascii="Times New Roman" w:cs="Times New Roman" w:eastAsia="Times New Roman" w:hAnsi="Times New Roman"/>
          <w:sz w:val="18"/>
          <w:szCs w:val="18"/>
          <w:color w:val="auto"/>
        </w:rPr>
      </w:pPr>
    </w:p>
    <w:p>
      <w:pPr>
        <w:jc w:val="both"/>
        <w:ind w:left="680" w:hanging="319"/>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including that entities affiliated with H.I.G Capital, LLC (“H.I.G.”), Institutional Venture Partners (“IVP”) and the Canada Pension Plan Investment Board (“CPPIB”) hold at least 50% of our common stock, require that any action to be taken by our stockholders be effected at a duly called annual or special meeting and not by written consent;</w:t>
      </w:r>
    </w:p>
    <w:p>
      <w:pPr>
        <w:spacing w:after="0" w:line="175"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a majority of our Board of Directors, the Chair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25"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920"/>
          </w:cols>
          <w:pgMar w:left="960" w:top="873" w:right="1000" w:bottom="0" w:gutter="0" w:footer="0" w:header="0"/>
          <w:type w:val="continuous"/>
        </w:sectPr>
      </w:pPr>
    </w:p>
    <w:bookmarkStart w:id="43" w:name="page44"/>
    <w:bookmarkEnd w:id="4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are incorporated in Delaware, we have opted out of the provisions of Section 203 of the Delaware General Corporation Law (the “DGCL”), which generally prohibits a Delaware corporation from engaging in any of a broad range of business combinations with any “interested” stockholder (any stockholder with 15% or more of our capital stock) for a period of three years following the date on which the stockholder became an “interested” stockholder. However, our amended and restated certificate of incorporation contains a provision that provides us with protections similar to Section 203 of the DGCL and prevent us from engaging in a business combination with a person who acquires at least 15% of our common stock for a period of three years from the date such person acquired such common stock, unless board or stockholder approval is obtained prior to the acquisition, except that it provides that H.I.G. or any affiliate thereof, or any person or entity to which any of the foregoing stockholders transfers shares of our voting stock (subject to specified exceptions), in each case regardless of the total percentage of our voting stock owned by such stockholder or such person or entity, shall not be deemed an “interested stockholder” for purposes of this provision of our amended and restated certificate of incorporation and therefore not subject to the restrictions set forth in this provision.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U.S. as the sole and exclusive forums for certain types of actions and proceedings that may be initiated by our stockholders, which could limit our stockholders’ ability to obtain a favorable judicial forum for disputes with the Company or our directors, officers, or other employees.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the Company, (2) action asserting a claim of breach of a fiduciary duty owed by any of our directors or officers to the Company or our stockholders, (3) action asserting a claim against the Company or any director or officer of the Company arising pursuant to any provision of the DGCL or our amended and restated certificate of incorporation or our amended and restated bylaws, or (4) action asserting a claim against us or any director or officer of the Company governed by the internal affairs doctrine. Additionally,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 defendant to such complaint. The choice of forum provisions would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shares of our capital stock shall be deemed to have notice of and to have consented to the forum provisions in our amended and restated certificate of incorporation. This choice-of-forum provision may limit a stockholder’s ability to bring a claim in a judicial forum that it finds favorable for disputes with us or our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These provisions may also result in increased costs for investors seeking to bring a claim against us or any of our directors, officers, or other employees.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Lulu’s Fashion Lounge Holdings, Inc. is a holding company with no operations of its own and, as such, it depends on its subsidiaries for cash to fund its operations and expenses, including future dividend payments, if any.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920"/>
          </w:cols>
          <w:pgMar w:left="960" w:top="877" w:right="1000" w:bottom="0" w:gutter="0" w:footer="0" w:header="0"/>
          <w:type w:val="continuous"/>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companies are separate legal entities, and although they are directly or indirectly wholly owned and controlled by us, they have no obligation to make any funds available to us, whether in the form of loans, dividends,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meet the Nasdaq Capital Market’s continued listing requirements and other Nasdaq rules, or we may risk delisting. Delisting could negatively affect the price of our common stock, which could make it more difficult for us to sell securities in a future financing or for stockholders to sell our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meet the continued listing requirements of Nasdaq and other Nasdaq rules, including those regarding director independence and independent committee requirements, minimum share price, minimum stockholders' equity or market capitalization, and certain other continued listing standards and corporate governance requirements.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previously failed to meet the continued listing requirements of the Nasdaq Global Market under Nasdaq rules. Specifically, we received a deficiency letter from Nasdaq on February 27, 2025 regarding not being in compliance with the minimum close bid price of $1.00 per share required for continued listing, and we received a deficiency letter on May 21, 2025 regarding not being in compliance with the minimum $10 million of stockholders' equity required for continued listing on the Nasdaq Global Market. We regained compliance with these deficiencies through our implementation of a 1-for-15 reverse stock split in July 2025 and our transfer to the Nasdaq Capital Market in June 2025, respectively. While we are currently in compliance with the continued listing requirements of the Nasdaq Capital Market, there can be no guarantee that we will be able to maintain compliance with these requirements in the future. If we are unable to maintain compliance with the continued listing requirements of the Nasdaq Capital Market in the future, our common stock could be delisted.</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common stock is delisted from Nasdaq, we and our stockholders could face significant material adverse consequences including:</w:t>
      </w:r>
    </w:p>
    <w:p>
      <w:pPr>
        <w:spacing w:after="0" w:line="162" w:lineRule="exact"/>
        <w:rPr>
          <w:sz w:val="20"/>
          <w:szCs w:val="20"/>
          <w:color w:val="auto"/>
        </w:rPr>
      </w:pPr>
    </w:p>
    <w:p>
      <w:pPr>
        <w:ind w:left="680" w:hanging="319"/>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shares;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shares;</w:t>
      </w:r>
    </w:p>
    <w:p>
      <w:pPr>
        <w:spacing w:after="0" w:line="225" w:lineRule="exact"/>
        <w:rPr>
          <w:rFonts w:ascii="Times New Roman" w:cs="Times New Roman" w:eastAsia="Times New Roman" w:hAnsi="Times New Roman"/>
          <w:sz w:val="18"/>
          <w:szCs w:val="18"/>
          <w:color w:val="auto"/>
        </w:rPr>
      </w:pPr>
    </w:p>
    <w:p>
      <w:pPr>
        <w:ind w:left="680" w:right="80" w:hanging="319"/>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shares;</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stock price will fluctuate significantly, which could cause the value of investments in our common stock to decline, and investors may not be able to resell their shares at a price at or above the price for which they purchased them.</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Securities markets worldwide and our stock price in particular have experienced significant price and volume fluctuations that have often been unrelated or disproportionate to the operating performance of those companies and our Company. The market volatility, as well as general economic, market or political conditions, could reduce the market price or demand of our common stock regardless of our results of operations. The trading price of our common stock has been volatile and subject to significant price fluctuations, as observed in the last few years. Since our reverse stock split became effective on July 7, 2025, the closing price of our common stock has ranged from $3.25 to $26.16. Our daily trading volume has ranged from fewer than 2,000 shares to approximately 23 million shares. Our common stock is likely to continue to be volatile and subject to significant price fluctuations in response to many factors, some of which may be beyond our control. These factors include, without limitation:</w:t>
      </w:r>
    </w:p>
    <w:p>
      <w:pPr>
        <w:spacing w:after="0" w:line="192" w:lineRule="exact"/>
        <w:rPr>
          <w:sz w:val="20"/>
          <w:szCs w:val="20"/>
          <w:color w:val="auto"/>
        </w:rPr>
      </w:pPr>
    </w:p>
    <w:p>
      <w:pPr>
        <w:ind w:left="680" w:hanging="319"/>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 and, in particular, in the retail sales environment;</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27" w:lineRule="exact"/>
        <w:rPr>
          <w:sz w:val="20"/>
          <w:szCs w:val="20"/>
          <w:color w:val="auto"/>
        </w:rPr>
      </w:pPr>
    </w:p>
    <w:p>
      <w:pPr>
        <w:ind w:left="680" w:firstLine="93"/>
        <w:spacing w:after="0" w:line="260" w:lineRule="auto"/>
        <w:rPr>
          <w:sz w:val="20"/>
          <w:szCs w:val="20"/>
          <w:color w:val="auto"/>
        </w:rPr>
      </w:pPr>
      <w:r>
        <w:rPr>
          <w:rFonts w:ascii="Times New Roman" w:cs="Times New Roman" w:eastAsia="Times New Roman" w:hAnsi="Times New Roman"/>
          <w:sz w:val="18"/>
          <w:szCs w:val="18"/>
          <w:color w:val="auto"/>
        </w:rPr>
        <w:t>earnings or other announcements by us or other retail apparel companies, and/or filings or public announcements by stockholders, including filings on Schedule 13D filed with the SEC;</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920"/>
          </w:cols>
          <w:pgMar w:left="960" w:top="877" w:right="1000" w:bottom="0" w:gutter="0" w:footer="0" w:header="0"/>
          <w:type w:val="continuous"/>
        </w:sectPr>
      </w:pPr>
    </w:p>
    <w:bookmarkStart w:id="45" w:name="page46"/>
    <w:bookmarkEnd w:id="45"/>
    <w:p>
      <w:pPr>
        <w:ind w:left="680" w:hanging="319"/>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quarterly results of operations, as well as differences between our actual financial results and results of operations and those expected by investors;</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 and supplier base;</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promotional events;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markets;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 and fashion trends;</w:t>
      </w:r>
    </w:p>
    <w:p>
      <w:pPr>
        <w:spacing w:after="0" w:line="225"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offerings or significant acquisitions, divestitures,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competitors;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beyond our historical average rates;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retail companies;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our prospects and the prospects of the retail industry;</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squeezes” and meme-like trading of our common stock or the common stock of companies in our industry;</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media reports, or other public forum comments related to litigation, claims, or reputational charges against us;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25"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ratings by any securities analysts who follow our common stock, our failure to meet these estimates, or the failure of those analysts to initiate or maintain coverage of our common stock;</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officers, directors, and significant stockholders;</w:t>
      </w:r>
    </w:p>
    <w:p>
      <w:pPr>
        <w:spacing w:after="0" w:line="225" w:lineRule="exact"/>
        <w:rPr>
          <w:rFonts w:ascii="Times New Roman" w:cs="Times New Roman" w:eastAsia="Times New Roman" w:hAnsi="Times New Roman"/>
          <w:sz w:val="18"/>
          <w:szCs w:val="18"/>
          <w:color w:val="auto"/>
        </w:rPr>
      </w:pPr>
    </w:p>
    <w:p>
      <w:pPr>
        <w:ind w:left="680" w:right="180" w:hanging="319"/>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labor shortages, supply chain shortages, or other economic, political or legal uncertainties or adverse developments;</w:t>
      </w:r>
    </w:p>
    <w:p>
      <w:pPr>
        <w:spacing w:after="0" w:line="161" w:lineRule="exact"/>
        <w:rPr>
          <w:rFonts w:ascii="Times New Roman" w:cs="Times New Roman" w:eastAsia="Times New Roman" w:hAnsi="Times New Roman"/>
          <w:sz w:val="18"/>
          <w:szCs w:val="18"/>
          <w:color w:val="auto"/>
        </w:rPr>
      </w:pPr>
    </w:p>
    <w:p>
      <w:pPr>
        <w:ind w:left="680" w:hanging="319"/>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and wars which could delay or disrupt our business, and if such political unrest escalates or spills over to or otherwise impacts additional regions it could heighten many of the other risk factors included in this Item 1A;</w:t>
      </w:r>
    </w:p>
    <w:p>
      <w:pPr>
        <w:spacing w:after="0" w:line="161" w:lineRule="exact"/>
        <w:rPr>
          <w:rFonts w:ascii="Times New Roman" w:cs="Times New Roman" w:eastAsia="Times New Roman" w:hAnsi="Times New Roman"/>
          <w:sz w:val="18"/>
          <w:szCs w:val="18"/>
          <w:color w:val="auto"/>
        </w:rPr>
      </w:pPr>
    </w:p>
    <w:p>
      <w:pPr>
        <w:ind w:left="680" w:right="20" w:hanging="319"/>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earthquakes, hurricanes, other natural disasters, pandemics, or responses to these events; and</w:t>
      </w:r>
    </w:p>
    <w:p>
      <w:pPr>
        <w:spacing w:after="0" w:line="161"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shares of our common stock to fluctuate substantially, which may limit or prevent investors from readily selling their shares of our common stock and may otherwise negatively affect the liquidity of our common stock. As a result of these factors, our quarterly and annual results of operations and sales may also fluctuate significantly.</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920"/>
          </w:cols>
          <w:pgMar w:left="960" w:top="877" w:right="1000" w:bottom="0" w:gutter="0" w:footer="0" w:header="0"/>
          <w:type w:val="continuous"/>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results for any one quarter are not necessarily indicative of results to be expected for any other quarter or for any year and sales for any particular future period may decrease. In the future, our results of operations may fall below the expectations of securities analysts and investors. In that event, the price of our common stock would likely decrease. In the past, when the market price of a stock has been volatile, security holders have often instituted class action litigation against the company that issued the stock. If we become involved in this type of litigation, regardless of the outcome, we could incur substantial legal costs and our management’s attention could be diverted from the operation of our business, which could have a material adverse effect on our business, financial condition, and 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There could be a material disruption to our business as a result of activist stockholders or others.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been and may be in the future subject to various legal and business challenges due to proposals or actions instituted by activist stockholders or others. For example, a stockholder filed a Schedule 13D on January 9, 2026, specifying various proposals for the Company to consider. Responding to such efforts can be costly and time-consuming, disrupt our business, and divert the attention of our Board, management, and employees from the pursuit of our business strategies. Activist stockholders or others may also cause perceived uncertainties as to the future direction of our Company or strategy which may make it more difficult to attract and retain qualified personnel and may affect our relationships with customers, suppliers, investors, and other third parties. In addition, any proxy contest or threatened proxy contest for the election of directors at our annual meeting could require us to incur significant legal and advisory fees and proxy solicitation expenses and require significant time and attention by management and our Board. Any such legal and/or business challenges instituted by activist stockholders or others or the perceived uncertainties as to our future direction also could affect the market price and volatility of our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market price and trading volume could decline if securities or industry analysts do not publish research or publish inaccurate or unfavorable research about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depend in part on the research and reports that securities or industry analysts publish about us or our business. Currently, limited analysts cover our common stock. A failure to obtain analyst coverage, or limited analyst coverage, of our common stock may mean that our price may never achieve levels that we think are fair and that our trading volume never achieves levels that are sufficient to attract additional investor interest.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more analysts begin to cover our common stock, analysts’ estimates are based upon their own opinions and are often different from the estimates or expectations of management. Analysts could downgrade our common stock or publish inaccurate or unfavorable research about our business, which would likely cause the price of our securities to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decrease significantly.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by our existing stockholders, upon the exercise of stock options granted in the future or by persons who acquired shares in our initial public offering (“IPO”) may cause the market price of our common stock to decrease significantly. 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920"/>
          </w:cols>
          <w:pgMar w:left="960" w:top="877" w:right="1000" w:bottom="0" w:gutter="0" w:footer="0" w:header="0"/>
          <w:type w:val="continuous"/>
        </w:sectPr>
      </w:pPr>
    </w:p>
    <w:bookmarkStart w:id="47" w:name="page48"/>
    <w:bookmarkEnd w:id="4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outstanding shares of common stock are “restricted securities,” as defined under Rule 144 under the Securities Act and eligible for sale in the public market subject to the requirements of Rule 144.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restrictions on resale expire or as shares are registered, our share price could drop significantly if the holders of these restricted or newly registered shares sell them or are perceived by the market as intending to sell them. These sales might also make it more difficult for us to raise capital through the sale of equity securities in the future at a time and at a price that we deem appropriate.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the 2024 Repurchase Program will enhance long-term stockholder value. Stock repurchases could also increase the volatility of the trading price of our stock and could diminish our cash reserves.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Board of Directors authorized a Stock Repurchase Program in 2024, allowing the Company to repurchase up to an aggregate amount of $2.5 million of its shares of common stock (the “2024 Repurchase Program”), the 2024 Repurchase Program does not obligate us to repurchase any specific dollar amount or to acquire any specific number of shares of common stock. The actual timing, number, and value of shares repurchased in the future will be determined by the Company in its discretion and will depend on a number of factors, including stock price, trading volume, market conditions, applicable legal requirements, our capital needs, and whether there is a better alternative use of capital. The 2024 Repurchase Program has no expiration date but it may be modified, suspended or terminated at any time, and we cannot guarantee that we will purchase shares up to the full dollar amount authorized by the 2024 Repurchase Program or that it will enhance long-term stockholder value. The failure to repurchase common stock after we have announced our intention to do so may negatively impact our reputation and investor confidence in us and may negatively affect our stock price. Furthermore, our execution of the share repurchase program could affect the trading price of our common stock and increase volatility, and any announcement of a termination of the 2024 Repurchase Program may result in a decrease in the trading price of our common stock. In addition, the 2024 Repurchase Program could diminish our cash reserves.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the ability of common stockholders to achieve a return on investment will depend on appreciation, if any, in the price of our common stock.</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Investors should not rely on an investment in our common stock to provide dividend income. Because we do not expect to pay any cash dividends for the foreseeable future, investors may be forced to sell their shares in order to realize a return on their investment, if any. We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investors in our common stock should not rely on dividends in order to receive a return on their investment.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with regard to a wide range of matters that are relevant to our business, including but not limited to revenue recognition, leases, impairment of goodwill and intangible assets, inventory, income taxes and litigation, are highly complex and involve many subjective assumptions, estimates and judgments. Changes in these rules or their interpretation or changes in underlying assumptions, estimates or judgments could significantly change or increase volatility of our reported or expected financial performance or financial condition. Refer to Note 2, Significant Accounting Policies, in the accompanying notes to our consolidated financial statements included in this Annual Report on Form 10-K for a description of recent accounting pronouncements.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incurred goodwill impairment charges in the past and may incur goodwill or intangible asset impairment charges again in the future, which could adversely affect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 indefinite-lived intangible assets, including goodwill and our tradename, for possible impairment annually, on the first day of the fourth quarter, or more frequently if events or circumstances indicate it is more likely than not that an impairment may have occurred. We evaluate long-lived assets for impairment periodically whenever events or changes in circumstances indicate that their related carrying amounts may not be recoverable. During the fourth quarter of 2024, we concluded that a sustained decline in our stock price coupled with continuing net losses were significant enough factors to warrant a quantitative assessment. As a result of the goodwill impairment test conducted in the fourth quarter ended December 29, 2024, we concluded that the carrying value of our single</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920"/>
          </w:cols>
          <w:pgMar w:left="960" w:top="877" w:right="1000" w:bottom="0" w:gutter="0" w:footer="0" w:header="0"/>
          <w:type w:val="continuous"/>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reporting unit exceeded the fair value, and a goodwill impairment charge of $28.4 million was recorded, while $7.0 million of goodwill remained on our consolidated balance sheet. No goodwill impairment was recorded for the year ended December 28, 2025.</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we could incur another impairment charge for goodwill or intangible assets in future periods if (i) overall economic conditions in fiscal 2026 or future years vary from our current assumptions; (ii) business conditions or strategies change from our current assumptions; (iii) there is further deterioration to our stock price; (iv) investors require higher rates of return on equity investments in the marketplace; or (v) enterprise values of comparable publicly traded companies, or of actual sales transactions of comparable companies, were to decline, resulting in lower comparable multiples of revenues and earnings before interest, taxes, depreciation and amortization and, accordingly, lower implied values of goodwill and intangible assets. Any future impairment charge for goodwill or intangible assets could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that could distract management from our business activities and result in significant liability or damage to our brand.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face the risk of litigation and other claims against us. Litigation and other claims may arise in the ordinary course of our business and include employee claims, commercial disputes, intellectual property issues, data protection and privacy claims, customer protection claims, and product-oriented allegations. These claims can raise complex factual and legal issues that are subject to risks and uncertainties and could require significant management time and allocation. Litigation and other claims and regulatory proceedings against us could result in unexpected expenses and liabilities,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personnel and may not be able to retain or replace these individuals or recruit additional personnel,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Changes in management, however, have the potential to disrupt our business, and any such disruption could adversely affect our operations, growth, financial condition and results of operations. Further, new members of management and the Board of Directors may have different perspectives on our operations and opportunities for our business, which may cause us to change our business plan or vision for our Company. The loss of services of these individuals or any other of our key employees could impair our ability to manage our business effectively, as we may not be able to find suitable individuals to replace them on a timely basis or at all, which could have a material adverse effect on our business, financial condition, and results of operations. In addition, any departures of key personnel could be viewed in a negative light by investors and analysts, which could cause our common stock price to decline. We do not maintain key person insurance on any employee.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senior management and the Board of Directors, we have other employees in positions responsible for our merchandising, marketing, software development, accounting, finance, information technology, and operations departments, that, if vacant, could cause a temporary disruption in our operations until such positions are filled, which could have a material adverse effect on our business, financial condition, and results of operations. Our success depends in part upon our ability to attract, motivate, and retain a sufficient number of employees who understand our business, customers, brand and corporate culture. Our planned growth will require us to hire and train even more personnel to manage such growth. If we are unable to hire and retain personnel capable of consistently performing at a high level, our ability to expand our business may be impaired.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natural disasters, public health crises, political crises, or other catastrophic events.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principal offices and one of our distribution facilities are located in California, an area which has a history of wildfires and earthquakes, and are thus vulnerable to damage. We have a second distribution facility in Pennsylvania. Natural disasters, such as earthquakes, wildfires, hurricanes, tornadoes, floods, and other adverse weather and climate conditions; unforeseen public health crises, such as pandemics and epidemics; political crises, such as terrorist attacks, war, and other political instability; or other catastrophic events, whether occurring in the U.S. or internationally, could disrupt our operations in any of our offices and distribution facilities or the operations of one or more of our third-party providers or suppliers. For example, in January 2025, there were major wildfires in the Los Angeles area that impacted some of our employees. There have also been wildfires near our principal office. In particular, these types of events could impact our merchandise supply chain, including our ability to ship merchandise to customers from or to the impacted region, our suppliers’ ability to ship merchandise or our ability to operate our platform. In addition, these types of events could negatively impact customer spending in the impacted regions. Sales of certain seasonal apparel items are dependent in part on the weather and may decline when weather conditions do not favor the use of this apparel. To the extent any of these events occur, our business and results of operations could be adversely affected.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920"/>
          </w:cols>
          <w:pgMar w:left="960" w:top="877" w:right="1000" w:bottom="0" w:gutter="0" w:footer="0" w:header="0"/>
          <w:type w:val="continuous"/>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increased focus by governmental and non-governmental organizations, customers, consumers and investors on sustainability issues, including those related to climate change, may adversely affect our business and financial results and damage our reputation.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could be adversely affected by climate change and the adoption of new climate change related laws, policies and regulations. Certain concerns about climate change and greenhouse gas emissions have led to the adoption of various regulations and policies, including the Paris Agreement negotiated at the 2015 United Nations Conference on Climate Change. Climate change may impact our business in numerous ways. For example, governments may impose additional legal requirements and/or impose new taxes to finance efforts to reduce the impact of climate change, which may increase shipping and freight costs and prices for our products. We also face the risk that governmental or non-governmental organizations may increase their focus on the fashion sector and implement greater environmental regulation on the fashion sector in the U.S. or the fashion sector in other markets. For example, the fashion industry’s process for dying fabrics uses large quantities of water, and the disposition of the waste water is often regulated and may affect the environment. Increased scrutiny and regulation of this practice may adversely affect our business. If we or our suppliers are required to comply with new or additional legislation and regulations to mitigate or reduce the potential impact of climate change, or if we choose to take voluntary steps to mitigate or reduce such potential impact, we may experience increases in raw material costs, energy, production, transportation, capital expenditures, insurance premiums and deductibles, which could adversely impact our business or results of operations. Inconsistency of legislation and regulations among jurisdictions may also adversely affect the costs of compliance with such laws and regulations. Any assessment of the potential impact of future climate change legislation, regulations, or industry standards, as well as any international treaties and accords, is uncertain given the breadth of potential regulatory change in the countries in which we operate. Additionally, some scientists have concluded that increasing concentrations of greenhouse gases in the earth’s atmosphere may produce climate changes that have significant physical effects, such as increased frequency and severity of storms, droughts, floods and other climatic events. Increased frequency of extreme weather could cause increased incidence of disruption to the production and distribution of our products and an adverse impact on consumer demand and spending. If any such climate changes or additional climate change were to occur, they could have an adverse effect on our financial condition and results of operations.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related to their ESG practices and reporting. Certain investors, customers, employees and other stakeholders have focused on ESG practices and placed importance on the implications and social cost of their investments, purchases and other interactions with companies. With this increased focus and demand, public reporting regarding ESG practices has become more broadly expected and required in certain circumstances.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Conversely, in recent years “anti-ESG” sentiment has gained momentum across the U.S., with several states and Congress having proposed or enacted “anti-ESG” policies, legislation, or initiatives or issued related legal opinions, and the Trump Administration having recently issued an executive order opposing diversity equity and inclusion (“DEI”) initiatives in the private sector. Such anti-ESG and anti-DEI-related policies, legislation, initiatives, litigation, legal opinions and scrutiny could result in additional compliance obligations becoming the subject of investigations and enforcement actions or sustaining reputational harm. If our ESG practices and reporting do not meet investor, customer or employee expectations, which continue to evolve, our brand, reputation and customer retention may be negatively impacted.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achieve any ESG objective or goal, and accurately and transparently report our progress is subject to numerous operational, financial, legal and other risks, many of which are dependent on the actions of third parties and outside of our control. Examples of such risks include:</w:t>
      </w:r>
    </w:p>
    <w:p>
      <w:pPr>
        <w:spacing w:after="0" w:line="176" w:lineRule="exact"/>
        <w:rPr>
          <w:sz w:val="20"/>
          <w:szCs w:val="20"/>
          <w:color w:val="auto"/>
        </w:rPr>
      </w:pPr>
    </w:p>
    <w:p>
      <w:pPr>
        <w:ind w:left="1000" w:hanging="316"/>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low- or non-carbon-based energy sources;</w:t>
      </w:r>
    </w:p>
    <w:p>
      <w:pPr>
        <w:spacing w:after="0" w:line="225" w:lineRule="exact"/>
        <w:rPr>
          <w:rFonts w:ascii="Times New Roman" w:cs="Times New Roman" w:eastAsia="Times New Roman" w:hAnsi="Times New Roman"/>
          <w:sz w:val="18"/>
          <w:szCs w:val="18"/>
          <w:color w:val="auto"/>
        </w:rPr>
      </w:pPr>
    </w:p>
    <w:p>
      <w:pPr>
        <w:ind w:left="1000" w:hanging="316"/>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affecting ESG standards or disclosures;</w:t>
      </w:r>
    </w:p>
    <w:p>
      <w:pPr>
        <w:spacing w:after="0" w:line="225" w:lineRule="exact"/>
        <w:rPr>
          <w:rFonts w:ascii="Times New Roman" w:cs="Times New Roman" w:eastAsia="Times New Roman" w:hAnsi="Times New Roman"/>
          <w:sz w:val="18"/>
          <w:szCs w:val="18"/>
          <w:color w:val="auto"/>
        </w:rPr>
      </w:pPr>
    </w:p>
    <w:p>
      <w:pPr>
        <w:ind w:left="1000" w:hanging="316"/>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suppliers that can meet our ESG standards;</w:t>
      </w:r>
    </w:p>
    <w:p>
      <w:pPr>
        <w:spacing w:after="0" w:line="225" w:lineRule="exact"/>
        <w:rPr>
          <w:rFonts w:ascii="Times New Roman" w:cs="Times New Roman" w:eastAsia="Times New Roman" w:hAnsi="Times New Roman"/>
          <w:sz w:val="18"/>
          <w:szCs w:val="18"/>
          <w:color w:val="auto"/>
        </w:rPr>
      </w:pPr>
    </w:p>
    <w:p>
      <w:pPr>
        <w:ind w:left="1000" w:hanging="316"/>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develop and retain talent in our labor markets; and</w:t>
      </w:r>
    </w:p>
    <w:p>
      <w:pPr>
        <w:spacing w:after="0" w:line="225" w:lineRule="exact"/>
        <w:rPr>
          <w:rFonts w:ascii="Times New Roman" w:cs="Times New Roman" w:eastAsia="Times New Roman" w:hAnsi="Times New Roman"/>
          <w:sz w:val="18"/>
          <w:szCs w:val="18"/>
          <w:color w:val="auto"/>
        </w:rPr>
      </w:pPr>
    </w:p>
    <w:p>
      <w:pPr>
        <w:ind w:left="1000" w:hanging="316"/>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organic growth and acquisitions or dispositions of businesses or operations.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920"/>
          </w:cols>
          <w:pgMar w:left="960" w:top="873" w:right="1000" w:bottom="0" w:gutter="0" w:footer="0" w:header="0"/>
          <w:type w:val="continuous"/>
        </w:sectPr>
      </w:pPr>
    </w:p>
    <w:bookmarkStart w:id="50" w:name="page51"/>
    <w:bookmarkEnd w:id="5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fail, or are perceived to be failing, to meet the objectives, goals or standards included in any sustainability disclosure or the expectations of our various stakeholders or if we are perceived to have not responded appropriately by certain parties, it could negatively impact our reputation, customer acquisition and retention, access to capital and employee retention. In addition, in recent years, investor advocacy groups and certain institutional investors have placed importance on ESG matters. If, as a result of their assessment of our ESG practices, certain investors are unsatisfied with our actions or progress, they may reconsider their investment in our company. As the nature, scope and complexity of ESG reporting, diligence and disclosure requirements evolve, including the State of California’s requirements regarding, among other matters, GHG emissions related reporting and/or climate financial risk disclosure, we may have to undertake additional costs to control, assess and report on ESG metrics. Any failure or perceived failure, whether or not valid, to pursue or fulfill our ESG goals, targets and objectives or to satisfy various ESG reporting standards within the timelines we announce, or at all, could increase the risk of litigation.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smaller reporting company, and non-accelerated filer, and the reduced disclosure requirements applicable to these statuses may make our common stock less attractive to investors.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and non-accelerated filer as defined in the rules under the Exchange Act. Under the JOBS Act, emerging growth companies can delay adopting new or revised financial accounting standards until such time as those standards apply to private companies. We intend to take advantage of the extended transition period for adopting new or revised financial accounting standards under the JOBS Act as an emerging growth company.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and/or both a smaller reporting company and non-accelerated filer, we may also take advantage of other exemptions from certain reporting requirements that are applicable to other public companies, including not being required to comply with the auditor attestation requirements of Section 404(b) of the Sarbanes-Oxley Act, exemption from any rules that may be adopted by the Public Company Accounting Oversight Board requiring mandatory audit firm rotations or a supplement to the report of independent registered public accounting firm, reduced disclosure obligations regarding executive compensation in our periodic reports and proxy statements, exemptions from the requirements of holding a nonbinding advisory vote on executive compensation and any golden parachute arrangements, and reduced financial reporting requirements. Investors may find our common stock less attractive because we will rely on these exemptions, which could result in a less active trading market for our common stock, increased price fluctuation, and a decrease in the trading price of our common stock.</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following the fifth anniversary of our IPO, or (2) the last day of the fiscal year in which we have total annual gross revenue of at least $1.235 billion, or (3) the last day of the fiscal year in which we are deemed to be a “large accelerated filer,” as defined in the rules under the Exchange Act, or (4) the date on which we have issued more than $1.0 billion in non-convertible debt during the prior three-year period. We will no longer qualify as an emerging growth company as of the end of fiscal 2026, but will remain a smaller reporting company until our outstanding common stock held by nonaffiliates has a value of $250 million or more at the end of a second fiscal quarter and will remain a non-accelerated filer until we have a public float of $75 million or more at the end of a second fiscal quarter.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 over financial reporting in accordance with Section 404 of the Sarbanes-Oxley Act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privately held company, we were not required to evaluate our internal control over financial reporting in a manner that meets the standards of publicly traded companies required by Section 404(a) of the Sarbanes-Oxley Act. Section 404 of the Sarbanes-Oxley Act requires annual management assessments of the effectiveness of our internal control over financial reporting, starting with the second annual report that we filed with the SEC as a public company, and generally requires in the same report a report by our independent registered public accounting firm on the effectiveness of our internal control over financial reporting. However, under the JOBS Act, our independent registered public accounting firm is not required to attest to the effectiveness of our internal control over financial reporting pursuant to Section 404(b) of the Sarbanes-Oxley Act until we are no longer an emerging growth company, or if no longer an emerging growth company, so long as we are both a smaller reporting company and non-accelerated filer.</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Once we are no longer an emerging growth company or both a smaller reporting company and non-accelerated filer,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and the incurrence of significant additional expenditures. Testing and maintaining internal controls may divert our management’s attention from other matters that are important to our business.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920"/>
          </w:cols>
          <w:pgMar w:left="960" w:top="877" w:right="1000" w:bottom="0" w:gutter="0" w:footer="0" w:header="0"/>
          <w:type w:val="continuous"/>
        </w:sectPr>
      </w:pPr>
    </w:p>
    <w:bookmarkStart w:id="51" w:name="page52"/>
    <w:bookmarkEnd w:id="5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We may not be able to conclude on an ongoing basis that we have effective internal control over financial reporting in accordance with Section 404. If we are unable to conclude that we have effective internal control over financial reporting, investors may lose confidence in our reported financial information, which could have a material adverse effect on the trading price of our common stock, and we could become subject to litigation or investigations by Nasdaq, the SEC, or other regulatory authorities, which could require additional financial and management resources.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that we were not required to incur in the recent past, particularly after we are no longer (i) an emerging growth company as defined under the JOBS Act; or (ii) both a smaller reporting company and non-accelerated filer as defined in the rules under the Exchange Act. We are required to file with the SEC annual and quarterly information and other reports that are specified in Section 13 of the Exchange Act. We are also required to ensure that we have the ability to prepare financial statements that are fully compliant with all SEC reporting requirements on a timely basis. We are also subject to other reporting and corporate governance requirements, including the requirements of Nasdaq, and certain provisions of the Sarbanes-Oxley Act, including Section 404 relating to internal control over financial reporting, and the regulations promulgated thereunder, which impose significant compliance obligations upon us. As a public company, among other things, we have to:</w:t>
      </w:r>
    </w:p>
    <w:p>
      <w:pPr>
        <w:spacing w:after="0" w:line="188" w:lineRule="exact"/>
        <w:rPr>
          <w:sz w:val="20"/>
          <w:szCs w:val="20"/>
          <w:color w:val="auto"/>
        </w:rPr>
      </w:pPr>
    </w:p>
    <w:p>
      <w:pPr>
        <w:ind w:left="680" w:hanging="319"/>
        <w:spacing w:after="0" w:line="184" w:lineRule="auto"/>
        <w:tabs>
          <w:tab w:leader="none" w:pos="680" w:val="left"/>
        </w:tabs>
        <w:numPr>
          <w:ilvl w:val="0"/>
          <w:numId w:val="2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prepare and distribute periodic public reports and other stockholder communications in compliance with our obligations under the federal securities laws and applicable Nasdaq rules;</w:t>
      </w:r>
    </w:p>
    <w:p>
      <w:pPr>
        <w:spacing w:after="0" w:line="279" w:lineRule="exact"/>
        <w:rPr>
          <w:rFonts w:ascii="Times New Roman" w:cs="Times New Roman" w:eastAsia="Times New Roman" w:hAnsi="Times New Roman"/>
          <w:sz w:val="34"/>
          <w:szCs w:val="34"/>
          <w:color w:val="auto"/>
          <w:vertAlign w:val="subscript"/>
        </w:rPr>
      </w:pPr>
    </w:p>
    <w:p>
      <w:pPr>
        <w:ind w:left="680" w:hanging="319"/>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majority independent Board of Directors and maintain certain committees of the board;</w:t>
      </w:r>
    </w:p>
    <w:p>
      <w:pPr>
        <w:spacing w:after="0" w:line="387"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comprehensive financial reporting and disclosure compliance functions;</w:t>
      </w:r>
    </w:p>
    <w:p>
      <w:pPr>
        <w:spacing w:after="0" w:line="387"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investor relations function;</w:t>
      </w:r>
    </w:p>
    <w:p>
      <w:pPr>
        <w:spacing w:after="0" w:line="387"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as necessary internal policies, including those relating to disclosure controls and procedures; and</w:t>
      </w:r>
    </w:p>
    <w:p>
      <w:pPr>
        <w:spacing w:after="0" w:line="306"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activities listed above.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changes have required a significant commitment of additional resources and many of our competitors have complied with these obligations longer than we have. We may not be successful in continuing to comply with these obligations and the significant commitment of resources required for complying with them could have a material adverse effect on our business, financial condition, and results of operations. In addition, if we fail to comply with the requirements with respect to our internal accounting and audit functions, including the requirement that management assess the effectiveness of our internal control over financial reporting, our ability to report our results of operations on a timely and accurate basis could be impaired and we could suffer adverse regulatory consequences or violate Nasdaq listing standards. There could also be a negative reaction in the financial markets due to a loss of investor confidence in us and the reliability of our consolidated financial statements, which could have a material adverse effect on our business, financial condition, and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changes necessitated by becoming a public company has required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920"/>
          </w:cols>
          <w:pgMar w:left="960" w:top="877" w:right="1000" w:bottom="0" w:gutter="0" w:footer="0" w:header="0"/>
          <w:type w:val="continuous"/>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errors in, and be required to restate, our consolidated financial statements. Any such restatement could result in a loss of public confidence in the reliability of our consolidated financial statements and sanctions imposed on us by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global health emergency, epidemic or pandemic could have a material adverse effect on our business.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global health emergency, epidemic or pandemic could have an adverse effect on our business, results of operations, and financial condition due to the occurrence of some or all of the following events or circumstances, among others:</w:t>
      </w:r>
    </w:p>
    <w:p>
      <w:pPr>
        <w:spacing w:after="0" w:line="162" w:lineRule="exact"/>
        <w:rPr>
          <w:sz w:val="20"/>
          <w:szCs w:val="20"/>
          <w:color w:val="auto"/>
        </w:rPr>
      </w:pPr>
    </w:p>
    <w:p>
      <w:pPr>
        <w:ind w:left="680" w:hanging="319"/>
        <w:spacing w:after="0" w:line="261"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suppliers’, logistics providers’, and other business partners’ inability to manage our or their business effectively;</w:t>
      </w:r>
    </w:p>
    <w:p>
      <w:pPr>
        <w:ind w:left="680" w:hanging="319"/>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available credit;</w:t>
      </w:r>
    </w:p>
    <w:p>
      <w:pPr>
        <w:spacing w:after="0" w:line="9"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customer demand for our products;</w:t>
      </w:r>
    </w:p>
    <w:p>
      <w:pPr>
        <w:spacing w:after="0" w:line="9" w:lineRule="exact"/>
        <w:rPr>
          <w:rFonts w:ascii="Times New Roman" w:cs="Times New Roman" w:eastAsia="Times New Roman" w:hAnsi="Times New Roman"/>
          <w:sz w:val="18"/>
          <w:szCs w:val="18"/>
          <w:color w:val="auto"/>
        </w:rPr>
      </w:pPr>
    </w:p>
    <w:p>
      <w:pPr>
        <w:ind w:left="680" w:hanging="319"/>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inventory shortages caused by difficulties in predicting demand for our products and services and longer lead-times due to import/export conditions such as port congestion, and local government orders; and</w:t>
      </w:r>
    </w:p>
    <w:p>
      <w:pPr>
        <w:ind w:left="680" w:hanging="319"/>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significant increases to employee healthcare and benefits costs.</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it remains uncertain how a global health emergency, an epidemic, or pandemic could impact our supply chain, consumer demand for our products and services, and consumer preferences generally.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 cross-departmental approach to addressing cybersecurity risk, including input from our Board of Directors (the “Board”), Audit Committee, employees and third-party experts. The Board, Audit Committee, and senior management devote significant resources to cybersecurity and risk management processes to adapt to the changing cybersecurity landscape and respond to emerging threats in a timely and effective manner. We regularly assess the threat landscape and take a holistic view of cybersecurity risks, with a layered cybersecurity strategy based on prevention, detection and mitigation. Our information technology (“IT”) team reviews cybersecurity risks periodically, and we have a set of Company-wide policies and procedures concerning cybersecurity matters, including policies related to encryption standards, remote access, multi factor authentication, confidential information, the use of the internet, social media, email and wireless devices and incident response. These policies go through an internal review process by members of management and appropriate Board committees, as applicable.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President and Chief Information Officer, who has a Certified Chief Information Security Officer certification and over a decade of experience leading information and cyber security oversight, is responsible for developing and implementing our information security program, overseeing our IT team and reporting on cybersecurity matters to the Audit Committee. We view cybersecurity as a shared responsibility, and we consult with third-party resources and advisors as needed on information security maturity assessments, penetration testing, dark web reviews, best practices to address new challenges, and, when applicable, digital forensics. All employees are required to complete annual information security trainings and have access to more frequent online information security trainings.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continue to prioritize our investments in IT security, including additional end-user training, using layered defenses, identifying and protecting critical assets, strengthening monitoring and alerting capabilities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Further, we conduct periodic external penetration tests, bug bounty hackathons and maturity assessments to assess our processes and procedures and the threat landscape. These tests and assessments are useful tools for maintaining a robust cybersecurity program to protect our investors, customers, employees, vendors and intellectual property.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previously had a Technology and Innovation Committee which oversaw jointly, alongside the Audit Committee, matters of technology, innovation, cybersecurity and information security. The Technology and Innovation Committee was dissolved in September 2024 as part of the Company’s Board restructuring and its responsibilities were redistributed to the Audit Committee. The Audit Committee and the full Board actively participate in discussions with management and amongst themselves regarding cybersecurity risks. The Audit Committee receives quarterly cybersecurity reports, which include a review of key performance indicators, test results and related remediation, and recent threats and how the Company is managing those threats. The Audit Committee</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920"/>
          </w:cols>
          <w:pgMar w:left="960" w:top="877" w:right="1000" w:bottom="0" w:gutter="0" w:footer="0" w:header="0"/>
          <w:type w:val="continuous"/>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oversees cybersecurity disclosures and receives periodic reports from management and the IT team. Further, the Audit Committee periodically discusses the Company’s actions to identify and detect threats, as well as its cybersecurity strategic roadmap.</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fiscal year ended December 28,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For additional information about these risks, see “Risks Related to Our Technology Infrastructure” in Item 1A-Risk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own any real property. Our corporate headquarters are located in a leased facility in Chico, California, which lease will terminate on May 31, 2026. In early 2026, we entered into a lease agreement for a new facility in Chico, California, which will become our new corporate headquarters, effective May 15, 2026. We also operate leased facilities in Los Angeles, California, which are primarily used for office, studio and in-person events. We operate two leased distribution facilities: a facility located in Easton, Pennsylvania; and a facility located in Ontario, California. In early 2025, we consolidated two of our distribution facilities by moving operations from our former distribution facility in Chico, California to our existing distribution facility in Ontario, California. We carefully evaluate our leased space needs and adjust our leases accordingly as they approach renewal or expiration.</w:t>
      </w:r>
    </w:p>
    <w:p>
      <w:pPr>
        <w:spacing w:after="0" w:line="187"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 xml:space="preserve">See Note 6, </w:t>
      </w:r>
      <w:r>
        <w:rPr>
          <w:rFonts w:ascii="PMingLiU" w:cs="PMingLiU" w:eastAsia="PMingLiU" w:hAnsi="PMingLiU"/>
          <w:sz w:val="18"/>
          <w:szCs w:val="18"/>
          <w:i w:val="1"/>
          <w:iCs w:val="1"/>
          <w:color w:val="auto"/>
        </w:rPr>
        <w:t>/HDVHV</w:t>
      </w:r>
      <w:r>
        <w:rPr>
          <w:rFonts w:ascii="Times New Roman" w:cs="Times New Roman" w:eastAsia="Times New Roman" w:hAnsi="Times New Roman"/>
          <w:sz w:val="18"/>
          <w:szCs w:val="18"/>
          <w:color w:val="auto"/>
        </w:rPr>
        <w:t xml:space="preserve"> of the accompanying notes to our consolidated financial statements included elsewhere within this Annual Report on Form 10-K for additional information on our leases.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3"/>
                <w:szCs w:val="13"/>
                <w:color w:val="auto"/>
              </w:rPr>
            </w:pPr>
          </w:p>
        </w:tc>
        <w:tc>
          <w:tcPr>
            <w:tcW w:w="504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40" w:type="dxa"/>
            <w:vAlign w:val="bottom"/>
            <w:gridSpan w:val="2"/>
            <w:vMerge w:val="continue"/>
          </w:tcPr>
          <w:p>
            <w:pPr>
              <w:spacing w:after="0"/>
              <w:rPr>
                <w:sz w:val="15"/>
                <w:szCs w:val="15"/>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140" w:type="dxa"/>
            <w:vAlign w:val="bottom"/>
            <w:tcBorders>
              <w:top w:val="single" w:sz="8" w:color="DDDDDD"/>
            </w:tcBorders>
            <w:shd w:val="clear" w:color="auto" w:fill="DDDDDD"/>
          </w:tcPr>
          <w:p>
            <w:pPr>
              <w:spacing w:after="0"/>
              <w:rPr>
                <w:sz w:val="18"/>
                <w:szCs w:val="18"/>
                <w:color w:val="auto"/>
              </w:rPr>
            </w:pPr>
          </w:p>
        </w:tc>
        <w:tc>
          <w:tcPr>
            <w:tcW w:w="488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Current Corporate Headquarters (expires May 31, 2026)</w:t>
            </w:r>
          </w:p>
        </w:tc>
        <w:tc>
          <w:tcPr>
            <w:tcW w:w="160" w:type="dxa"/>
            <w:vAlign w:val="bottom"/>
            <w:tcBorders>
              <w:top w:val="single" w:sz="8" w:color="DDDDDD"/>
            </w:tcBorders>
            <w:shd w:val="clear" w:color="auto" w:fill="DDDDDD"/>
          </w:tcPr>
          <w:p>
            <w:pPr>
              <w:spacing w:after="0"/>
              <w:rPr>
                <w:sz w:val="18"/>
                <w:szCs w:val="18"/>
                <w:color w:val="auto"/>
              </w:rPr>
            </w:pPr>
          </w:p>
        </w:tc>
        <w:tc>
          <w:tcPr>
            <w:tcW w:w="13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Chico, California</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Future Corporate Headquarters (effective May 15,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518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Office, studio and event space</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Ontario, California</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Distribution facility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Easton, Pennsylvania</w:t>
            </w:r>
          </w:p>
        </w:tc>
        <w:tc>
          <w:tcPr>
            <w:tcW w:w="518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Distribution facility</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258,200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920"/>
          </w:cols>
          <w:pgMar w:left="960" w:top="877" w:right="1000" w:bottom="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600"/>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“LVLU” and began trading on the Nasdaq Global Market on November 11, 2021.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11, 2025, the Company’s Board of Directors approved a 1-for-15 reverse stock split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one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have been retroactively adjusted to reflect this Reverse Stock Split, as applicable. The Reverse Stock Split was effective for purposes of trading on the Nasdaq Capital Market as of the opening of business on July 7,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Nasdaq Continued Listing Standards and Transfer to Nasdaq Capital Market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27, 2025, the Company received notice from Nasdaq that we were not in compliance with the Nasdaq Global Market’s Listing Rule 5450(a)(1) because our common stock had failed to maintain a minimum bid price of $1.00 per share for a period of thirty</w:t>
      </w:r>
    </w:p>
    <w:p>
      <w:pPr>
        <w:jc w:val="both"/>
        <w:ind w:firstLine="10"/>
        <w:spacing w:after="0" w:line="253" w:lineRule="auto"/>
        <w:tabs>
          <w:tab w:leader="none" w:pos="3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business days. On May 21, 2025, the Company received another notice from Nasdaq that we were not in compliance with Nasdaq Global Market’s Listing Rule 5450(b)(1) because the Company’s stockholders’ equity as reported in the Company’s Quarterly Report on Form 10-Q for the period ended March 30, 2025 was approximately $6.6 million, which was below the minimum requirement of $10 million.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27, 2025, the Company submitted an application for a transfer from the Nasdaq Global Market to the Nasdaq Capital Market, which was approved and became effective as of the opening of business on June 10, 2025. The transfer to the Nasdaq Capital Market addressed the deficiency with the minimum stockholders’ equity. On July 21, 2025, the Company received notice from Nasdaq that we had also regained compliance with the minimum bid price requirement set forth in Nasdaq Listing Rule 5550(a)(2) for continued listing on the Nasdaq Capital Market based on the closing bid price of our common stock being at $1.00 per share or greater for the 10 consecutive business days from July 7 to July 18,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continues to trade under the same symbol “LVLU”.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Broadridge Corporate Issuer Solutions, Inc. is the transfer agent and registrar for our common stock. As of March 20, 2026, there were 17 registered stockholders of record of our common stock. The actual number of stockholders is greater than this number and includes stockholders whose shares are held in street name by brokers and other nominees, and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future ability to pay cash dividends on our capital stock is limited by the terms of our 2025 Credit Agreement and may be limited by any future debt instruments or preferred securities.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920"/>
          </w:cols>
          <w:pgMar w:left="960" w:top="873" w:right="100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 Use of Proceeds from 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21212"/>
        </w:rPr>
        <w:t>Recent Sales of Unregistered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121212"/>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21212"/>
        </w:rPr>
        <w:t>Issuer Purchases of Equity Securities by the Issuer and Affiliated Purchasers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8, 2024, the Company's Board of Directors announced that it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During the thirteen weeks ended December 28, 2025, no shares were repurchased pursuant to the Company’s 2024 Repurchase Program. As of December 28, 2025, $1.1 million remained available under the 2024 Repurchase Program authorization.</w:t>
      </w:r>
    </w:p>
    <w:p>
      <w:pPr>
        <w:sectPr>
          <w:pgSz w:w="11880" w:h="15480" w:orient="portrait"/>
          <w:cols w:equalWidth="0" w:num="1">
            <w:col w:w="9920"/>
          </w:cols>
          <w:pgMar w:left="960" w:top="108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920"/>
          </w:cols>
          <w:pgMar w:left="960" w:top="1089" w:right="10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27" w:lineRule="exact"/>
        <w:rPr>
          <w:sz w:val="20"/>
          <w:szCs w:val="20"/>
          <w:color w:val="auto"/>
        </w:rPr>
      </w:pPr>
      <w:r>
        <w:rPr>
          <w:rFonts w:ascii="PMingLiU" w:cs="PMingLiU" w:eastAsia="PMingLiU" w:hAnsi="PMingLiU"/>
          <w:sz w:val="13"/>
          <w:szCs w:val="13"/>
          <w:i w:val="1"/>
          <w:iCs w:val="1"/>
          <w:color w:val="auto"/>
        </w:rPr>
        <w:t>&lt;RX VKRXOG UHDG WKH IROORZLQJ GLVFXVVLRQ DQG DQDO\VLV RI RXU ILQDQFLDO FRQGLWLRQ DQG UHVXOWV RI RSHUDWLRQV WRJHWKHU ZLWK RXU FRQVROLGDWHGILQDQFLDOVWDWHPHQWVDQGUHODWHGQRWHVLQFOXGHGHOVHZKHUHLQWKLV$QQXDO5HSRUWRQ)RUP.7KLVGLVFXVVLRQFRQWDLQV</w:t>
      </w:r>
    </w:p>
    <w:p>
      <w:pPr>
        <w:jc w:val="both"/>
        <w:spacing w:after="0" w:line="216" w:lineRule="exact"/>
        <w:rPr>
          <w:sz w:val="20"/>
          <w:szCs w:val="20"/>
          <w:color w:val="auto"/>
        </w:rPr>
      </w:pPr>
      <w:r>
        <w:rPr>
          <w:rFonts w:ascii="PMingLiU" w:cs="PMingLiU" w:eastAsia="PMingLiU" w:hAnsi="PMingLiU"/>
          <w:sz w:val="13"/>
          <w:szCs w:val="13"/>
          <w:i w:val="1"/>
          <w:iCs w:val="1"/>
          <w:color w:val="auto"/>
        </w:rPr>
        <w:t>IRUZDUGORRNLQJVWDWHPHQWVEDVHGXSRQFXUUHQWSODQVH[SHFWDWLRQVDQGEHOLHIVLQYROYLQJULVNVDQGXQFHUWDLQWLHV2XUDFWXDOUHVXOWVPD\ GLIIHU PDWHULDOO\ IURP WKRVH DQWLFLSDWHG LQ WKHVH IRUZDUGORRNLQJ VWDWHPHQWV DV D UHVXOW RI YDULRXV IDFWRUV LQFOXGLQJ WKRVH VHW IRUWK LQ 3DUW,³,WHP$5LVN)DFWRUV´DQGRWKHUIDFWRUVVHWIRUWKLQRWKHUSDUWVRIWKLV$QQXDO5HSRUWRQ)RUP.'LVFXVVLRQRIWKH\HDUWR \HDUFRPSDULVRQVEHWZHHQDQGFDQEHIRXQGLQ³0DQDJHPHQW¶V'LVFXVVLRQDQG$QDO\VLVRI)LQDQFLDO&amp;RQGLWLRQDQG5HVXOWV RI2SHUDWLRQV´LQ3DUW,,,WHPRIWKH&amp;RPSDQ\¶V$QQXDO5HSRUWRQ)RUP.IRUWKHILVFDO\HDUHQGHG'HFHPEHU</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world-class personal stylists, bridal concierge, and customer care team provide thoughtful, personalized service to shoppers around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Permanent Chief Financial Officer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3, 2026, the Company appointed Heidi Crane as its permanent Chief Financial Officer (“CFO”), effective February 4, 2026 (“CFO Effective Date”). Ms. Crane served as the Company’s fractional CFO beginning in October 2025. Upon the CFO Effective Date, Ms. Crane transitioned to a full-time employee of the Company, as well as its principal financial officer and principal accounting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Trends 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tariffs or bans, world events, wars and domestic and international conflicts, existing and future laws, regulations and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PMingLiU" w:cs="PMingLiU" w:eastAsia="PMingLiU" w:hAnsi="PMingLiU"/>
          <w:sz w:val="18"/>
          <w:szCs w:val="18"/>
          <w:i w:val="1"/>
          <w:iCs w:val="1"/>
          <w:color w:val="auto"/>
        </w:rPr>
        <w:t>'HEW</w:t>
      </w:r>
      <w:r>
        <w:rPr>
          <w:rFonts w:ascii="Times New Roman" w:cs="Times New Roman" w:eastAsia="Times New Roman" w:hAnsi="Times New Roman"/>
          <w:sz w:val="18"/>
          <w:szCs w:val="18"/>
          <w:color w:val="auto"/>
        </w:rPr>
        <w:t>.</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920"/>
          </w:cols>
          <w:pgMar w:left="960" w:top="873" w:right="1000" w:bottom="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and analyze operating and financial data to assess the performance of our business and optimize resource allocation. The following table sets forth our key performance indicators for the periods presented (in thousands, except for percentages and Average Order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02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43.2 %</w:t>
            </w:r>
          </w:p>
        </w:tc>
        <w:tc>
          <w:tcPr>
            <w:tcW w:w="340" w:type="dxa"/>
            <w:vAlign w:val="bottom"/>
            <w:shd w:val="clear" w:color="auto" w:fill="DDDDDD"/>
          </w:tcPr>
          <w:p>
            <w:pPr>
              <w:spacing w:after="0"/>
              <w:rPr>
                <w:sz w:val="18"/>
                <w:szCs w:val="18"/>
                <w:color w:val="auto"/>
              </w:rPr>
            </w:pPr>
          </w:p>
        </w:tc>
        <w:tc>
          <w:tcPr>
            <w:tcW w:w="102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41.2 %</w:t>
            </w:r>
          </w:p>
        </w:tc>
        <w:tc>
          <w:tcPr>
            <w:tcW w:w="340" w:type="dxa"/>
            <w:vAlign w:val="bottom"/>
            <w:shd w:val="clear" w:color="auto" w:fill="DDDDDD"/>
          </w:tcPr>
          <w:p>
            <w:pPr>
              <w:spacing w:after="0"/>
              <w:rPr>
                <w:sz w:val="18"/>
                <w:szCs w:val="18"/>
                <w:color w:val="auto"/>
              </w:rPr>
            </w:pPr>
          </w:p>
        </w:tc>
        <w:tc>
          <w:tcPr>
            <w:tcW w:w="104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(13,713)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(55,286)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212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DDDDD"/>
          </w:tcPr>
          <w:p>
            <w:pPr>
              <w:jc w:val="right"/>
              <w:ind w:right="153"/>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DDDDD"/>
          </w:tcPr>
          <w:p>
            <w:pPr>
              <w:jc w:val="right"/>
              <w:ind w:right="153"/>
              <w:spacing w:after="0"/>
              <w:rPr>
                <w:sz w:val="20"/>
                <w:szCs w:val="20"/>
                <w:color w:val="auto"/>
              </w:rPr>
            </w:pPr>
            <w:r>
              <w:rPr>
                <w:rFonts w:ascii="Times New Roman" w:cs="Times New Roman" w:eastAsia="Times New Roman" w:hAnsi="Times New Roman"/>
                <w:sz w:val="18"/>
                <w:szCs w:val="18"/>
                <w:color w:val="auto"/>
              </w:rPr>
              <w:t>(9,738)</w:t>
            </w:r>
          </w:p>
        </w:tc>
        <w:tc>
          <w:tcPr>
            <w:tcW w:w="340" w:type="dxa"/>
            <w:vAlign w:val="bottom"/>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ind w:right="213"/>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(1)</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Active Customers</w:t>
            </w:r>
          </w:p>
        </w:tc>
        <w:tc>
          <w:tcPr>
            <w:tcW w:w="18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020" w:type="dxa"/>
            <w:vAlign w:val="bottom"/>
            <w:shd w:val="clear" w:color="auto" w:fill="DDDDDD"/>
          </w:tcPr>
          <w:p>
            <w:pPr>
              <w:jc w:val="right"/>
              <w:ind w:right="213"/>
              <w:spacing w:after="0"/>
              <w:rPr>
                <w:sz w:val="20"/>
                <w:szCs w:val="20"/>
                <w:color w:val="auto"/>
              </w:rPr>
            </w:pPr>
            <w:r>
              <w:rPr>
                <w:rFonts w:ascii="Times New Roman" w:cs="Times New Roman" w:eastAsia="Times New Roman" w:hAnsi="Times New Roman"/>
                <w:sz w:val="18"/>
                <w:szCs w:val="18"/>
                <w:color w:val="auto"/>
              </w:rPr>
              <w:t>2,330</w:t>
            </w:r>
          </w:p>
        </w:tc>
        <w:tc>
          <w:tcPr>
            <w:tcW w:w="340" w:type="dxa"/>
            <w:vAlign w:val="bottom"/>
            <w:shd w:val="clear" w:color="auto" w:fill="DDDDDD"/>
          </w:tcPr>
          <w:p>
            <w:pPr>
              <w:spacing w:after="0"/>
              <w:rPr>
                <w:sz w:val="18"/>
                <w:szCs w:val="18"/>
                <w:color w:val="auto"/>
              </w:rPr>
            </w:pPr>
          </w:p>
        </w:tc>
        <w:tc>
          <w:tcPr>
            <w:tcW w:w="1020" w:type="dxa"/>
            <w:vAlign w:val="bottom"/>
            <w:shd w:val="clear" w:color="auto" w:fill="DDDDDD"/>
          </w:tcPr>
          <w:p>
            <w:pPr>
              <w:jc w:val="right"/>
              <w:ind w:right="213"/>
              <w:spacing w:after="0"/>
              <w:rPr>
                <w:sz w:val="20"/>
                <w:szCs w:val="20"/>
                <w:color w:val="auto"/>
              </w:rPr>
            </w:pPr>
            <w:r>
              <w:rPr>
                <w:rFonts w:ascii="Times New Roman" w:cs="Times New Roman" w:eastAsia="Times New Roman" w:hAnsi="Times New Roman"/>
                <w:sz w:val="18"/>
                <w:szCs w:val="18"/>
                <w:color w:val="auto"/>
              </w:rPr>
              <w:t>2,620</w:t>
            </w:r>
          </w:p>
        </w:tc>
        <w:tc>
          <w:tcPr>
            <w:tcW w:w="340" w:type="dxa"/>
            <w:vAlign w:val="bottom"/>
            <w:shd w:val="clear" w:color="auto" w:fill="DDDDDD"/>
          </w:tcPr>
          <w:p>
            <w:pPr>
              <w:spacing w:after="0"/>
              <w:rPr>
                <w:sz w:val="18"/>
                <w:szCs w:val="18"/>
                <w:color w:val="auto"/>
              </w:rPr>
            </w:pPr>
          </w:p>
        </w:tc>
        <w:tc>
          <w:tcPr>
            <w:tcW w:w="1040" w:type="dxa"/>
            <w:vAlign w:val="bottom"/>
            <w:shd w:val="clear" w:color="auto" w:fill="DDDDDD"/>
          </w:tcPr>
          <w:p>
            <w:pPr>
              <w:jc w:val="right"/>
              <w:ind w:right="213"/>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Average Order Value</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15684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9" w:lineRule="exact"/>
        <w:rPr>
          <w:sz w:val="20"/>
          <w:szCs w:val="20"/>
          <w:color w:val="auto"/>
        </w:rPr>
      </w:pPr>
    </w:p>
    <w:p>
      <w:pPr>
        <w:jc w:val="both"/>
        <w:ind w:left="680" w:right="280" w:hanging="319"/>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non-GAAP financial measures to the most directly comparable GAAP financial measure and why we consider them useful, see “Management’s Discussion and Analysis of Financial Condition and Results of Operations—Non-GAAP Financial Measures.”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Orders Placed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920"/>
          </w:cols>
          <w:pgMar w:left="960" w:top="873" w:right="100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that we calculate as net income (loss) before interest expense, income taxes or benefit,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 We believe that Adjusted EBITDA and Adjusted EBITDA Margin provide useful information to investors and others in understanding and evaluating our operating results and in comparing operating results across periods.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supplement our audited consolidated financial statements which are prepared in accordance with GAAP, we use “Adjusted EBITDA” and “Adjusted EBITDA Margin” (collectively referred to as “Adjusted EBITDA”)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3" w:lineRule="exact"/>
        <w:rPr>
          <w:sz w:val="20"/>
          <w:szCs w:val="20"/>
          <w:color w:val="auto"/>
        </w:rPr>
      </w:pPr>
    </w:p>
    <w:p>
      <w:pPr>
        <w:ind w:left="1000" w:hanging="315"/>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000" w:right="20" w:hanging="315"/>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161"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225" w:lineRule="exact"/>
        <w:rPr>
          <w:rFonts w:ascii="Times New Roman" w:cs="Times New Roman" w:eastAsia="Times New Roman" w:hAnsi="Times New Roman"/>
          <w:sz w:val="18"/>
          <w:szCs w:val="18"/>
          <w:color w:val="auto"/>
        </w:rPr>
      </w:pPr>
    </w:p>
    <w:p>
      <w:pPr>
        <w:ind w:left="1000" w:hanging="315"/>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non-routine expenses that may represent a reduction in cash available to us;</w:t>
      </w:r>
    </w:p>
    <w:p>
      <w:pPr>
        <w:spacing w:after="0" w:line="224" w:lineRule="exact"/>
        <w:rPr>
          <w:rFonts w:ascii="Times New Roman" w:cs="Times New Roman" w:eastAsia="Times New Roman" w:hAnsi="Times New Roman"/>
          <w:sz w:val="18"/>
          <w:szCs w:val="18"/>
          <w:color w:val="auto"/>
        </w:rPr>
      </w:pPr>
    </w:p>
    <w:p>
      <w:pPr>
        <w:ind w:left="1000" w:hanging="315"/>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equity-based compensation which has been, and will continue to be for the foreseeable future, a significant recurring expense in our business and an important part of our compensation strategy;</w:t>
      </w:r>
    </w:p>
    <w:p>
      <w:pPr>
        <w:spacing w:after="0" w:line="161" w:lineRule="exact"/>
        <w:rPr>
          <w:rFonts w:ascii="Times New Roman" w:cs="Times New Roman" w:eastAsia="Times New Roman" w:hAnsi="Times New Roman"/>
          <w:sz w:val="18"/>
          <w:szCs w:val="18"/>
          <w:color w:val="auto"/>
        </w:rPr>
      </w:pPr>
    </w:p>
    <w:p>
      <w:pPr>
        <w:ind w:left="1000" w:hanging="315"/>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 and</w:t>
      </w:r>
    </w:p>
    <w:p>
      <w:pPr>
        <w:spacing w:after="0" w:line="161" w:lineRule="exact"/>
        <w:rPr>
          <w:rFonts w:ascii="Times New Roman" w:cs="Times New Roman" w:eastAsia="Times New Roman" w:hAnsi="Times New Roman"/>
          <w:sz w:val="18"/>
          <w:szCs w:val="18"/>
          <w:color w:val="auto"/>
        </w:rPr>
      </w:pPr>
    </w:p>
    <w:p>
      <w:pPr>
        <w:ind w:left="1000" w:hanging="315"/>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limiting their usefulness as comparative measures.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equity-based compensation and goodwill impairment.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920"/>
          </w:cols>
          <w:pgMar w:left="960" w:top="873" w:right="1000" w:bottom="0" w:gutter="0" w:footer="0" w:header="0"/>
          <w:type w:val="continuous"/>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for Adjusted EBITDA and Adjusted EBITDA Margin: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shd w:val="clear" w:color="auto" w:fill="DDDDDD"/>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240" w:type="dxa"/>
            <w:vAlign w:val="bottom"/>
            <w:shd w:val="clear" w:color="auto" w:fill="DDDDDD"/>
          </w:tcPr>
          <w:p>
            <w:pPr>
              <w:spacing w:after="0"/>
              <w:rPr>
                <w:sz w:val="18"/>
                <w:szCs w:val="18"/>
                <w:color w:val="auto"/>
              </w:rPr>
            </w:pPr>
          </w:p>
        </w:tc>
        <w:tc>
          <w:tcPr>
            <w:tcW w:w="3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240" w:type="dxa"/>
            <w:vAlign w:val="bottom"/>
            <w:shd w:val="clear" w:color="auto" w:fill="DDDDDD"/>
          </w:tcPr>
          <w:p>
            <w:pPr>
              <w:spacing w:after="0"/>
              <w:rPr>
                <w:sz w:val="18"/>
                <w:szCs w:val="18"/>
                <w:color w:val="auto"/>
              </w:rPr>
            </w:pPr>
          </w:p>
        </w:tc>
        <w:tc>
          <w:tcPr>
            <w:tcW w:w="4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Equity-based compensation expense (1)</w:t>
            </w:r>
          </w:p>
        </w:tc>
        <w:tc>
          <w:tcPr>
            <w:tcW w:w="124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4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2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non-routine expense (2)</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160" w:type="dxa"/>
            <w:vAlign w:val="bottom"/>
            <w:gridSpan w:val="2"/>
            <w:shd w:val="clear" w:color="auto" w:fill="DDDDDD"/>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2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200" w:type="dxa"/>
            <w:vAlign w:val="bottom"/>
            <w:gridSpan w:val="2"/>
            <w:shd w:val="clear" w:color="auto" w:fill="DDDDDD"/>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DDDDDD"/>
            </w:tcBorders>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1240" w:type="dxa"/>
            <w:vAlign w:val="bottom"/>
            <w:tcBorders>
              <w:top w:val="single" w:sz="8" w:color="DDDDDD"/>
            </w:tcBorders>
            <w:shd w:val="clear" w:color="auto" w:fill="DDDDDD"/>
          </w:tcPr>
          <w:p>
            <w:pPr>
              <w:spacing w:after="0" w:line="20" w:lineRule="exact"/>
              <w:rPr>
                <w:sz w:val="1"/>
                <w:szCs w:val="1"/>
                <w:color w:val="auto"/>
              </w:rPr>
            </w:pPr>
          </w:p>
        </w:tc>
        <w:tc>
          <w:tcPr>
            <w:tcW w:w="220" w:type="dxa"/>
            <w:vAlign w:val="bottom"/>
            <w:tcBorders>
              <w:top w:val="single" w:sz="8" w:color="DDDDDD"/>
            </w:tcBorders>
            <w:shd w:val="clear" w:color="auto" w:fill="000000"/>
          </w:tcPr>
          <w:p>
            <w:pPr>
              <w:spacing w:after="0" w:line="20" w:lineRule="exact"/>
              <w:rPr>
                <w:sz w:val="1"/>
                <w:szCs w:val="1"/>
                <w:color w:val="auto"/>
              </w:rPr>
            </w:pPr>
          </w:p>
        </w:tc>
        <w:tc>
          <w:tcPr>
            <w:tcW w:w="920" w:type="dxa"/>
            <w:vAlign w:val="bottom"/>
            <w:tcBorders>
              <w:top w:val="single" w:sz="8" w:color="DDDDDD"/>
            </w:tcBorders>
            <w:shd w:val="clear" w:color="auto" w:fill="000000"/>
          </w:tcPr>
          <w:p>
            <w:pPr>
              <w:spacing w:after="0" w:line="20" w:lineRule="exact"/>
              <w:rPr>
                <w:sz w:val="1"/>
                <w:szCs w:val="1"/>
                <w:color w:val="auto"/>
              </w:rPr>
            </w:pPr>
          </w:p>
        </w:tc>
        <w:tc>
          <w:tcPr>
            <w:tcW w:w="240" w:type="dxa"/>
            <w:vAlign w:val="bottom"/>
            <w:tcBorders>
              <w:top w:val="single" w:sz="8" w:color="DDDDDD"/>
            </w:tcBorders>
            <w:shd w:val="clear" w:color="auto" w:fill="DDDDDD"/>
          </w:tcPr>
          <w:p>
            <w:pPr>
              <w:spacing w:after="0" w:line="20" w:lineRule="exact"/>
              <w:rPr>
                <w:sz w:val="1"/>
                <w:szCs w:val="1"/>
                <w:color w:val="auto"/>
              </w:rPr>
            </w:pPr>
          </w:p>
        </w:tc>
        <w:tc>
          <w:tcPr>
            <w:tcW w:w="220" w:type="dxa"/>
            <w:vAlign w:val="bottom"/>
            <w:tcBorders>
              <w:top w:val="single" w:sz="8" w:color="DDDDDD"/>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000000"/>
          </w:tcPr>
          <w:p>
            <w:pPr>
              <w:spacing w:after="0" w:line="20" w:lineRule="exact"/>
              <w:rPr>
                <w:sz w:val="1"/>
                <w:szCs w:val="1"/>
                <w:color w:val="auto"/>
              </w:rPr>
            </w:pPr>
          </w:p>
        </w:tc>
        <w:tc>
          <w:tcPr>
            <w:tcW w:w="1020" w:type="dxa"/>
            <w:vAlign w:val="bottom"/>
            <w:tcBorders>
              <w:top w:val="single" w:sz="8" w:color="DDDDDD"/>
            </w:tcBorders>
            <w:shd w:val="clear" w:color="auto" w:fill="000000"/>
          </w:tcPr>
          <w:p>
            <w:pPr>
              <w:spacing w:after="0" w:line="20" w:lineRule="exact"/>
              <w:rPr>
                <w:sz w:val="1"/>
                <w:szCs w:val="1"/>
                <w:color w:val="auto"/>
              </w:rPr>
            </w:pPr>
          </w:p>
        </w:tc>
        <w:tc>
          <w:tcPr>
            <w:tcW w:w="240" w:type="dxa"/>
            <w:vAlign w:val="bottom"/>
            <w:tcBorders>
              <w:top w:val="single" w:sz="8" w:color="DDDDDD"/>
            </w:tcBorders>
            <w:shd w:val="clear" w:color="auto" w:fill="DDDDDD"/>
          </w:tcPr>
          <w:p>
            <w:pPr>
              <w:spacing w:after="0" w:line="20" w:lineRule="exact"/>
              <w:rPr>
                <w:sz w:val="1"/>
                <w:szCs w:val="1"/>
                <w:color w:val="auto"/>
              </w:rPr>
            </w:pPr>
          </w:p>
        </w:tc>
        <w:tc>
          <w:tcPr>
            <w:tcW w:w="240" w:type="dxa"/>
            <w:vAlign w:val="bottom"/>
            <w:tcBorders>
              <w:top w:val="single" w:sz="8" w:color="DDDDDD"/>
            </w:tcBorders>
            <w:shd w:val="clear" w:color="auto" w:fill="DDDDDD"/>
          </w:tcPr>
          <w:p>
            <w:pPr>
              <w:spacing w:after="0" w:line="20" w:lineRule="exact"/>
              <w:rPr>
                <w:sz w:val="1"/>
                <w:szCs w:val="1"/>
                <w:color w:val="auto"/>
              </w:rPr>
            </w:pPr>
          </w:p>
        </w:tc>
        <w:tc>
          <w:tcPr>
            <w:tcW w:w="160" w:type="dxa"/>
            <w:vAlign w:val="bottom"/>
            <w:tcBorders>
              <w:top w:val="single" w:sz="8" w:color="DDDDDD"/>
            </w:tcBorders>
            <w:shd w:val="clear" w:color="auto" w:fill="000000"/>
          </w:tcPr>
          <w:p>
            <w:pPr>
              <w:spacing w:after="0" w:line="20" w:lineRule="exact"/>
              <w:rPr>
                <w:sz w:val="1"/>
                <w:szCs w:val="1"/>
                <w:color w:val="auto"/>
              </w:rPr>
            </w:pPr>
          </w:p>
        </w:tc>
        <w:tc>
          <w:tcPr>
            <w:tcW w:w="960" w:type="dxa"/>
            <w:vAlign w:val="bottom"/>
            <w:tcBorders>
              <w:top w:val="single" w:sz="8" w:color="DDDDDD"/>
            </w:tcBorders>
            <w:shd w:val="clear" w:color="auto" w:fill="000000"/>
          </w:tcPr>
          <w:p>
            <w:pPr>
              <w:spacing w:after="0" w:line="20" w:lineRule="exact"/>
              <w:rPr>
                <w:sz w:val="1"/>
                <w:szCs w:val="1"/>
                <w:color w:val="auto"/>
              </w:rPr>
            </w:pPr>
          </w:p>
        </w:tc>
        <w:tc>
          <w:tcPr>
            <w:tcW w:w="240" w:type="dxa"/>
            <w:vAlign w:val="bottom"/>
            <w:tcBorders>
              <w:top w:val="single" w:sz="8" w:color="DDDDDD"/>
            </w:tcBorders>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shd w:val="clear" w:color="auto" w:fill="DDDDDD"/>
          </w:tcPr>
          <w:p>
            <w:pPr>
              <w:spacing w:after="0"/>
              <w:rPr>
                <w:sz w:val="17"/>
                <w:szCs w:val="17"/>
                <w:color w:val="auto"/>
              </w:rPr>
            </w:pPr>
          </w:p>
        </w:tc>
        <w:tc>
          <w:tcPr>
            <w:tcW w:w="124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60" w:type="dxa"/>
            <w:vAlign w:val="bottom"/>
            <w:gridSpan w:val="2"/>
            <w:shd w:val="clear" w:color="auto" w:fill="DDDDDD"/>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200" w:type="dxa"/>
            <w:vAlign w:val="bottom"/>
            <w:gridSpan w:val="2"/>
            <w:shd w:val="clear" w:color="auto" w:fill="DDDDDD"/>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1"/>
        <w:spacing w:after="0" w:line="25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includes equity-based compensation expense for performance stock units (“PSUs”) and restricted stock units (“RSUs”) granted during the period and prior periods. 2024 includes equity-based compensation expense for PSUs and RSUs granted during the period and prior periods, equity-based awards granted in prior periods, as well as forfeitures partially offset by accelerated vesting expense associated with the resignation of directors during the period. 2023 includes equity-based compensation expense for PSUs granted during the period and RSUs granted during the period and prior periods, accelerated expense associated with the voluntary forfeiture of stock options, and equity-based awards granted in prior periods.</w:t>
      </w:r>
    </w:p>
    <w:p>
      <w:pPr>
        <w:spacing w:after="0" w:line="187" w:lineRule="exact"/>
        <w:rPr>
          <w:rFonts w:ascii="Times New Roman" w:cs="Times New Roman" w:eastAsia="Times New Roman" w:hAnsi="Times New Roman"/>
          <w:sz w:val="18"/>
          <w:szCs w:val="18"/>
          <w:color w:val="auto"/>
        </w:rPr>
      </w:pPr>
    </w:p>
    <w:p>
      <w:pPr>
        <w:ind w:left="340" w:hanging="330"/>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includes non-routine severance expenses related to a reduction in force to streamline the Company’s merchandising and buying function.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 Free Cash Flow does not represent the total residual cash flow available for discretionary purposes. Due to such limitations, Free Cash Flow should not be considered as a measure of discretionary cash available to us to invest in the growth of our business. We compensate for these limitations by relying primarily on our GAAP results and using these non-GAAP measures only supplementally.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to non-GAAP Free Cash Flow from net cash provided by operating activities for the periods presented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top w:val="single" w:sz="8" w:color="DDDDDD"/>
            </w:tcBorders>
            <w:shd w:val="clear" w:color="auto" w:fill="DDDDDD"/>
          </w:tcPr>
          <w:p>
            <w:pPr>
              <w:spacing w:after="0"/>
              <w:rPr>
                <w:sz w:val="18"/>
                <w:szCs w:val="18"/>
                <w:color w:val="auto"/>
              </w:rPr>
            </w:pPr>
          </w:p>
        </w:tc>
        <w:tc>
          <w:tcPr>
            <w:tcW w:w="920" w:type="dxa"/>
            <w:vAlign w:val="bottom"/>
            <w:tcBorders>
              <w:top w:val="single" w:sz="8" w:color="auto"/>
            </w:tcBorders>
            <w:shd w:val="clear" w:color="auto" w:fill="DDDDDD"/>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80" w:type="dxa"/>
            <w:vAlign w:val="bottom"/>
            <w:tcBorders>
              <w:top w:val="single" w:sz="8" w:color="DDDDDD"/>
            </w:tcBorders>
            <w:shd w:val="clear" w:color="auto" w:fill="DDDDDD"/>
          </w:tcPr>
          <w:p>
            <w:pPr>
              <w:spacing w:after="0"/>
              <w:rPr>
                <w:sz w:val="18"/>
                <w:szCs w:val="18"/>
                <w:color w:val="auto"/>
              </w:rPr>
            </w:pPr>
          </w:p>
        </w:tc>
        <w:tc>
          <w:tcPr>
            <w:tcW w:w="920" w:type="dxa"/>
            <w:vAlign w:val="bottom"/>
            <w:tcBorders>
              <w:top w:val="single" w:sz="8" w:color="auto"/>
            </w:tcBorders>
            <w:shd w:val="clear" w:color="auto" w:fill="DDDDDD"/>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8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320" w:type="dxa"/>
            <w:vAlign w:val="bottom"/>
            <w:tcBorders>
              <w:top w:val="single" w:sz="8" w:color="auto"/>
            </w:tcBorders>
            <w:shd w:val="clear" w:color="auto" w:fill="DDDDDD"/>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15,421</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16"/>
        </w:trPr>
        <w:tc>
          <w:tcPr>
            <w:tcW w:w="20" w:type="dxa"/>
            <w:vAlign w:val="bottom"/>
          </w:tcPr>
          <w:p>
            <w:pPr>
              <w:spacing w:after="0"/>
              <w:rPr>
                <w:sz w:val="18"/>
                <w:szCs w:val="18"/>
                <w:color w:val="auto"/>
              </w:rPr>
            </w:pPr>
          </w:p>
        </w:tc>
        <w:tc>
          <w:tcPr>
            <w:tcW w:w="40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spacing w:after="0"/>
              <w:rPr>
                <w:sz w:val="18"/>
                <w:szCs w:val="18"/>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spacing w:after="0"/>
              <w:rPr>
                <w:sz w:val="18"/>
                <w:szCs w:val="18"/>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320" w:type="dxa"/>
            <w:vAlign w:val="bottom"/>
            <w:tcBorders>
              <w:bottom w:val="single" w:sz="8" w:color="auto"/>
            </w:tcBorders>
            <w:shd w:val="clear" w:color="auto" w:fill="DDDDDD"/>
          </w:tcPr>
          <w:p>
            <w:pPr>
              <w:spacing w:after="0"/>
              <w:rPr>
                <w:sz w:val="18"/>
                <w:szCs w:val="18"/>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60" w:type="dxa"/>
            <w:vAlign w:val="bottom"/>
          </w:tcPr>
          <w:p>
            <w:pPr>
              <w:spacing w:after="0"/>
              <w:rPr>
                <w:sz w:val="18"/>
                <w:szCs w:val="18"/>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that present significant opportunities for us but also pose risks and challenges, including what is discussed below. See Part I, “</w:t>
      </w:r>
      <w:r>
        <w:rPr>
          <w:rFonts w:ascii="PMingLiU" w:cs="PMingLiU" w:eastAsia="PMingLiU" w:hAnsi="PMingLiU"/>
          <w:sz w:val="18"/>
          <w:szCs w:val="18"/>
          <w:i w:val="1"/>
          <w:iCs w:val="1"/>
          <w:color w:val="auto"/>
        </w:rPr>
        <w:t>,WHP$5LVN)DFWRUV</w:t>
      </w:r>
      <w:r>
        <w:rPr>
          <w:rFonts w:ascii="Times New Roman" w:cs="Times New Roman" w:eastAsia="Times New Roman" w:hAnsi="Times New Roman"/>
          <w:sz w:val="18"/>
          <w:szCs w:val="18"/>
          <w:color w:val="auto"/>
        </w:rPr>
        <w:t>” included elsewhere in this Annual Report on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920"/>
          </w:cols>
          <w:pgMar w:left="960" w:top="877" w:right="1000" w:bottom="0" w:gutter="0" w:footer="0" w:header="0"/>
          <w:type w:val="continuous"/>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Retention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December 28, 2025, we served 2.3 million Active Customers compared to 2.6 million for the trailing 12 months ended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We will adjust our inventory purchases to align with the current needs of the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Operations and Infrastructure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continue to invest in our operations and infrastructure to facilitate further operational efficiencies and growth of our business, while managing expenses to align with our net revenue expectations and goals to return to profitability. We will continue to carefully evaluate any new investments or capital spending initiatives as we believe that a disciplined approach to capital spending will enable us to generate positive returns on our investments over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generally determine to have occurred upon shipment.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revenue is impacted by our number of customers and their spending habits, AOV, product assortment and availability, and marketing and promotional activities. During any given period, we may seek to increase sales by increasing promotional discounts, and in other periods we may instead seek to increase sales by increasing our selling and marketing expenses. We consider both actions together, so increased promotional discounts in a period, which would reduce net revenue accordingly in such period, might also result in lower selling and marketing expenses in such period. Similarly, if we increase selling and marketing expenses in a given period, promotional discounts may be correspondingly reduced, thereby improving net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920"/>
          </w:cols>
          <w:pgMar w:left="960" w:top="877" w:right="1000" w:bottom="0" w:gutter="0" w:footer="0" w:header="0"/>
          <w:type w:val="continuous"/>
        </w:sectPr>
      </w:pPr>
    </w:p>
    <w:bookmarkStart w:id="61" w:name="page62"/>
    <w:bookmarkEnd w:id="6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our Gross Margin may fluctuate from period to period depending on the interplay of these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fixed and variable labor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and amortization, rent and other occupancy expenses. General and administrative expenses are primarily driven by headcount related costs required to support our business and meet our obligations as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7"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7"/>
          <w:szCs w:val="17"/>
          <w:color w:val="auto"/>
        </w:rPr>
        <w:t xml:space="preserve">Goodwill as described in Note 2, </w:t>
      </w:r>
      <w:r>
        <w:rPr>
          <w:rFonts w:ascii="PMingLiU" w:cs="PMingLiU" w:eastAsia="PMingLiU" w:hAnsi="PMingLiU"/>
          <w:sz w:val="17"/>
          <w:szCs w:val="17"/>
          <w:i w:val="1"/>
          <w:iCs w:val="1"/>
          <w:color w:val="auto"/>
        </w:rPr>
        <w:t>6LJQLILFDQW$FFRXQWLQJ3ROLFLHV</w:t>
      </w:r>
      <w:r>
        <w:rPr>
          <w:rFonts w:ascii="Times New Roman" w:cs="Times New Roman" w:eastAsia="Times New Roman" w:hAnsi="Times New Roman"/>
          <w:sz w:val="17"/>
          <w:szCs w:val="17"/>
          <w:color w:val="auto"/>
        </w:rPr>
        <w:t xml:space="preserve"> is stated at the excess of the acquisition price over the fair value of net assets acquired in a purchase acquisition and is not amortized. The Company reviews its goodwill for impairment at least annually (on the first day of the fourth quarter) or more frequently whenever events or changes in circumstances indicate that the carrying amount may be impaired. If the carrying value of the goodwill exceeds the fair value, the Company recognizes goodwill impairment.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expense related to the prior credit agreement with Bank of America (“Prior Credit Agreement”) and the 2025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benefit (provision) for income taxes represents federal, state, and local income taxes. The effective rate differs from the statutory rate primarily due to non-deductible equity-based compensation expenses, non-deductible officer compensation, valuation allowance and state taxes.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regularly assess the realizability of deferred tax assets (“DTAs”) and record a valuation allowance to reduce the DTAs to the amount that is more likely than not to be realized. In assessing the realizability of our DTAs,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we established a valuation allowance as of December 29, 2024 of $14.9 million and increased the allowance to $16.7 million as of December 28, 2025.</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920"/>
          </w:cols>
          <w:pgMar w:left="960" w:top="877" w:right="10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for the years presented and as a percentage of net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10"/>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282,284</w:t>
            </w:r>
          </w:p>
        </w:tc>
        <w:tc>
          <w:tcPr>
            <w:tcW w:w="20" w:type="dxa"/>
            <w:vAlign w:val="bottom"/>
            <w:shd w:val="clear" w:color="auto" w:fill="DDDDDD"/>
          </w:tcPr>
          <w:p>
            <w:pPr>
              <w:spacing w:after="0"/>
              <w:rPr>
                <w:sz w:val="18"/>
                <w:szCs w:val="18"/>
                <w:color w:val="auto"/>
              </w:rPr>
            </w:pPr>
          </w:p>
        </w:tc>
        <w:tc>
          <w:tcPr>
            <w:tcW w:w="34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315,887</w:t>
            </w:r>
          </w:p>
        </w:tc>
        <w:tc>
          <w:tcPr>
            <w:tcW w:w="100" w:type="dxa"/>
            <w:vAlign w:val="bottom"/>
            <w:shd w:val="clear" w:color="auto" w:fill="DDDDDD"/>
          </w:tcPr>
          <w:p>
            <w:pPr>
              <w:spacing w:after="0"/>
              <w:rPr>
                <w:sz w:val="18"/>
                <w:szCs w:val="18"/>
                <w:color w:val="auto"/>
              </w:rPr>
            </w:pPr>
          </w:p>
        </w:tc>
        <w:tc>
          <w:tcPr>
            <w:tcW w:w="1120" w:type="dxa"/>
            <w:vAlign w:val="bottom"/>
            <w:gridSpan w:val="5"/>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DDDDDD"/>
          </w:tcPr>
          <w:p>
            <w:pPr>
              <w:spacing w:after="0"/>
              <w:rPr>
                <w:sz w:val="18"/>
                <w:szCs w:val="18"/>
                <w:color w:val="auto"/>
              </w:rPr>
            </w:pPr>
          </w:p>
        </w:tc>
        <w:tc>
          <w:tcPr>
            <w:tcW w:w="2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185,639</w:t>
            </w:r>
          </w:p>
        </w:tc>
        <w:tc>
          <w:tcPr>
            <w:tcW w:w="10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spacing w:after="0"/>
              <w:rPr>
                <w:sz w:val="18"/>
                <w:szCs w:val="18"/>
                <w:color w:val="auto"/>
              </w:rPr>
            </w:pPr>
          </w:p>
        </w:tc>
        <w:tc>
          <w:tcPr>
            <w:tcW w:w="800" w:type="dxa"/>
            <w:vAlign w:val="bottom"/>
            <w:tcBorders>
              <w:top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122,054</w:t>
            </w:r>
          </w:p>
        </w:tc>
        <w:tc>
          <w:tcPr>
            <w:tcW w:w="20" w:type="dxa"/>
            <w:vAlign w:val="bottom"/>
            <w:tcBorders>
              <w:top w:val="single" w:sz="8" w:color="DDDDDD"/>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spacing w:after="0"/>
              <w:rPr>
                <w:sz w:val="18"/>
                <w:szCs w:val="18"/>
                <w:color w:val="auto"/>
              </w:rPr>
            </w:pPr>
          </w:p>
        </w:tc>
        <w:tc>
          <w:tcPr>
            <w:tcW w:w="700" w:type="dxa"/>
            <w:vAlign w:val="bottom"/>
            <w:tcBorders>
              <w:top w:val="single" w:sz="8" w:color="auto"/>
            </w:tcBorders>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130,248</w:t>
            </w:r>
          </w:p>
        </w:tc>
        <w:tc>
          <w:tcPr>
            <w:tcW w:w="100" w:type="dxa"/>
            <w:vAlign w:val="bottom"/>
            <w:tcBorders>
              <w:top w:val="single" w:sz="8" w:color="DDDDDD"/>
            </w:tcBorders>
            <w:shd w:val="clear" w:color="auto" w:fill="DDDDDD"/>
          </w:tcPr>
          <w:p>
            <w:pPr>
              <w:spacing w:after="0"/>
              <w:rPr>
                <w:sz w:val="18"/>
                <w:szCs w:val="18"/>
                <w:color w:val="auto"/>
              </w:rPr>
            </w:pPr>
          </w:p>
        </w:tc>
        <w:tc>
          <w:tcPr>
            <w:tcW w:w="80" w:type="dxa"/>
            <w:vAlign w:val="bottom"/>
            <w:tcBorders>
              <w:top w:val="single" w:sz="8" w:color="DDDDDD"/>
            </w:tcBorders>
            <w:shd w:val="clear" w:color="auto" w:fill="DDDDDD"/>
          </w:tcPr>
          <w:p>
            <w:pPr>
              <w:spacing w:after="0"/>
              <w:rPr>
                <w:sz w:val="18"/>
                <w:szCs w:val="18"/>
                <w:color w:val="auto"/>
              </w:rPr>
            </w:pPr>
          </w:p>
        </w:tc>
        <w:tc>
          <w:tcPr>
            <w:tcW w:w="900" w:type="dxa"/>
            <w:vAlign w:val="bottom"/>
            <w:tcBorders>
              <w:top w:val="single" w:sz="8" w:color="auto"/>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auto"/>
            </w:tcBorders>
            <w:shd w:val="clear" w:color="auto" w:fill="DDDDDD"/>
          </w:tcPr>
          <w:p>
            <w:pPr>
              <w:spacing w:after="0"/>
              <w:rPr>
                <w:sz w:val="18"/>
                <w:szCs w:val="18"/>
                <w:color w:val="auto"/>
              </w:rPr>
            </w:pPr>
          </w:p>
        </w:tc>
        <w:tc>
          <w:tcPr>
            <w:tcW w:w="140" w:type="dxa"/>
            <w:vAlign w:val="bottom"/>
            <w:tcBorders>
              <w:top w:val="single" w:sz="8" w:color="DDDDDD"/>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spacing w:after="0"/>
              <w:rPr>
                <w:sz w:val="18"/>
                <w:szCs w:val="18"/>
                <w:color w:val="auto"/>
              </w:rPr>
            </w:pPr>
          </w:p>
        </w:tc>
        <w:tc>
          <w:tcPr>
            <w:tcW w:w="720" w:type="dxa"/>
            <w:vAlign w:val="bottom"/>
            <w:tcBorders>
              <w:top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72,927</w:t>
            </w:r>
          </w:p>
        </w:tc>
        <w:tc>
          <w:tcPr>
            <w:tcW w:w="10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70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81,334</w:t>
            </w:r>
          </w:p>
        </w:tc>
        <w:tc>
          <w:tcPr>
            <w:tcW w:w="100" w:type="dxa"/>
            <w:vAlign w:val="bottom"/>
            <w:shd w:val="clear" w:color="auto" w:fill="DDDDDD"/>
          </w:tcPr>
          <w:p>
            <w:pPr>
              <w:spacing w:after="0"/>
              <w:rPr>
                <w:sz w:val="18"/>
                <w:szCs w:val="18"/>
                <w:color w:val="auto"/>
              </w:rPr>
            </w:pPr>
          </w:p>
        </w:tc>
        <w:tc>
          <w:tcPr>
            <w:tcW w:w="980" w:type="dxa"/>
            <w:vAlign w:val="bottom"/>
            <w:gridSpan w:val="4"/>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7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DDDDDD"/>
            </w:tcBorders>
            <w:shd w:val="clear" w:color="auto" w:fill="DDDDDD"/>
          </w:tcPr>
          <w:p>
            <w:pPr>
              <w:spacing w:after="0"/>
              <w:rPr>
                <w:sz w:val="18"/>
                <w:szCs w:val="18"/>
                <w:color w:val="auto"/>
              </w:rPr>
            </w:pPr>
          </w:p>
        </w:tc>
        <w:tc>
          <w:tcPr>
            <w:tcW w:w="800" w:type="dxa"/>
            <w:vAlign w:val="bottom"/>
            <w:tcBorders>
              <w:top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20" w:type="dxa"/>
            <w:vAlign w:val="bottom"/>
            <w:tcBorders>
              <w:top w:val="single" w:sz="8" w:color="DDDDDD"/>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spacing w:after="0"/>
              <w:rPr>
                <w:sz w:val="18"/>
                <w:szCs w:val="18"/>
                <w:color w:val="auto"/>
              </w:rPr>
            </w:pPr>
          </w:p>
        </w:tc>
        <w:tc>
          <w:tcPr>
            <w:tcW w:w="700" w:type="dxa"/>
            <w:vAlign w:val="bottom"/>
            <w:tcBorders>
              <w:top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100" w:type="dxa"/>
            <w:vAlign w:val="bottom"/>
            <w:tcBorders>
              <w:top w:val="single" w:sz="8" w:color="DDDDDD"/>
            </w:tcBorders>
            <w:shd w:val="clear" w:color="auto" w:fill="DDDDDD"/>
          </w:tcPr>
          <w:p>
            <w:pPr>
              <w:spacing w:after="0"/>
              <w:rPr>
                <w:sz w:val="18"/>
                <w:szCs w:val="18"/>
                <w:color w:val="auto"/>
              </w:rPr>
            </w:pPr>
          </w:p>
        </w:tc>
        <w:tc>
          <w:tcPr>
            <w:tcW w:w="80" w:type="dxa"/>
            <w:vAlign w:val="bottom"/>
            <w:tcBorders>
              <w:top w:val="single" w:sz="8" w:color="DDDDDD"/>
            </w:tcBorders>
            <w:shd w:val="clear" w:color="auto" w:fill="DDDDDD"/>
          </w:tcPr>
          <w:p>
            <w:pPr>
              <w:spacing w:after="0"/>
              <w:rPr>
                <w:sz w:val="18"/>
                <w:szCs w:val="18"/>
                <w:color w:val="auto"/>
              </w:rPr>
            </w:pPr>
          </w:p>
        </w:tc>
        <w:tc>
          <w:tcPr>
            <w:tcW w:w="900" w:type="dxa"/>
            <w:vAlign w:val="bottom"/>
            <w:tcBorders>
              <w:top w:val="single" w:sz="8" w:color="auto"/>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top w:val="single" w:sz="8" w:color="auto"/>
            </w:tcBorders>
            <w:shd w:val="clear" w:color="auto" w:fill="DDDDDD"/>
          </w:tcPr>
          <w:p>
            <w:pPr>
              <w:spacing w:after="0"/>
              <w:rPr>
                <w:sz w:val="18"/>
                <w:szCs w:val="18"/>
                <w:color w:val="auto"/>
              </w:rPr>
            </w:pPr>
          </w:p>
        </w:tc>
        <w:tc>
          <w:tcPr>
            <w:tcW w:w="140" w:type="dxa"/>
            <w:vAlign w:val="bottom"/>
            <w:tcBorders>
              <w:top w:val="single" w:sz="8" w:color="DDDDDD"/>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spacing w:after="0"/>
              <w:rPr>
                <w:sz w:val="18"/>
                <w:szCs w:val="18"/>
                <w:color w:val="auto"/>
              </w:rPr>
            </w:pPr>
          </w:p>
        </w:tc>
        <w:tc>
          <w:tcPr>
            <w:tcW w:w="720" w:type="dxa"/>
            <w:vAlign w:val="bottom"/>
            <w:tcBorders>
              <w:top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70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DDDDDD"/>
          </w:tcPr>
          <w:p>
            <w:pPr>
              <w:spacing w:after="0"/>
              <w:rPr>
                <w:sz w:val="18"/>
                <w:szCs w:val="18"/>
                <w:color w:val="auto"/>
              </w:rPr>
            </w:pPr>
          </w:p>
        </w:tc>
        <w:tc>
          <w:tcPr>
            <w:tcW w:w="90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7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(52,953)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4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DDDDDD"/>
          </w:tcPr>
          <w:p>
            <w:pPr>
              <w:spacing w:after="0"/>
              <w:rPr>
                <w:sz w:val="18"/>
                <w:szCs w:val="18"/>
                <w:color w:val="auto"/>
              </w:rPr>
            </w:pPr>
          </w:p>
        </w:tc>
        <w:tc>
          <w:tcPr>
            <w:tcW w:w="90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520" w:type="dxa"/>
            <w:vAlign w:val="bottom"/>
            <w:tcBorders>
              <w:bottom w:val="single" w:sz="8" w:color="DDDDDD"/>
            </w:tcBorders>
          </w:tcPr>
          <w:p>
            <w:pPr>
              <w:spacing w:after="0"/>
              <w:rPr>
                <w:sz w:val="24"/>
                <w:szCs w:val="24"/>
                <w:color w:val="auto"/>
              </w:rPr>
            </w:pPr>
          </w:p>
        </w:tc>
        <w:tc>
          <w:tcPr>
            <w:tcW w:w="104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50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5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DDDDDD"/>
            </w:tcBorders>
          </w:tcPr>
          <w:p>
            <w:pPr>
              <w:spacing w:after="0"/>
              <w:rPr>
                <w:sz w:val="18"/>
                <w:szCs w:val="18"/>
                <w:color w:val="auto"/>
              </w:rPr>
            </w:pPr>
          </w:p>
        </w:tc>
        <w:tc>
          <w:tcPr>
            <w:tcW w:w="160" w:type="dxa"/>
            <w:vAlign w:val="bottom"/>
            <w:tcBorders>
              <w:bottom w:val="single" w:sz="8" w:color="DDDDDD"/>
            </w:tcBorders>
          </w:tcPr>
          <w:p>
            <w:pPr>
              <w:spacing w:after="0"/>
              <w:rPr>
                <w:sz w:val="18"/>
                <w:szCs w:val="18"/>
                <w:color w:val="auto"/>
              </w:rPr>
            </w:pPr>
          </w:p>
        </w:tc>
        <w:tc>
          <w:tcPr>
            <w:tcW w:w="5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DDDDD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Borders>
              <w:top w:val="single" w:sz="8" w:color="DDDDDD"/>
              <w:bottom w:val="single" w:sz="8" w:color="DDDDDD"/>
            </w:tcBorders>
            <w:shd w:val="clear" w:color="auto" w:fill="DDDDDD"/>
          </w:tcPr>
          <w:p>
            <w:pPr>
              <w:spacing w:after="0"/>
              <w:rPr>
                <w:sz w:val="19"/>
                <w:szCs w:val="19"/>
                <w:color w:val="auto"/>
              </w:rPr>
            </w:pPr>
          </w:p>
        </w:tc>
        <w:tc>
          <w:tcPr>
            <w:tcW w:w="160" w:type="dxa"/>
            <w:vAlign w:val="bottom"/>
            <w:tcBorders>
              <w:top w:val="single" w:sz="8" w:color="DDDDDD"/>
              <w:bottom w:val="single" w:sz="8" w:color="DDDDDD"/>
            </w:tcBorders>
            <w:shd w:val="clear" w:color="auto" w:fill="DDDDDD"/>
          </w:tcPr>
          <w:p>
            <w:pPr>
              <w:spacing w:after="0"/>
              <w:rPr>
                <w:sz w:val="19"/>
                <w:szCs w:val="19"/>
                <w:color w:val="auto"/>
              </w:rPr>
            </w:pPr>
          </w:p>
        </w:tc>
        <w:tc>
          <w:tcPr>
            <w:tcW w:w="500" w:type="dxa"/>
            <w:vAlign w:val="bottom"/>
            <w:tcBorders>
              <w:top w:val="single" w:sz="8" w:color="DDDDDD"/>
              <w:bottom w:val="single" w:sz="8" w:color="DDDDDD"/>
            </w:tcBorders>
            <w:shd w:val="clear" w:color="auto" w:fill="DDDDDD"/>
          </w:tcPr>
          <w:p>
            <w:pPr>
              <w:spacing w:after="0"/>
              <w:rPr>
                <w:sz w:val="19"/>
                <w:szCs w:val="19"/>
                <w:color w:val="auto"/>
              </w:rPr>
            </w:pPr>
          </w:p>
        </w:tc>
        <w:tc>
          <w:tcPr>
            <w:tcW w:w="300" w:type="dxa"/>
            <w:vAlign w:val="bottom"/>
            <w:tcBorders>
              <w:top w:val="single" w:sz="8" w:color="auto"/>
              <w:bottom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100" w:type="dxa"/>
            <w:vAlign w:val="bottom"/>
            <w:tcBorders>
              <w:top w:val="single" w:sz="8" w:color="auto"/>
              <w:bottom w:val="single" w:sz="8" w:color="auto"/>
            </w:tcBorders>
            <w:shd w:val="clear" w:color="auto" w:fill="DDDDDD"/>
          </w:tcPr>
          <w:p>
            <w:pPr>
              <w:spacing w:after="0"/>
              <w:rPr>
                <w:sz w:val="19"/>
                <w:szCs w:val="19"/>
                <w:color w:val="auto"/>
              </w:rPr>
            </w:pPr>
          </w:p>
        </w:tc>
        <w:tc>
          <w:tcPr>
            <w:tcW w:w="240" w:type="dxa"/>
            <w:vAlign w:val="bottom"/>
            <w:tcBorders>
              <w:top w:val="single" w:sz="8" w:color="auto"/>
              <w:bottom w:val="single" w:sz="8" w:color="auto"/>
            </w:tcBorders>
            <w:shd w:val="clear" w:color="auto" w:fill="DDDDDD"/>
          </w:tcPr>
          <w:p>
            <w:pPr>
              <w:spacing w:after="0"/>
              <w:rPr>
                <w:sz w:val="19"/>
                <w:szCs w:val="19"/>
                <w:color w:val="auto"/>
              </w:rPr>
            </w:pPr>
          </w:p>
        </w:tc>
        <w:tc>
          <w:tcPr>
            <w:tcW w:w="3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DDDDDD"/>
              <w:bottom w:val="single" w:sz="8" w:color="DDDDDD"/>
            </w:tcBorders>
            <w:shd w:val="clear" w:color="auto" w:fill="DDDDDD"/>
          </w:tcPr>
          <w:p>
            <w:pPr>
              <w:spacing w:after="0"/>
              <w:rPr>
                <w:sz w:val="19"/>
                <w:szCs w:val="19"/>
                <w:color w:val="auto"/>
              </w:rPr>
            </w:pPr>
          </w:p>
        </w:tc>
        <w:tc>
          <w:tcPr>
            <w:tcW w:w="180" w:type="dxa"/>
            <w:vAlign w:val="bottom"/>
            <w:tcBorders>
              <w:top w:val="single" w:sz="8" w:color="auto"/>
              <w:bottom w:val="single" w:sz="8" w:color="auto"/>
            </w:tcBorders>
            <w:shd w:val="clear" w:color="auto" w:fill="DDDDDD"/>
          </w:tcPr>
          <w:p>
            <w:pPr>
              <w:spacing w:after="0"/>
              <w:rPr>
                <w:sz w:val="19"/>
                <w:szCs w:val="19"/>
                <w:color w:val="auto"/>
              </w:rPr>
            </w:pPr>
          </w:p>
        </w:tc>
        <w:tc>
          <w:tcPr>
            <w:tcW w:w="100" w:type="dxa"/>
            <w:vAlign w:val="bottom"/>
            <w:tcBorders>
              <w:top w:val="single" w:sz="8" w:color="auto"/>
              <w:bottom w:val="single" w:sz="8" w:color="auto"/>
            </w:tcBorders>
            <w:shd w:val="clear" w:color="auto" w:fill="DDDDDD"/>
          </w:tcPr>
          <w:p>
            <w:pPr>
              <w:spacing w:after="0"/>
              <w:rPr>
                <w:sz w:val="19"/>
                <w:szCs w:val="19"/>
                <w:color w:val="auto"/>
              </w:rPr>
            </w:pPr>
          </w:p>
        </w:tc>
        <w:tc>
          <w:tcPr>
            <w:tcW w:w="740" w:type="dxa"/>
            <w:vAlign w:val="bottom"/>
            <w:tcBorders>
              <w:top w:val="single" w:sz="8" w:color="auto"/>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DDDDDD"/>
              <w:bottom w:val="single" w:sz="8" w:color="DDDDDD"/>
            </w:tcBorders>
            <w:shd w:val="clear" w:color="auto" w:fill="DDDDDD"/>
          </w:tcPr>
          <w:p>
            <w:pPr>
              <w:spacing w:after="0"/>
              <w:rPr>
                <w:sz w:val="19"/>
                <w:szCs w:val="19"/>
                <w:color w:val="auto"/>
              </w:rPr>
            </w:pP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spacing w:after="0"/>
              <w:rPr>
                <w:sz w:val="19"/>
                <w:szCs w:val="19"/>
                <w:color w:val="auto"/>
              </w:rPr>
            </w:pPr>
          </w:p>
        </w:tc>
        <w:tc>
          <w:tcPr>
            <w:tcW w:w="240" w:type="dxa"/>
            <w:vAlign w:val="bottom"/>
            <w:tcBorders>
              <w:top w:val="single" w:sz="8" w:color="auto"/>
              <w:bottom w:val="single" w:sz="8" w:color="auto"/>
            </w:tcBorders>
            <w:shd w:val="clear" w:color="auto" w:fill="DDDDDD"/>
          </w:tcPr>
          <w:p>
            <w:pPr>
              <w:spacing w:after="0"/>
              <w:rPr>
                <w:sz w:val="19"/>
                <w:szCs w:val="19"/>
                <w:color w:val="auto"/>
              </w:rPr>
            </w:pPr>
          </w:p>
        </w:tc>
        <w:tc>
          <w:tcPr>
            <w:tcW w:w="500" w:type="dxa"/>
            <w:vAlign w:val="bottom"/>
            <w:tcBorders>
              <w:top w:val="single" w:sz="8" w:color="auto"/>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DDDDDD"/>
              <w:bottom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6"/>
                <w:szCs w:val="16"/>
                <w:color w:val="auto"/>
              </w:rPr>
            </w:pPr>
          </w:p>
        </w:tc>
        <w:tc>
          <w:tcPr>
            <w:tcW w:w="2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180" w:type="dxa"/>
            <w:vAlign w:val="bottom"/>
            <w:gridSpan w:val="5"/>
            <w:shd w:val="clear" w:color="auto" w:fill="DDDDDD"/>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DDDDD"/>
          </w:tcPr>
          <w:p>
            <w:pPr>
              <w:spacing w:after="0"/>
              <w:rPr>
                <w:sz w:val="20"/>
                <w:szCs w:val="20"/>
                <w:color w:val="auto"/>
              </w:rPr>
            </w:pPr>
          </w:p>
        </w:tc>
        <w:tc>
          <w:tcPr>
            <w:tcW w:w="720" w:type="dxa"/>
            <w:vAlign w:val="bottom"/>
            <w:gridSpan w:val="3"/>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Borders>
              <w:top w:val="single" w:sz="8" w:color="DDDDDD"/>
            </w:tcBorders>
          </w:tcPr>
          <w:p>
            <w:pPr>
              <w:spacing w:after="0" w:line="189" w:lineRule="exact"/>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040" w:type="dxa"/>
            <w:vAlign w:val="bottom"/>
            <w:tcBorders>
              <w:top w:val="single" w:sz="8" w:color="DDDDDD"/>
            </w:tcBorders>
          </w:tcPr>
          <w:p>
            <w:pPr>
              <w:spacing w:after="0"/>
              <w:rPr>
                <w:sz w:val="16"/>
                <w:szCs w:val="16"/>
                <w:color w:val="auto"/>
              </w:rPr>
            </w:pPr>
          </w:p>
        </w:tc>
        <w:tc>
          <w:tcPr>
            <w:tcW w:w="160" w:type="dxa"/>
            <w:vAlign w:val="bottom"/>
            <w:tcBorders>
              <w:top w:val="single" w:sz="8" w:color="DDDDDD"/>
            </w:tcBorders>
          </w:tcPr>
          <w:p>
            <w:pPr>
              <w:spacing w:after="0"/>
              <w:rPr>
                <w:sz w:val="16"/>
                <w:szCs w:val="16"/>
                <w:color w:val="auto"/>
              </w:rPr>
            </w:pPr>
          </w:p>
        </w:tc>
        <w:tc>
          <w:tcPr>
            <w:tcW w:w="500" w:type="dxa"/>
            <w:vAlign w:val="bottom"/>
            <w:tcBorders>
              <w:top w:val="single" w:sz="8" w:color="DDDDDD"/>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DDDDDD"/>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DDDDDD"/>
            </w:tcBorders>
          </w:tcPr>
          <w:p>
            <w:pPr>
              <w:spacing w:after="0"/>
              <w:rPr>
                <w:sz w:val="16"/>
                <w:szCs w:val="16"/>
                <w:color w:val="auto"/>
              </w:rPr>
            </w:pPr>
          </w:p>
        </w:tc>
        <w:tc>
          <w:tcPr>
            <w:tcW w:w="80" w:type="dxa"/>
            <w:vAlign w:val="bottom"/>
            <w:tcBorders>
              <w:top w:val="single" w:sz="8" w:color="DDDDDD"/>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DDDDDD"/>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800" w:type="dxa"/>
            <w:vAlign w:val="bottom"/>
            <w:gridSpan w:val="4"/>
            <w:shd w:val="clear" w:color="auto" w:fill="DDDDDD"/>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720" w:type="dxa"/>
            <w:vAlign w:val="bottom"/>
            <w:gridSpan w:val="3"/>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Fiscal Years Ended December 28, 2025 and December 29, 2024</w:t>
      </w:r>
    </w:p>
    <w:p>
      <w:pPr>
        <w:spacing w:after="0" w:line="227" w:lineRule="exact"/>
        <w:rPr>
          <w:sz w:val="20"/>
          <w:szCs w:val="20"/>
          <w:color w:val="auto"/>
        </w:rPr>
      </w:pPr>
    </w:p>
    <w:p>
      <w:pPr>
        <w:ind w:left="340"/>
        <w:spacing w:after="0" w:line="216" w:lineRule="exact"/>
        <w:rPr>
          <w:sz w:val="20"/>
          <w:szCs w:val="20"/>
          <w:color w:val="auto"/>
        </w:rPr>
      </w:pPr>
      <w:r>
        <w:rPr>
          <w:rFonts w:ascii="PMingLiU" w:cs="PMingLiU" w:eastAsia="PMingLiU" w:hAnsi="PMingLiU"/>
          <w:sz w:val="18"/>
          <w:szCs w:val="18"/>
          <w:i w:val="1"/>
          <w:iCs w:val="1"/>
          <w:color w:val="auto"/>
        </w:rPr>
        <w:t>1HW5HYHQXH</w:t>
      </w:r>
    </w:p>
    <w:p>
      <w:pPr>
        <w:spacing w:after="0" w:line="2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revenue decreased in 2025 by $33.6 million, or 11%, compared to 2024. The decrease was primarily due to a decline of 15% in Total Orders Placed, along with slightly higher return rates partially offset by higher AOV compared to 2024.</w:t>
      </w:r>
    </w:p>
    <w:p>
      <w:pPr>
        <w:spacing w:after="0" w:line="160" w:lineRule="exact"/>
        <w:rPr>
          <w:sz w:val="20"/>
          <w:szCs w:val="20"/>
          <w:color w:val="auto"/>
        </w:rPr>
      </w:pPr>
    </w:p>
    <w:p>
      <w:pPr>
        <w:ind w:left="340"/>
        <w:spacing w:after="0" w:line="216" w:lineRule="exact"/>
        <w:rPr>
          <w:sz w:val="20"/>
          <w:szCs w:val="20"/>
          <w:color w:val="auto"/>
        </w:rPr>
      </w:pPr>
      <w:r>
        <w:rPr>
          <w:rFonts w:ascii="PMingLiU" w:cs="PMingLiU" w:eastAsia="PMingLiU" w:hAnsi="PMingLiU"/>
          <w:sz w:val="18"/>
          <w:szCs w:val="18"/>
          <w:i w:val="1"/>
          <w:iCs w:val="1"/>
          <w:color w:val="auto"/>
        </w:rPr>
        <w:t>&amp;RVWRI5HYHQXH</w:t>
      </w:r>
    </w:p>
    <w:p>
      <w:pPr>
        <w:spacing w:after="0" w:line="2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decreased in 2025 by $25.4 million, or 14% compared to 2024, which was primarily driven by lower shipping costs and product cost due to favorable shipping rates and reduced sales volume.</w:t>
      </w:r>
    </w:p>
    <w:p>
      <w:pPr>
        <w:spacing w:after="0" w:line="160" w:lineRule="exact"/>
        <w:rPr>
          <w:sz w:val="20"/>
          <w:szCs w:val="20"/>
          <w:color w:val="auto"/>
        </w:rPr>
      </w:pPr>
    </w:p>
    <w:p>
      <w:pPr>
        <w:ind w:left="340"/>
        <w:spacing w:after="0" w:line="216" w:lineRule="exact"/>
        <w:rPr>
          <w:sz w:val="20"/>
          <w:szCs w:val="20"/>
          <w:color w:val="auto"/>
        </w:rPr>
      </w:pPr>
      <w:r>
        <w:rPr>
          <w:rFonts w:ascii="PMingLiU" w:cs="PMingLiU" w:eastAsia="PMingLiU" w:hAnsi="PMingLiU"/>
          <w:sz w:val="18"/>
          <w:szCs w:val="18"/>
          <w:i w:val="1"/>
          <w:iCs w:val="1"/>
          <w:color w:val="auto"/>
        </w:rPr>
        <w:t>*URVV3URILW</w:t>
      </w:r>
    </w:p>
    <w:p>
      <w:pPr>
        <w:spacing w:after="0" w:line="2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decreased in 2025 by $8.2 million or 6% compared to 2024 which was primarily driven by the impact of the lower volume of sales, partially offset by improvements in merchandise margins and logistics costs.</w:t>
      </w:r>
    </w:p>
    <w:p>
      <w:pPr>
        <w:spacing w:after="0" w:line="160" w:lineRule="exact"/>
        <w:rPr>
          <w:sz w:val="20"/>
          <w:szCs w:val="20"/>
          <w:color w:val="auto"/>
        </w:rPr>
      </w:pPr>
    </w:p>
    <w:p>
      <w:pPr>
        <w:ind w:left="340"/>
        <w:spacing w:after="0" w:line="216" w:lineRule="exact"/>
        <w:rPr>
          <w:sz w:val="20"/>
          <w:szCs w:val="20"/>
          <w:color w:val="auto"/>
        </w:rPr>
      </w:pPr>
      <w:r>
        <w:rPr>
          <w:rFonts w:ascii="PMingLiU" w:cs="PMingLiU" w:eastAsia="PMingLiU" w:hAnsi="PMingLiU"/>
          <w:sz w:val="18"/>
          <w:szCs w:val="18"/>
          <w:i w:val="1"/>
          <w:iCs w:val="1"/>
          <w:color w:val="auto"/>
        </w:rPr>
        <w:t>6HOOLQJDQG0DUNHWLQJ([SHQVHV</w:t>
      </w: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in 2025 by $6.3 million, or 9% compared to 2024, due to lower online marketing costs of $4.9 million, lower merchant processing fees of $0.9 million along with reduced marketing software spend and other marketing costs of $0.5 million.</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920"/>
          </w:cols>
          <w:pgMar w:left="960" w:top="873" w:right="1000" w:bottom="0" w:gutter="0" w:footer="0" w:header="0"/>
          <w:type w:val="continuous"/>
        </w:sectPr>
      </w:pPr>
    </w:p>
    <w:bookmarkStart w:id="63" w:name="page64"/>
    <w:bookmarkEnd w:id="63"/>
    <w:p>
      <w:pPr>
        <w:ind w:left="340"/>
        <w:spacing w:after="0" w:line="216" w:lineRule="exact"/>
        <w:rPr>
          <w:sz w:val="20"/>
          <w:szCs w:val="20"/>
          <w:color w:val="auto"/>
        </w:rPr>
      </w:pPr>
      <w:r>
        <w:rPr>
          <w:rFonts w:ascii="PMingLiU" w:cs="PMingLiU" w:eastAsia="PMingLiU" w:hAnsi="PMingLiU"/>
          <w:sz w:val="18"/>
          <w:szCs w:val="18"/>
          <w:i w:val="1"/>
          <w:iCs w:val="1"/>
          <w:color w:val="auto"/>
        </w:rPr>
        <w:t>*HQHUDODQG$GPLQLVWUDWLYH([SHQVHV</w:t>
      </w:r>
    </w:p>
    <w:p>
      <w:pPr>
        <w:spacing w:after="0" w:line="2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in 2025 by $13.3 million, or 16%, compared to 2024. The decrease was primarily due to a $4.9 million decrease in fixed labor and benefits costs driven by reduced fixed headcount, a $3.7 million decrease in equity-based compensation expense, a $2.0 million decrease in variable labor and benefits associated with lower sales volume and increased process efficiency, a $1.2 million decrease in liability insurance and legal and professional fees and a $1.5 million decrease in software, occupancy, depreciation and amortization.</w:t>
      </w:r>
    </w:p>
    <w:p>
      <w:pPr>
        <w:spacing w:after="0" w:line="181" w:lineRule="exact"/>
        <w:rPr>
          <w:sz w:val="20"/>
          <w:szCs w:val="20"/>
          <w:color w:val="auto"/>
        </w:rPr>
      </w:pPr>
    </w:p>
    <w:p>
      <w:pPr>
        <w:ind w:left="340"/>
        <w:spacing w:after="0" w:line="216" w:lineRule="exact"/>
        <w:rPr>
          <w:sz w:val="20"/>
          <w:szCs w:val="20"/>
          <w:color w:val="auto"/>
        </w:rPr>
      </w:pPr>
      <w:r>
        <w:rPr>
          <w:rFonts w:ascii="PMingLiU" w:cs="PMingLiU" w:eastAsia="PMingLiU" w:hAnsi="PMingLiU"/>
          <w:sz w:val="18"/>
          <w:szCs w:val="18"/>
          <w:i w:val="1"/>
          <w:iCs w:val="1"/>
          <w:color w:val="auto"/>
        </w:rPr>
        <w:t>*RRGZLOO,PSDLUPHQW</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goodwill impairment was recognized in 2025. In 2024 we recorded a non-cash goodwill impairment expense of $28.4 million.</w:t>
      </w:r>
    </w:p>
    <w:p>
      <w:pPr>
        <w:spacing w:after="0" w:line="223" w:lineRule="exact"/>
        <w:rPr>
          <w:sz w:val="20"/>
          <w:szCs w:val="20"/>
          <w:color w:val="auto"/>
        </w:rPr>
      </w:pPr>
    </w:p>
    <w:p>
      <w:pPr>
        <w:ind w:left="340"/>
        <w:spacing w:after="0" w:line="216" w:lineRule="exact"/>
        <w:rPr>
          <w:sz w:val="20"/>
          <w:szCs w:val="20"/>
          <w:color w:val="auto"/>
        </w:rPr>
      </w:pPr>
      <w:r>
        <w:rPr>
          <w:rFonts w:ascii="PMingLiU" w:cs="PMingLiU" w:eastAsia="PMingLiU" w:hAnsi="PMingLiU"/>
          <w:sz w:val="18"/>
          <w:szCs w:val="18"/>
          <w:i w:val="1"/>
          <w:iCs w:val="1"/>
          <w:color w:val="auto"/>
        </w:rPr>
        <w:t>,QWHUHVW([SHQVH</w:t>
      </w:r>
    </w:p>
    <w:p>
      <w:pPr>
        <w:spacing w:after="0" w:line="2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in 2025 by $1.2 million, or 94%, compared to 2024. The increase is primarily attributable to higher average borrowings and write-off of loan amendment fees related to the Prior Credit Agreement of $0.9 million.</w:t>
      </w:r>
    </w:p>
    <w:p>
      <w:pPr>
        <w:spacing w:after="0" w:line="160" w:lineRule="exact"/>
        <w:rPr>
          <w:sz w:val="20"/>
          <w:szCs w:val="20"/>
          <w:color w:val="auto"/>
        </w:rPr>
      </w:pPr>
    </w:p>
    <w:p>
      <w:pPr>
        <w:ind w:left="340"/>
        <w:spacing w:after="0" w:line="216" w:lineRule="exact"/>
        <w:rPr>
          <w:sz w:val="20"/>
          <w:szCs w:val="20"/>
          <w:color w:val="auto"/>
        </w:rPr>
      </w:pPr>
      <w:r>
        <w:rPr>
          <w:rFonts w:ascii="PMingLiU" w:cs="PMingLiU" w:eastAsia="PMingLiU" w:hAnsi="PMingLiU"/>
          <w:sz w:val="18"/>
          <w:szCs w:val="18"/>
          <w:i w:val="1"/>
          <w:iCs w:val="1"/>
          <w:color w:val="auto"/>
        </w:rPr>
        <w:t>,QFRPH7D[3URYLVLRQ</w:t>
      </w: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was $0.2 million in 2025 compared to $2.3 million in 2024. The decrease of $2.1 million was primarily due to a decrease in deferred tax provision of $4.5 million which was partially offset by a state income tax benefit of $2.4 million that included a one-time state refund benefit of $2.2 million received in 2024.</w:t>
      </w:r>
    </w:p>
    <w:p>
      <w:pPr>
        <w:spacing w:after="0" w:line="17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Quarterly Trends and</w:t>
      </w:r>
      <w:r>
        <w:rPr>
          <w:rFonts w:ascii="PMingLiU" w:cs="PMingLiU" w:eastAsia="PMingLiU" w:hAnsi="PMingLiU"/>
          <w:sz w:val="18"/>
          <w:szCs w:val="18"/>
          <w:i w:val="1"/>
          <w:iCs w:val="1"/>
          <w:color w:val="auto"/>
        </w:rPr>
        <w:t/>
      </w:r>
      <w:r>
        <w:rPr>
          <w:rFonts w:ascii="Times New Roman" w:cs="Times New Roman" w:eastAsia="Times New Roman" w:hAnsi="Times New Roman"/>
          <w:sz w:val="18"/>
          <w:szCs w:val="18"/>
          <w:b w:val="1"/>
          <w:bCs w:val="1"/>
          <w:color w:val="auto"/>
        </w:rPr>
        <w:t>Seasonality</w:t>
      </w:r>
    </w:p>
    <w:p>
      <w:pPr>
        <w:spacing w:after="0" w:line="2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increased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 We recognized 23%, 29%, 26%, and 22% of our annual net revenue during the first, second, third, and fourth quarters of 2025, respectively.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our quarterly gross profit generally fluctuates in line with our net revenue, it is also based on how we manage our inventory and merchandise mix and can be further affected by non-recurring, external factors, such as global pandemics or trade wars.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 costs and vary quarter to quarter due to changes in the number of seasonal workers to meet demand based on our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generated from operating activities and borrowings under our 2025 Credit Agreement. Our primary requirements for liquidity and capital are inventory purchases, payroll and general operating expenses, capital expenditures associated with our distribution facilities, capitalized software and debt service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15, 2021, we entered into the Prior Credit Agreement with Bank of America (the “lender”) to provide a revolving facility that provided for borrowings up to $50.0 million with a maturity date of November 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interest rates in effect under the Prior Credit Agreement, as amended, during the thirteen and thirty-nine weeks ended September 28, 2025 were as</w:t>
      </w:r>
    </w:p>
    <w:p>
      <w:pPr>
        <w:sectPr>
          <w:pgSz w:w="11880" w:h="15480" w:orient="portrait"/>
          <w:cols w:equalWidth="0" w:num="1">
            <w:col w:w="9920"/>
          </w:cols>
          <w:pgMar w:left="960" w:top="87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920"/>
          </w:cols>
          <w:pgMar w:left="960" w:top="875" w:right="1000" w:bottom="0" w:gutter="0" w:footer="0" w:header="0"/>
          <w:type w:val="continuous"/>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follows: (a) in the case of Base Rate Loans, the Base Rate plus 5% (increased from a margin of 4%), (b) in the case of Term SOFR Loans, Term SOFR (subject to a credit spread adjustment of 10 basis points) plus (i) 6% (increased from a margin of 5%), and (c) the Letter of Credit Fee of 6% (increased from 5%).</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23, 2025, we entered into a Forbearance Agreement (the “Forbearance Agreement”) related to the Prior Credit Agreement with the lenders party thereto and Bank of America, N.A., as administrative agent (the “Administrative Agent”), and Swing Line Lender and an L/C Issuer (the “Lenders”). Pursuant to the terms of the Forbearance Agreement, the Administrative Agent and Lenders agreed that they would forbear, during the Forbearance Period (as defined in the Forbearance Agreement), from exercising any and all rights and remedies with respect to or arising out of the events of default that occurred as a result of the Company’s failure to comply with certain Refinancing Transaction Milestones (as defined in the Forbearance Agreement) by the specified dates under Sections 6.19(a), (c) and (d) of the Prior Credit Agreement. On August 11, 2025, we entered into an amendment to the Forbearance Agreement and the fifth amendment to the Prior Credit Agreement which extended the Forbearance Period and maturity date to August 22, 2025. Under the terms of the Forbearance Agreement, as amended, the Refinancing Transaction Milestones were due on the maturity date. No fees were paid in connection with the forbearance. The Forbearance Agreement was not entered into as a result of financial distress, but rather to provide additional time to finalize and execute the 2025 Credit Agreement.</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14, 2025, we entered into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us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28, 2025, we entered into an amendment to the 2025 Credit Agreement, which clarified the terms related to the manner in which interest is calculated, provides us greater flexibility with respect to the location of our corporate headquarters and extends the amount of time to produce our borrowing base reports.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funding of the 2025 Credit Agreement occurred on August 14, 2025, and the proceeds were used in part to repay approximately $6.0 million outstanding under the Prior Credit Agreement. In connection with entering into the 2025 Credit Agreement and the repayment in full of all outstanding obligations under the Prior Credit Agreement, the Prior Credit Agreement, along with the related Forbearance Agreement, as amended, were terminated.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28, 2025, the outstanding borrowing under the 2025 Credit Agreement was $14.4 million in addition to a $0.3 million letter of credit outstanding. After giving effect to the excess availability covenant and the outstanding letter of credit, the unused availability was $1.3 million. During 2025, the Company borrowed $115.1 million and repaid $100.7 million under the 2025 Credit Agreement and had a weighted average interest rate of 10.7%.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Use of Cash</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 xml:space="preserve">As of December 28, 2025, we had cash and cash equivalents of $2.7 million. During the year ended December 28, 2025, we took certain cost reduction and cash conservation measures, including headcount reductions, adjustments to marketing spend, and other fixed, variable, and capital spend. 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PMingLiU" w:cs="PMingLiU" w:eastAsia="PMingLiU" w:hAnsi="PMingLiU"/>
          <w:sz w:val="18"/>
          <w:szCs w:val="18"/>
          <w:i w:val="1"/>
          <w:iCs w:val="1"/>
          <w:color w:val="auto"/>
        </w:rPr>
        <w:t>'HEW</w:t>
      </w:r>
      <w:r>
        <w:rPr>
          <w:rFonts w:ascii="Times New Roman" w:cs="Times New Roman" w:eastAsia="Times New Roman" w:hAnsi="Times New Roman"/>
          <w:sz w:val="18"/>
          <w:szCs w:val="18"/>
          <w:color w:val="auto"/>
        </w:rPr>
        <w:t>. Actual results of operations will depend on numerous factors, many of which are beyond our control as further discussed in Part I, “</w:t>
      </w:r>
      <w:r>
        <w:rPr>
          <w:rFonts w:ascii="PMingLiU" w:cs="PMingLiU" w:eastAsia="PMingLiU" w:hAnsi="PMingLiU"/>
          <w:sz w:val="18"/>
          <w:szCs w:val="18"/>
          <w:i w:val="1"/>
          <w:iCs w:val="1"/>
          <w:color w:val="auto"/>
        </w:rPr>
        <w:t>,WHP$5LVN)DFWRUV</w:t>
      </w:r>
      <w:r>
        <w:rPr>
          <w:rFonts w:ascii="Times New Roman" w:cs="Times New Roman" w:eastAsia="Times New Roman" w:hAnsi="Times New Roman"/>
          <w:sz w:val="18"/>
          <w:szCs w:val="18"/>
          <w:color w:val="auto"/>
        </w:rPr>
        <w:t>” included elsewhere in this Annual Report on Form 10-K.</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920"/>
          </w:cols>
          <w:pgMar w:left="960" w:top="877" w:right="100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Pursuant to the 2024 Repurchase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3, 2024, our Board of Directors authorized a stock repurchase program to repurchase up to $2.5 million of our common stock (the “2024 Repurchase Program”). During 2025, we repurchased 123,934 shares of common stock in open market transactions pursuant to 10b5-1 purchase plans entered into by the Company for a total cost of $0.9 million. As of December 28, 2025, there was $1.1 million available under the 2024 Repurchase Program authorization.</w:t>
      </w:r>
    </w:p>
    <w:p>
      <w:pPr>
        <w:spacing w:after="0" w:line="180"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actual timing, number, and value of shares repurchased in the future will be determined at our discretion and will continue to depend on a number of factors, including market conditions, applicable legal requirements, our capital needs, and whether there is a better alternative use of capital. Repurchases will continue to be funded from our existing cash and cash equivalents, or future cash flow. The 2024 Repurchase Program may be modified, suspended, or terminated at any time. For further information on the 2024 Repurchase Program, see Note 8, </w:t>
      </w:r>
      <w:r>
        <w:rPr>
          <w:rFonts w:ascii="PMingLiU" w:cs="PMingLiU" w:eastAsia="PMingLiU" w:hAnsi="PMingLiU"/>
          <w:sz w:val="18"/>
          <w:szCs w:val="18"/>
          <w:i w:val="1"/>
          <w:iCs w:val="1"/>
          <w:color w:val="auto"/>
        </w:rPr>
        <w:t>6WRFNKROGHU¶V(TXLW\</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0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r>
      <w:tr>
        <w:trPr>
          <w:trHeight w:val="216"/>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r>
      <w:tr>
        <w:trPr>
          <w:trHeight w:val="216"/>
        </w:trPr>
        <w:tc>
          <w:tcPr>
            <w:tcW w:w="6040" w:type="dxa"/>
            <w:vAlign w:val="bottom"/>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260"/>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shd w:val="clear" w:color="auto" w:fill="DDDDDD"/>
          </w:tcPr>
          <w:p>
            <w:pPr>
              <w:spacing w:after="0"/>
              <w:rPr>
                <w:sz w:val="18"/>
                <w:szCs w:val="18"/>
                <w:color w:val="auto"/>
              </w:rPr>
            </w:pPr>
          </w:p>
        </w:tc>
        <w:tc>
          <w:tcPr>
            <w:tcW w:w="1260" w:type="dxa"/>
            <w:vAlign w:val="bottom"/>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18"/>
                <w:szCs w:val="18"/>
                <w:color w:val="auto"/>
              </w:rPr>
              <w:t>(2,874)</w:t>
            </w:r>
          </w:p>
        </w:tc>
        <w:tc>
          <w:tcPr>
            <w:tcW w:w="260" w:type="dxa"/>
            <w:vAlign w:val="bottom"/>
            <w:shd w:val="clear" w:color="auto" w:fill="DDDDDD"/>
          </w:tcPr>
          <w:p>
            <w:pPr>
              <w:spacing w:after="0"/>
              <w:rPr>
                <w:sz w:val="18"/>
                <w:szCs w:val="18"/>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16"/>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r>
      <w:tr>
        <w:trPr>
          <w:trHeight w:val="210"/>
        </w:trPr>
        <w:tc>
          <w:tcPr>
            <w:tcW w:w="604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bottom w:val="single" w:sz="8" w:color="auto"/>
            </w:tcBorders>
            <w:shd w:val="clear" w:color="auto" w:fill="DDDDDD"/>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60" w:type="dxa"/>
            <w:vAlign w:val="bottom"/>
            <w:tcBorders>
              <w:top w:val="single" w:sz="8" w:color="DDDDDD"/>
              <w:bottom w:val="single" w:sz="8" w:color="DDDDDD"/>
            </w:tcBorders>
            <w:shd w:val="clear" w:color="auto" w:fill="DDDDDD"/>
          </w:tcPr>
          <w:p>
            <w:pPr>
              <w:spacing w:after="0"/>
              <w:rPr>
                <w:sz w:val="18"/>
                <w:szCs w:val="18"/>
                <w:color w:val="auto"/>
              </w:rPr>
            </w:pP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80" w:type="dxa"/>
            <w:vAlign w:val="bottom"/>
            <w:tcBorders>
              <w:top w:val="single" w:sz="8" w:color="DDDDDD"/>
              <w:bottom w:val="single" w:sz="8" w:color="DDDDDD"/>
            </w:tcBorders>
            <w:shd w:val="clear" w:color="auto" w:fill="DDDDDD"/>
          </w:tcPr>
          <w:p>
            <w:pPr>
              <w:spacing w:after="0"/>
              <w:rPr>
                <w:sz w:val="18"/>
                <w:szCs w:val="18"/>
                <w:color w:val="auto"/>
              </w:rPr>
            </w:pPr>
          </w:p>
        </w:tc>
        <w:tc>
          <w:tcPr>
            <w:tcW w:w="260" w:type="dxa"/>
            <w:vAlign w:val="bottom"/>
            <w:tcBorders>
              <w:top w:val="single" w:sz="8" w:color="auto"/>
              <w:bottom w:val="single" w:sz="8" w:color="auto"/>
            </w:tcBorders>
            <w:shd w:val="clear" w:color="auto" w:fill="DDDDDD"/>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(7,713)</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loss adjusted for certain non-cash items, including depreciation, amortization, noncash lease expense, equity-based compensation, amortization of debt discount and debt issuance costs, and the effect of changes in working capital and other activities.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2025, net cash provided by operating activities was $1.4 million, which primarily consisted of a net loss of $13.7 million, partially offset by non-cash charges of $14.3 million and a net change of $0.8 million in operating assets and liabilities. The non-cash charges were primarily comprised of $5.1 million of depreciation and amortization, $4.5 million of equity-based compensation expense, and $4.5 million of non-cash lease expense. The net change in operating assets and liabilities was primarily driven by a $3.1 million decrease in income tax receivable due to the receipt of state income tax refunds and a $2.2 million increase in accrued expenses and other current liabilities primarily driven by increase in returns reserve and stored-value card liabilities. These increases were partially offset by a $4.3 million decrease in operating lease liabilities and a $2.7 million increase in accounts payable.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2024, net cash provided by operating activities was $2.6 million, which primarily consisted of a net loss of $55.3 million, partially offset by non-cash charges of $50.4 million and a net change of $7.5 million in operating assets and liabilities. The non-cash charges were primarily comprised of $28.4 million of goodwill impairment, $8.1 million of equity-based compensation expense, $5.5 million of depreciation and amortization, $4.1 million of non-cash lease expense and $3.8 million of deferred income taxes. The net change in operating assets and liabilities was primarily driven by a $4.8 million increase in accrued expenses and other current liabilities primarily driven by increase in returns reserve and stored-value card liabilities, a $2.1 million decrease in accounts payable related to purchases activity in line with sales, a $1.4 million decrease of accounts receivable driven by lower sales and a $1.4 million increase in inventory. These increases were partially offset by a $3.5 million decrease in operating lease liabilities.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 or contraction of our operations. We have no material commitments for capital expenditures.</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920"/>
          </w:cols>
          <w:pgMar w:left="960" w:top="873" w:right="1000" w:bottom="0" w:gutter="0" w:footer="0" w:header="0"/>
          <w:type w:val="continuous"/>
        </w:sectPr>
      </w:pPr>
    </w:p>
    <w:bookmarkStart w:id="66" w:name="page67"/>
    <w:bookmarkEnd w:id="66"/>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2025, as compared to 2024, net cash used in investing activities decreased by $0.8 million, primarily due to lower purchases of property and equipment.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Financing activities consist primarily of borrowings and repayments related to our revolving facility under the Prior Credit Agreement and the 2025 Credit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cash used in financing activities was $1.0 million, primarily due to $100.7 million of repayments under our 2025 Credit Agreement, $13.1 million of repayments under our Prior Credit Agreement, $1.3 million of principal payments of finance lease obligations, and $0.9 million used in the repurchase of our common stock, partially offset by $115.1 million of proceeds from borrowings under our 2025 Credit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2024, cash provided by financing activities was $2.2 million, primarily due to $33.1 million of proceeds from borrowings under our Prior Credit Agreement which was partially offset by $28.0 million of repayments under our Prior Credit Agreement, $1.4 million of principal payments on finance lease obligations, $1.3 million of withholding tax payments related to the vesting of equity-based awards and $0.5 million used in the repurchase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most significant contractual obligations relate to our 2025 Credit Agreement and operating lease obligations on our distribution facilities and corporate offices. For information on our 2025 Credit Agreement,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for information on our contractual obligations for operating leases, 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assumptions and estimates associated with revenue recognition, equity-based compensation, and income taxes have the greatest potential impact on our consolidated financial statements. Therefore, we consider these to be our critical accounting policies and estimates. For further information on all of our significant accounting policies, please see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of the accompanying notes to our consolidated financial statements included elsewhere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our revenue recognition does not involve significant judgment, it represents an important accounting policy. We generate revenue both from the sale of merchandise products sold directly to end customers and to wholesale customers. We recognize revenue when the product is transferred to the customer, which is generally upon shipment. We estimate a reserve of future returns based on historical return rates. There is judgment in utilizing historical trends for estimating future returns. Our refund for sales returns is included in returns reserve and asset for recovery on the consolidated balance sheets and represents the expected value of the refund that will be due to our customers.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estimates breakage related to store credits using historical redemption rates for each store credit issuance year, which reflects customer redemption patterns. The Company periodically evaluates redemption patterns and may record adjustments to its breakage estimate from time to time. These changes may impact trends for the quarter and/or year in the period the changes are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compute our provision for income taxes using the asset and liability method, under which DTAs and DTLs are recognized for the expected future tax consequences of temporary differences between the financial reporting and tax bases of assets and liabilities and</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920"/>
          </w:cols>
          <w:pgMar w:left="960" w:top="877" w:right="1000" w:bottom="0" w:gutter="0" w:footer="0" w:header="0"/>
          <w:type w:val="continuous"/>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for operating losses and tax credit carryforwards. DTAs and DTLs are measured using the currently enacted tax rates that apply to taxable income in effect for the years in which they are expected to be realized or settled.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DTAs are evaluated for future realization and reduced by a valuation allowance to the amount that is more likely than not to be realized. We consider many factors when assessing the likelihood of future realization, including our recent cumulative loss, earnings expectations in earlier future years, and other relevant factors.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28, 2025, we had approximately $23.9 million in gross DTAs and $8.1 million in gross DTLs, which resulted in a net DTA of $15.8 million. These DTAs include approximately $5.9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not have sufficient taxable income in the future that will allow us to realize the DTAs. Due to the weight of objectively verifiable negative evidence, we established a valuation allowance in the prior year of $14.9 million and increased the allowance to $16.7 million as of December 28, 2025, which reduced the tax benefit recognized in the current year, impacting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3"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 xml:space="preserve">See Note 2, </w:t>
      </w:r>
      <w:r>
        <w:rPr>
          <w:rFonts w:ascii="PMingLiU" w:cs="PMingLiU" w:eastAsia="PMingLiU" w:hAnsi="PMingLiU"/>
          <w:sz w:val="18"/>
          <w:szCs w:val="18"/>
          <w:i w:val="1"/>
          <w:iCs w:val="1"/>
          <w:color w:val="auto"/>
        </w:rPr>
        <w:t>6LJQLILFDQW $FFRXQWLQJ 3ROLFLHV²5HFHQWO\ ,VVXHG $FFRXQWLQJ 3URQRXQFHPHQWV</w:t>
      </w:r>
      <w:r>
        <w:rPr>
          <w:rFonts w:ascii="Times New Roman" w:cs="Times New Roman" w:eastAsia="Times New Roman" w:hAnsi="Times New Roman"/>
          <w:sz w:val="18"/>
          <w:szCs w:val="18"/>
          <w:color w:val="auto"/>
        </w:rPr>
        <w:t>, of the accompanying notes to our consolidated financial statements included elsewhere in this Annual Report on Form 10-K for more information about recent accounting pronouncements, the timing of their adoption, and our assessment, to the extent we have made one, of their potential impact on our financial position and our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consolidated financial statements may not be comparable to companies that comply with new or revised accounting pronouncements as of public company effective dates.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solely based within the U.S. and the majority of our sales are within the U.S.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are held primarily in money market funds and cash deposits. The fair value of our cash and cash equivalents would not be significantly affected by either an increase or decrease in interest rates due mainly to the short-term nature of these instruments. Interest on any borrowings incurred pursuant to our 2025 Credit Agreement, accrue at a floating rate based on a formula tied to certain market rates at the time of incurrence; however, we do not expect that any change in prevailing interest rates will have a material impact on our results of operations.</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our domestic sales and operating expenses are denominated in U.S. dollars, and therefore, our income/(loss) before income taxes is not currently subject to foreign currency risk.</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inflationary pressures in our supply chain and in our operating costs, as well as impacts related to our customers’ spending levels, which fluctuate with inflation.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880" w:h="15480" w:orient="portrait"/>
          <w:cols w:equalWidth="0" w:num="1">
            <w:col w:w="9920"/>
          </w:cols>
          <w:pgMar w:left="960" w:top="8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920"/>
          </w:cols>
          <w:pgMar w:left="960" w:top="877" w:right="100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80" w:type="dxa"/>
            <w:vAlign w:val="bottom"/>
          </w:tcPr>
          <w:p>
            <w:pPr>
              <w:spacing w:after="0"/>
              <w:rPr>
                <w:sz w:val="20"/>
                <w:szCs w:val="20"/>
                <w:color w:val="auto"/>
              </w:rPr>
            </w:pPr>
          </w:p>
        </w:tc>
      </w:tr>
      <w:tr>
        <w:trPr>
          <w:trHeight w:val="445"/>
        </w:trPr>
        <w:tc>
          <w:tcPr>
            <w:tcW w:w="83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tc>
        <w:tc>
          <w:tcPr>
            <w:tcW w:w="1580" w:type="dxa"/>
            <w:vAlign w:val="bottom"/>
          </w:tcPr>
          <w:p>
            <w:pPr>
              <w:spacing w:after="0"/>
              <w:rPr>
                <w:sz w:val="24"/>
                <w:szCs w:val="24"/>
                <w:color w:val="auto"/>
              </w:rPr>
            </w:pPr>
          </w:p>
        </w:tc>
      </w:tr>
      <w:tr>
        <w:trPr>
          <w:trHeight w:val="419"/>
        </w:trPr>
        <w:tc>
          <w:tcPr>
            <w:tcW w:w="834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80" w:type="dxa"/>
            <w:vAlign w:val="bottom"/>
          </w:tcPr>
          <w:p>
            <w:pPr>
              <w:spacing w:after="0"/>
              <w:rPr>
                <w:sz w:val="24"/>
                <w:szCs w:val="24"/>
                <w:color w:val="auto"/>
              </w:rPr>
            </w:pPr>
          </w:p>
        </w:tc>
      </w:tr>
      <w:tr>
        <w:trPr>
          <w:trHeight w:val="432"/>
        </w:trPr>
        <w:tc>
          <w:tcPr>
            <w:tcW w:w="8340" w:type="dxa"/>
            <w:vAlign w:val="bottom"/>
          </w:tcPr>
          <w:p>
            <w:pPr>
              <w:spacing w:after="0"/>
              <w:rPr>
                <w:sz w:val="24"/>
                <w:szCs w:val="24"/>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No. 34)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2"/>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580" w:type="dxa"/>
            <w:vAlign w:val="bottom"/>
          </w:tcPr>
          <w:p>
            <w:pPr>
              <w:spacing w:after="0"/>
              <w:rPr>
                <w:sz w:val="24"/>
                <w:szCs w:val="24"/>
                <w:color w:val="auto"/>
              </w:rPr>
            </w:pPr>
          </w:p>
        </w:tc>
      </w:tr>
      <w:tr>
        <w:trPr>
          <w:trHeight w:val="432"/>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32"/>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920"/>
          </w:cols>
          <w:pgMar w:left="960" w:top="873" w:right="1000" w:bottom="0" w:gutter="0" w:footer="0" w:header="0"/>
          <w:type w:val="continuous"/>
        </w:sectPr>
      </w:pPr>
    </w:p>
    <w:bookmarkStart w:id="69" w:name="page70"/>
    <w:bookmarkEnd w:id="69"/>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Lulu’s Fashion Lounge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Lulu’s Fashion Lounge Holdings, Inc. and subsidiaries (the “Company”) as of December 28, 2025, and December 29, 2024, the related consolidated statements of operations and comprehensive loss, stockholders’ equity, and cash flows, for each of the three years in the period ended December 28, 2025, and the related notes (collectively referred to as the “financial statements”). In our opinion, the financial statements present fairly, in all material respects, the financial position of the Company as of December 28, 2025, and December 29, 2024, and the results of its operations and its cash flows for each of the three fiscal years in the period ended December 28, 2025,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ectPr>
          <w:pgSz w:w="11880" w:h="15480" w:orient="portrait"/>
          <w:cols w:equalWidth="0" w:num="1">
            <w:col w:w="9920"/>
          </w:cols>
          <w:pgMar w:left="96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920"/>
          </w:cols>
          <w:pgMar w:left="960" w:top="873" w:right="100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28,</w:t>
            </w:r>
          </w:p>
        </w:tc>
        <w:tc>
          <w:tcPr>
            <w:tcW w:w="160" w:type="dxa"/>
            <w:vAlign w:val="bottom"/>
          </w:tcPr>
          <w:p>
            <w:pPr>
              <w:spacing w:after="0"/>
              <w:rPr>
                <w:sz w:val="12"/>
                <w:szCs w:val="12"/>
                <w:color w:val="auto"/>
              </w:rPr>
            </w:pPr>
          </w:p>
        </w:tc>
        <w:tc>
          <w:tcPr>
            <w:tcW w:w="10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December 29,</w:t>
            </w:r>
          </w:p>
        </w:tc>
        <w:tc>
          <w:tcPr>
            <w:tcW w:w="0" w:type="dxa"/>
            <w:vAlign w:val="bottom"/>
          </w:tcPr>
          <w:p>
            <w:pPr>
              <w:spacing w:after="0"/>
              <w:rPr>
                <w:sz w:val="1"/>
                <w:szCs w:val="1"/>
                <w:color w:val="auto"/>
              </w:rPr>
            </w:pPr>
          </w:p>
        </w:tc>
      </w:tr>
      <w:tr>
        <w:trPr>
          <w:trHeight w:val="155"/>
        </w:trPr>
        <w:tc>
          <w:tcPr>
            <w:tcW w:w="6780" w:type="dxa"/>
            <w:vAlign w:val="bottom"/>
            <w:tcBorders>
              <w:bottom w:val="single" w:sz="8" w:color="DDDDDD"/>
            </w:tcBorders>
          </w:tcPr>
          <w:p>
            <w:pPr>
              <w:spacing w:after="0"/>
              <w:rPr>
                <w:sz w:val="13"/>
                <w:szCs w:val="13"/>
                <w:color w:val="auto"/>
              </w:rPr>
            </w:pPr>
          </w:p>
        </w:tc>
        <w:tc>
          <w:tcPr>
            <w:tcW w:w="400" w:type="dxa"/>
            <w:vAlign w:val="bottom"/>
            <w:tcBorders>
              <w:bottom w:val="single" w:sz="8" w:color="DDDDDD"/>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DDDDDD"/>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6780" w:type="dxa"/>
            <w:vAlign w:val="bottom"/>
            <w:shd w:val="clear" w:color="auto" w:fill="DDDDDD"/>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60" w:type="dxa"/>
            <w:vAlign w:val="bottom"/>
            <w:gridSpan w:val="2"/>
            <w:shd w:val="clear" w:color="auto" w:fill="DDDDDD"/>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2,661</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0" w:type="dxa"/>
            <w:vAlign w:val="bottom"/>
          </w:tcPr>
          <w:p>
            <w:pPr>
              <w:spacing w:after="0"/>
              <w:rPr>
                <w:sz w:val="1"/>
                <w:szCs w:val="1"/>
                <w:color w:val="auto"/>
              </w:rPr>
            </w:pPr>
          </w:p>
        </w:tc>
      </w:tr>
      <w:tr>
        <w:trPr>
          <w:trHeight w:val="148"/>
        </w:trPr>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32,444</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34,036</w:t>
            </w:r>
          </w:p>
        </w:tc>
        <w:tc>
          <w:tcPr>
            <w:tcW w:w="0" w:type="dxa"/>
            <w:vAlign w:val="bottom"/>
          </w:tcPr>
          <w:p>
            <w:pPr>
              <w:spacing w:after="0"/>
              <w:rPr>
                <w:sz w:val="1"/>
                <w:szCs w:val="1"/>
                <w:color w:val="auto"/>
              </w:rPr>
            </w:pPr>
          </w:p>
        </w:tc>
      </w:tr>
      <w:tr>
        <w:trPr>
          <w:trHeight w:val="149"/>
        </w:trPr>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2,383</w:t>
            </w: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 receivable, net</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4,177</w:t>
            </w:r>
          </w:p>
        </w:tc>
        <w:tc>
          <w:tcPr>
            <w:tcW w:w="0" w:type="dxa"/>
            <w:vAlign w:val="bottom"/>
          </w:tcPr>
          <w:p>
            <w:pPr>
              <w:spacing w:after="0"/>
              <w:rPr>
                <w:sz w:val="1"/>
                <w:szCs w:val="1"/>
                <w:color w:val="auto"/>
              </w:rPr>
            </w:pPr>
          </w:p>
        </w:tc>
      </w:tr>
      <w:tr>
        <w:trPr>
          <w:trHeight w:val="148"/>
        </w:trPr>
        <w:tc>
          <w:tcPr>
            <w:tcW w:w="6780" w:type="dxa"/>
            <w:vAlign w:val="bottom"/>
            <w:tcBorders>
              <w:bottom w:val="single" w:sz="8" w:color="DDDDDD"/>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400" w:type="dxa"/>
            <w:vAlign w:val="bottom"/>
            <w:tcBorders>
              <w:bottom w:val="single" w:sz="8" w:color="DDDDD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3,606</w:t>
            </w:r>
          </w:p>
        </w:tc>
        <w:tc>
          <w:tcPr>
            <w:tcW w:w="260" w:type="dxa"/>
            <w:vAlign w:val="bottom"/>
            <w:tcBorders>
              <w:bottom w:val="single" w:sz="8" w:color="DDDDD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142"/>
        </w:trPr>
        <w:tc>
          <w:tcPr>
            <w:tcW w:w="6780" w:type="dxa"/>
            <w:vAlign w:val="bottom"/>
            <w:shd w:val="clear" w:color="auto" w:fill="DDDDDD"/>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43,648</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51,501</w:t>
            </w:r>
          </w:p>
        </w:tc>
        <w:tc>
          <w:tcPr>
            <w:tcW w:w="0" w:type="dxa"/>
            <w:vAlign w:val="bottom"/>
          </w:tcPr>
          <w:p>
            <w:pPr>
              <w:spacing w:after="0"/>
              <w:rPr>
                <w:sz w:val="1"/>
                <w:szCs w:val="1"/>
                <w:color w:val="auto"/>
              </w:rPr>
            </w:pPr>
          </w:p>
        </w:tc>
      </w:tr>
      <w:tr>
        <w:trPr>
          <w:trHeight w:val="149"/>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w:t>
            </w: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24,030</w:t>
            </w:r>
          </w:p>
        </w:tc>
        <w:tc>
          <w:tcPr>
            <w:tcW w:w="0" w:type="dxa"/>
            <w:vAlign w:val="bottom"/>
          </w:tcPr>
          <w:p>
            <w:pPr>
              <w:spacing w:after="0"/>
              <w:rPr>
                <w:sz w:val="1"/>
                <w:szCs w:val="1"/>
                <w:color w:val="auto"/>
              </w:rPr>
            </w:pPr>
          </w:p>
        </w:tc>
      </w:tr>
      <w:tr>
        <w:trPr>
          <w:trHeight w:val="149"/>
        </w:trPr>
        <w:tc>
          <w:tcPr>
            <w:tcW w:w="678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400" w:type="dxa"/>
            <w:vAlign w:val="bottom"/>
            <w:shd w:val="clear" w:color="auto" w:fill="DDDDDD"/>
          </w:tcPr>
          <w:p>
            <w:pPr>
              <w:spacing w:after="0"/>
              <w:rPr>
                <w:sz w:val="12"/>
                <w:szCs w:val="12"/>
                <w:color w:val="auto"/>
              </w:rPr>
            </w:pPr>
          </w:p>
        </w:tc>
        <w:tc>
          <w:tcPr>
            <w:tcW w:w="16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260" w:type="dxa"/>
            <w:vAlign w:val="bottom"/>
            <w:shd w:val="clear" w:color="auto" w:fill="DDDDDD"/>
          </w:tcPr>
          <w:p>
            <w:pPr>
              <w:spacing w:after="0"/>
              <w:rPr>
                <w:sz w:val="12"/>
                <w:szCs w:val="12"/>
                <w:color w:val="auto"/>
              </w:rPr>
            </w:pPr>
          </w:p>
        </w:tc>
        <w:tc>
          <w:tcPr>
            <w:tcW w:w="160" w:type="dxa"/>
            <w:vAlign w:val="bottom"/>
            <w:tcBorders>
              <w:bottom w:val="single" w:sz="8" w:color="auto"/>
            </w:tcBorders>
            <w:shd w:val="clear" w:color="auto" w:fill="DDDDDD"/>
          </w:tcPr>
          <w:p>
            <w:pPr>
              <w:spacing w:after="0"/>
              <w:rPr>
                <w:sz w:val="12"/>
                <w:szCs w:val="12"/>
                <w:color w:val="auto"/>
              </w:rPr>
            </w:pPr>
          </w:p>
        </w:tc>
        <w:tc>
          <w:tcPr>
            <w:tcW w:w="1080" w:type="dxa"/>
            <w:vAlign w:val="bottom"/>
            <w:tcBorders>
              <w:bottom w:val="single" w:sz="8" w:color="auto"/>
            </w:tcBorders>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182"/>
        </w:trPr>
        <w:tc>
          <w:tcPr>
            <w:tcW w:w="6780" w:type="dxa"/>
            <w:vAlign w:val="bottom"/>
            <w:tcBorders>
              <w:bottom w:val="single" w:sz="8" w:color="DDDDDD"/>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40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89,364</w:t>
            </w:r>
          </w:p>
        </w:tc>
        <w:tc>
          <w:tcPr>
            <w:tcW w:w="26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0" w:type="dxa"/>
            <w:vAlign w:val="bottom"/>
          </w:tcPr>
          <w:p>
            <w:pPr>
              <w:spacing w:after="0"/>
              <w:rPr>
                <w:sz w:val="1"/>
                <w:szCs w:val="1"/>
                <w:color w:val="auto"/>
              </w:rPr>
            </w:pPr>
          </w:p>
        </w:tc>
      </w:tr>
      <w:tr>
        <w:trPr>
          <w:trHeight w:val="129"/>
        </w:trPr>
        <w:tc>
          <w:tcPr>
            <w:tcW w:w="6780" w:type="dxa"/>
            <w:vAlign w:val="bottom"/>
            <w:shd w:val="clear" w:color="auto" w:fill="DDDDDD"/>
          </w:tcPr>
          <w:p>
            <w:pPr>
              <w:spacing w:after="0"/>
              <w:rPr>
                <w:sz w:val="11"/>
                <w:szCs w:val="11"/>
                <w:color w:val="auto"/>
              </w:rPr>
            </w:pPr>
          </w:p>
        </w:tc>
        <w:tc>
          <w:tcPr>
            <w:tcW w:w="40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1060" w:type="dxa"/>
            <w:vAlign w:val="bottom"/>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108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8,340</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10,991</w:t>
            </w: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17,411</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15,985</w:t>
            </w:r>
          </w:p>
        </w:tc>
        <w:tc>
          <w:tcPr>
            <w:tcW w:w="0" w:type="dxa"/>
            <w:vAlign w:val="bottom"/>
          </w:tcPr>
          <w:p>
            <w:pPr>
              <w:spacing w:after="0"/>
              <w:rPr>
                <w:sz w:val="1"/>
                <w:szCs w:val="1"/>
                <w:color w:val="auto"/>
              </w:rPr>
            </w:pPr>
          </w:p>
        </w:tc>
      </w:tr>
      <w:tr>
        <w:trPr>
          <w:trHeight w:val="148"/>
        </w:trPr>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Returns reserve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9,765</w:t>
            </w:r>
          </w:p>
        </w:tc>
        <w:tc>
          <w:tcPr>
            <w:tcW w:w="0" w:type="dxa"/>
            <w:vAlign w:val="bottom"/>
          </w:tcPr>
          <w:p>
            <w:pPr>
              <w:spacing w:after="0"/>
              <w:rPr>
                <w:sz w:val="1"/>
                <w:szCs w:val="1"/>
                <w:color w:val="auto"/>
              </w:rPr>
            </w:pPr>
          </w:p>
        </w:tc>
      </w:tr>
      <w:tr>
        <w:trPr>
          <w:trHeight w:val="149"/>
        </w:trPr>
        <w:tc>
          <w:tcPr>
            <w:tcW w:w="678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Stored-value card liability</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18,231</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17,883</w:t>
            </w:r>
          </w:p>
        </w:tc>
        <w:tc>
          <w:tcPr>
            <w:tcW w:w="0" w:type="dxa"/>
            <w:vAlign w:val="bottom"/>
          </w:tcPr>
          <w:p>
            <w:pPr>
              <w:spacing w:after="0"/>
              <w:rPr>
                <w:sz w:val="1"/>
                <w:szCs w:val="1"/>
                <w:color w:val="auto"/>
              </w:rPr>
            </w:pPr>
          </w:p>
        </w:tc>
      </w:tr>
      <w:tr>
        <w:trPr>
          <w:trHeight w:val="148"/>
        </w:trPr>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 based revolving credit facility – current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14,390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Revolving line of credit</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320" w:type="dxa"/>
            <w:vAlign w:val="bottom"/>
            <w:gridSpan w:val="2"/>
            <w:shd w:val="clear" w:color="auto" w:fill="DDDDDD"/>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13,090</w:t>
            </w:r>
          </w:p>
        </w:tc>
        <w:tc>
          <w:tcPr>
            <w:tcW w:w="0" w:type="dxa"/>
            <w:vAlign w:val="bottom"/>
          </w:tcPr>
          <w:p>
            <w:pPr>
              <w:spacing w:after="0"/>
              <w:rPr>
                <w:sz w:val="1"/>
                <w:szCs w:val="1"/>
                <w:color w:val="auto"/>
              </w:rPr>
            </w:pPr>
          </w:p>
        </w:tc>
      </w:tr>
      <w:tr>
        <w:trPr>
          <w:trHeight w:val="148"/>
        </w:trPr>
        <w:tc>
          <w:tcPr>
            <w:tcW w:w="6780" w:type="dxa"/>
            <w:vAlign w:val="bottom"/>
            <w:tcBorders>
              <w:bottom w:val="single" w:sz="8" w:color="DDDDDD"/>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400" w:type="dxa"/>
            <w:vAlign w:val="bottom"/>
            <w:tcBorders>
              <w:bottom w:val="single" w:sz="8" w:color="DDDDD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6,402</w:t>
            </w:r>
          </w:p>
        </w:tc>
        <w:tc>
          <w:tcPr>
            <w:tcW w:w="260" w:type="dxa"/>
            <w:vAlign w:val="bottom"/>
            <w:tcBorders>
              <w:bottom w:val="single" w:sz="8" w:color="DDDDD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142"/>
        </w:trPr>
        <w:tc>
          <w:tcPr>
            <w:tcW w:w="6780" w:type="dxa"/>
            <w:vAlign w:val="bottom"/>
            <w:shd w:val="clear" w:color="auto" w:fill="DDDDDD"/>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75,063</w:t>
            </w: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74,325</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19,653</w:t>
            </w:r>
          </w:p>
        </w:tc>
        <w:tc>
          <w:tcPr>
            <w:tcW w:w="0" w:type="dxa"/>
            <w:vAlign w:val="bottom"/>
          </w:tcPr>
          <w:p>
            <w:pPr>
              <w:spacing w:after="0"/>
              <w:rPr>
                <w:sz w:val="1"/>
                <w:szCs w:val="1"/>
                <w:color w:val="auto"/>
              </w:rPr>
            </w:pPr>
          </w:p>
        </w:tc>
      </w:tr>
      <w:tr>
        <w:trPr>
          <w:trHeight w:val="149"/>
        </w:trPr>
        <w:tc>
          <w:tcPr>
            <w:tcW w:w="678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400" w:type="dxa"/>
            <w:vAlign w:val="bottom"/>
            <w:shd w:val="clear" w:color="auto" w:fill="DDDDDD"/>
          </w:tcPr>
          <w:p>
            <w:pPr>
              <w:spacing w:after="0"/>
              <w:rPr>
                <w:sz w:val="12"/>
                <w:szCs w:val="12"/>
                <w:color w:val="auto"/>
              </w:rPr>
            </w:pPr>
          </w:p>
        </w:tc>
        <w:tc>
          <w:tcPr>
            <w:tcW w:w="16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260" w:type="dxa"/>
            <w:vAlign w:val="bottom"/>
            <w:shd w:val="clear" w:color="auto" w:fill="DDDDDD"/>
          </w:tcPr>
          <w:p>
            <w:pPr>
              <w:spacing w:after="0"/>
              <w:rPr>
                <w:sz w:val="12"/>
                <w:szCs w:val="12"/>
                <w:color w:val="auto"/>
              </w:rPr>
            </w:pPr>
          </w:p>
        </w:tc>
        <w:tc>
          <w:tcPr>
            <w:tcW w:w="160" w:type="dxa"/>
            <w:vAlign w:val="bottom"/>
            <w:tcBorders>
              <w:bottom w:val="single" w:sz="8" w:color="auto"/>
            </w:tcBorders>
            <w:shd w:val="clear" w:color="auto" w:fill="DDDDDD"/>
          </w:tcPr>
          <w:p>
            <w:pPr>
              <w:spacing w:after="0"/>
              <w:rPr>
                <w:sz w:val="12"/>
                <w:szCs w:val="12"/>
                <w:color w:val="auto"/>
              </w:rPr>
            </w:pPr>
          </w:p>
        </w:tc>
        <w:tc>
          <w:tcPr>
            <w:tcW w:w="1080" w:type="dxa"/>
            <w:vAlign w:val="bottom"/>
            <w:tcBorders>
              <w:bottom w:val="single" w:sz="8" w:color="auto"/>
            </w:tcBorders>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DDDDDD"/>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400" w:type="dxa"/>
            <w:vAlign w:val="bottom"/>
            <w:tcBorders>
              <w:bottom w:val="single" w:sz="8" w:color="DDDDD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86,350</w:t>
            </w:r>
          </w:p>
        </w:tc>
        <w:tc>
          <w:tcPr>
            <w:tcW w:w="260" w:type="dxa"/>
            <w:vAlign w:val="bottom"/>
            <w:tcBorders>
              <w:bottom w:val="single" w:sz="8" w:color="DDDDD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94,830</w:t>
            </w:r>
          </w:p>
        </w:tc>
        <w:tc>
          <w:tcPr>
            <w:tcW w:w="0" w:type="dxa"/>
            <w:vAlign w:val="bottom"/>
          </w:tcPr>
          <w:p>
            <w:pPr>
              <w:spacing w:after="0"/>
              <w:rPr>
                <w:sz w:val="1"/>
                <w:szCs w:val="1"/>
                <w:color w:val="auto"/>
              </w:rPr>
            </w:pPr>
          </w:p>
        </w:tc>
      </w:tr>
      <w:tr>
        <w:trPr>
          <w:trHeight w:val="142"/>
        </w:trPr>
        <w:tc>
          <w:tcPr>
            <w:tcW w:w="6780" w:type="dxa"/>
            <w:vAlign w:val="bottom"/>
            <w:shd w:val="clear" w:color="auto" w:fill="DDDDDD"/>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6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and no shares issued or outstanding</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6780" w:type="dxa"/>
            <w:vAlign w:val="bottom"/>
            <w:shd w:val="clear" w:color="auto" w:fill="DDDDDD"/>
          </w:tcPr>
          <w:p>
            <w:pPr>
              <w:ind w:left="100"/>
              <w:spacing w:after="0" w:line="121" w:lineRule="exact"/>
              <w:rPr>
                <w:sz w:val="20"/>
                <w:szCs w:val="20"/>
                <w:color w:val="auto"/>
              </w:rPr>
            </w:pPr>
            <w:r>
              <w:rPr>
                <w:rFonts w:ascii="Times New Roman" w:cs="Times New Roman" w:eastAsia="Times New Roman" w:hAnsi="Times New Roman"/>
                <w:sz w:val="14"/>
                <w:szCs w:val="14"/>
                <w:color w:val="auto"/>
              </w:rPr>
              <w:t>Common stock: $0.001 par value, 250,000,000 shares authorized; 2,971,729 and 2,804,542 shares issued and</w:t>
            </w:r>
          </w:p>
        </w:tc>
        <w:tc>
          <w:tcPr>
            <w:tcW w:w="400" w:type="dxa"/>
            <w:vAlign w:val="bottom"/>
            <w:shd w:val="clear" w:color="auto" w:fill="DDDDDD"/>
          </w:tcPr>
          <w:p>
            <w:pPr>
              <w:spacing w:after="0"/>
              <w:rPr>
                <w:sz w:val="10"/>
                <w:szCs w:val="10"/>
                <w:color w:val="auto"/>
              </w:rPr>
            </w:pPr>
          </w:p>
        </w:tc>
        <w:tc>
          <w:tcPr>
            <w:tcW w:w="160" w:type="dxa"/>
            <w:vAlign w:val="bottom"/>
            <w:shd w:val="clear" w:color="auto" w:fill="DDDDDD"/>
          </w:tcPr>
          <w:p>
            <w:pPr>
              <w:spacing w:after="0"/>
              <w:rPr>
                <w:sz w:val="10"/>
                <w:szCs w:val="10"/>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DDDDDD"/>
          </w:tcPr>
          <w:p>
            <w:pPr>
              <w:spacing w:after="0"/>
              <w:rPr>
                <w:sz w:val="10"/>
                <w:szCs w:val="10"/>
                <w:color w:val="auto"/>
              </w:rPr>
            </w:pPr>
          </w:p>
        </w:tc>
        <w:tc>
          <w:tcPr>
            <w:tcW w:w="160" w:type="dxa"/>
            <w:vAlign w:val="bottom"/>
            <w:shd w:val="clear" w:color="auto" w:fill="DDDDDD"/>
          </w:tcPr>
          <w:p>
            <w:pPr>
              <w:spacing w:after="0"/>
              <w:rPr>
                <w:sz w:val="10"/>
                <w:szCs w:val="10"/>
                <w:color w:val="auto"/>
              </w:rPr>
            </w:pPr>
          </w:p>
        </w:tc>
        <w:tc>
          <w:tcPr>
            <w:tcW w:w="10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6"/>
        </w:trPr>
        <w:tc>
          <w:tcPr>
            <w:tcW w:w="6780" w:type="dxa"/>
            <w:vAlign w:val="bottom"/>
            <w:shd w:val="clear" w:color="auto" w:fill="DDDDDD"/>
          </w:tcPr>
          <w:p>
            <w:pPr>
              <w:ind w:left="100"/>
              <w:spacing w:after="0" w:line="176" w:lineRule="exact"/>
              <w:rPr>
                <w:sz w:val="20"/>
                <w:szCs w:val="20"/>
                <w:color w:val="auto"/>
              </w:rPr>
            </w:pPr>
            <w:r>
              <w:rPr>
                <w:rFonts w:ascii="Times New Roman" w:cs="Times New Roman" w:eastAsia="Times New Roman" w:hAnsi="Times New Roman"/>
                <w:sz w:val="14"/>
                <w:szCs w:val="14"/>
                <w:color w:val="auto"/>
              </w:rPr>
              <w:t>outstanding as of December 28, 2025 and December 29, 2024, respectively</w:t>
            </w:r>
            <w:r>
              <w:rPr>
                <w:rFonts w:ascii="Times New Roman" w:cs="Times New Roman" w:eastAsia="Times New Roman" w:hAnsi="Times New Roman"/>
                <w:sz w:val="20"/>
                <w:szCs w:val="20"/>
                <w:color w:val="auto"/>
                <w:vertAlign w:val="superscript"/>
              </w:rPr>
              <w:t>(1)</w:t>
            </w:r>
          </w:p>
        </w:tc>
        <w:tc>
          <w:tcPr>
            <w:tcW w:w="4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60" w:type="dxa"/>
            <w:vAlign w:val="bottom"/>
            <w:vMerge w:val="continue"/>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80" w:type="dxa"/>
            <w:vAlign w:val="bottom"/>
            <w:vMerge w:val="continue"/>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266,557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262,313</w:t>
            </w:r>
          </w:p>
        </w:tc>
        <w:tc>
          <w:tcPr>
            <w:tcW w:w="0" w:type="dxa"/>
            <w:vAlign w:val="bottom"/>
          </w:tcPr>
          <w:p>
            <w:pPr>
              <w:spacing w:after="0"/>
              <w:rPr>
                <w:sz w:val="1"/>
                <w:szCs w:val="1"/>
                <w:color w:val="auto"/>
              </w:rPr>
            </w:pPr>
          </w:p>
        </w:tc>
      </w:tr>
      <w:tr>
        <w:trPr>
          <w:trHeight w:val="148"/>
        </w:trPr>
        <w:tc>
          <w:tcPr>
            <w:tcW w:w="678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40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1320" w:type="dxa"/>
            <w:vAlign w:val="bottom"/>
            <w:gridSpan w:val="2"/>
            <w:shd w:val="clear" w:color="auto" w:fill="DDDDDD"/>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(262,204)</w:t>
            </w:r>
          </w:p>
        </w:tc>
        <w:tc>
          <w:tcPr>
            <w:tcW w:w="160" w:type="dxa"/>
            <w:vAlign w:val="bottom"/>
            <w:shd w:val="clear" w:color="auto" w:fill="DDDDDD"/>
          </w:tcPr>
          <w:p>
            <w:pPr>
              <w:spacing w:after="0"/>
              <w:rPr>
                <w:sz w:val="12"/>
                <w:szCs w:val="12"/>
                <w:color w:val="auto"/>
              </w:rPr>
            </w:pPr>
          </w:p>
        </w:tc>
        <w:tc>
          <w:tcPr>
            <w:tcW w:w="10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(248,491)</w:t>
            </w:r>
          </w:p>
        </w:tc>
        <w:tc>
          <w:tcPr>
            <w:tcW w:w="0" w:type="dxa"/>
            <w:vAlign w:val="bottom"/>
          </w:tcPr>
          <w:p>
            <w:pPr>
              <w:spacing w:after="0"/>
              <w:rPr>
                <w:sz w:val="1"/>
                <w:szCs w:val="1"/>
                <w:color w:val="auto"/>
              </w:rPr>
            </w:pPr>
          </w:p>
        </w:tc>
      </w:tr>
      <w:tr>
        <w:trPr>
          <w:trHeight w:val="121"/>
        </w:trPr>
        <w:tc>
          <w:tcPr>
            <w:tcW w:w="6780" w:type="dxa"/>
            <w:vAlign w:val="bottom"/>
          </w:tcPr>
          <w:p>
            <w:pPr>
              <w:ind w:left="100"/>
              <w:spacing w:after="0" w:line="121" w:lineRule="exact"/>
              <w:rPr>
                <w:sz w:val="20"/>
                <w:szCs w:val="20"/>
                <w:color w:val="auto"/>
              </w:rPr>
            </w:pPr>
            <w:r>
              <w:rPr>
                <w:rFonts w:ascii="Times New Roman" w:cs="Times New Roman" w:eastAsia="Times New Roman" w:hAnsi="Times New Roman"/>
                <w:sz w:val="14"/>
                <w:szCs w:val="14"/>
                <w:color w:val="auto"/>
              </w:rPr>
              <w:t>Treasury stock, at cost, 146,555 shares and 22,621 shares as of December 28, 2025 and December 29, 2024,</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(1,382)</w:t>
            </w:r>
          </w:p>
        </w:tc>
        <w:tc>
          <w:tcPr>
            <w:tcW w:w="1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76"/>
        </w:trPr>
        <w:tc>
          <w:tcPr>
            <w:tcW w:w="678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color w:val="auto"/>
              </w:rPr>
              <w:t>respectively</w:t>
            </w:r>
            <w:r>
              <w:rPr>
                <w:rFonts w:ascii="Times New Roman" w:cs="Times New Roman" w:eastAsia="Times New Roman" w:hAnsi="Times New Roman"/>
                <w:sz w:val="20"/>
                <w:szCs w:val="20"/>
                <w:color w:val="auto"/>
                <w:vertAlign w:val="superscript"/>
              </w:rPr>
              <w:t>(1)</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Borders>
              <w:top w:val="single" w:sz="8" w:color="DDDDDD"/>
            </w:tcBorders>
            <w:shd w:val="clear" w:color="auto" w:fill="DDDDDD"/>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400" w:type="dxa"/>
            <w:vAlign w:val="bottom"/>
            <w:tcBorders>
              <w:top w:val="single" w:sz="8" w:color="DDDDDD"/>
            </w:tcBorders>
            <w:shd w:val="clear" w:color="auto" w:fill="DDDDDD"/>
          </w:tcPr>
          <w:p>
            <w:pPr>
              <w:spacing w:after="0"/>
              <w:rPr>
                <w:sz w:val="12"/>
                <w:szCs w:val="12"/>
                <w:color w:val="auto"/>
              </w:rPr>
            </w:pPr>
          </w:p>
        </w:tc>
        <w:tc>
          <w:tcPr>
            <w:tcW w:w="160" w:type="dxa"/>
            <w:vAlign w:val="bottom"/>
            <w:tcBorders>
              <w:top w:val="single" w:sz="8" w:color="auto"/>
              <w:bottom w:val="single" w:sz="8" w:color="auto"/>
            </w:tcBorders>
            <w:shd w:val="clear" w:color="auto" w:fill="DDDDDD"/>
          </w:tcPr>
          <w:p>
            <w:pPr>
              <w:spacing w:after="0"/>
              <w:rPr>
                <w:sz w:val="12"/>
                <w:szCs w:val="12"/>
                <w:color w:val="auto"/>
              </w:rPr>
            </w:pPr>
          </w:p>
        </w:tc>
        <w:tc>
          <w:tcPr>
            <w:tcW w:w="106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3,014</w:t>
            </w:r>
          </w:p>
        </w:tc>
        <w:tc>
          <w:tcPr>
            <w:tcW w:w="260" w:type="dxa"/>
            <w:vAlign w:val="bottom"/>
            <w:tcBorders>
              <w:top w:val="single" w:sz="8" w:color="DDDDDD"/>
            </w:tcBorders>
            <w:shd w:val="clear" w:color="auto" w:fill="DDDDDD"/>
          </w:tcPr>
          <w:p>
            <w:pPr>
              <w:spacing w:after="0"/>
              <w:rPr>
                <w:sz w:val="12"/>
                <w:szCs w:val="12"/>
                <w:color w:val="auto"/>
              </w:rPr>
            </w:pPr>
          </w:p>
        </w:tc>
        <w:tc>
          <w:tcPr>
            <w:tcW w:w="160" w:type="dxa"/>
            <w:vAlign w:val="bottom"/>
            <w:tcBorders>
              <w:top w:val="single" w:sz="8" w:color="auto"/>
              <w:bottom w:val="single" w:sz="8" w:color="auto"/>
            </w:tcBorders>
            <w:shd w:val="clear" w:color="auto" w:fill="DDDDDD"/>
          </w:tcPr>
          <w:p>
            <w:pPr>
              <w:spacing w:after="0"/>
              <w:rPr>
                <w:sz w:val="12"/>
                <w:szCs w:val="12"/>
                <w:color w:val="auto"/>
              </w:rPr>
            </w:pPr>
          </w:p>
        </w:tc>
        <w:tc>
          <w:tcPr>
            <w:tcW w:w="108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13,368</w:t>
            </w:r>
          </w:p>
        </w:tc>
        <w:tc>
          <w:tcPr>
            <w:tcW w:w="0" w:type="dxa"/>
            <w:vAlign w:val="bottom"/>
          </w:tcPr>
          <w:p>
            <w:pPr>
              <w:spacing w:after="0"/>
              <w:rPr>
                <w:sz w:val="1"/>
                <w:szCs w:val="1"/>
                <w:color w:val="auto"/>
              </w:rPr>
            </w:pPr>
          </w:p>
        </w:tc>
      </w:tr>
      <w:tr>
        <w:trPr>
          <w:trHeight w:val="142"/>
        </w:trPr>
        <w:tc>
          <w:tcPr>
            <w:tcW w:w="6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4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89,364</w:t>
            </w:r>
          </w:p>
        </w:tc>
        <w:tc>
          <w:tcPr>
            <w:tcW w:w="26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108,198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60" w:right="480" w:hanging="319"/>
        <w:spacing w:after="0" w:line="168" w:lineRule="exact"/>
        <w:tabs>
          <w:tab w:leader="none" w:pos="66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Shares have been adjusted to reflect the 1-for-15 reverse stock split that became effective as of the opening of business on July 7, 2025. Refer to Note 8, </w:t>
      </w:r>
      <w:r>
        <w:rPr>
          <w:rFonts w:ascii="PMingLiU" w:cs="PMingLiU" w:eastAsia="PMingLiU" w:hAnsi="PMingLiU"/>
          <w:sz w:val="14"/>
          <w:szCs w:val="14"/>
          <w:i w:val="1"/>
          <w:iCs w:val="1"/>
          <w:color w:val="auto"/>
        </w:rPr>
        <w:t>6WRFNKROGHU¶V(TXLW\</w:t>
      </w:r>
      <w:r>
        <w:rPr>
          <w:rFonts w:ascii="Times New Roman" w:cs="Times New Roman" w:eastAsia="Times New Roman" w:hAnsi="Times New Roman"/>
          <w:sz w:val="14"/>
          <w:szCs w:val="14"/>
          <w:color w:val="auto"/>
        </w:rPr>
        <w:t xml:space="preserve"> in the accompanying Notes to the Consolidated Financial Statements for additional details.</w:t>
      </w:r>
    </w:p>
    <w:p>
      <w:pPr>
        <w:spacing w:after="0" w:line="252" w:lineRule="exact"/>
        <w:rPr>
          <w:sz w:val="20"/>
          <w:szCs w:val="20"/>
          <w:color w:val="auto"/>
        </w:rPr>
      </w:pPr>
    </w:p>
    <w:p>
      <w:pPr>
        <w:ind w:left="2020"/>
        <w:spacing w:after="0" w:line="192" w:lineRule="exact"/>
        <w:rPr>
          <w:sz w:val="20"/>
          <w:szCs w:val="20"/>
          <w:color w:val="auto"/>
        </w:rPr>
      </w:pPr>
      <w:r>
        <w:rPr>
          <w:rFonts w:ascii="PMingLiU" w:cs="PMingLiU" w:eastAsia="PMingLiU" w:hAnsi="PMingLiU"/>
          <w:sz w:val="16"/>
          <w:szCs w:val="16"/>
          <w:i w:val="1"/>
          <w:iCs w:val="1"/>
          <w:color w:val="auto"/>
        </w:rPr>
        <w:t>7KHDFFRPSDQ\LQJQRWHVDUHDQLQWHJUDOSDUWRIWKHFRQVROLGDWHGILQDQFLDOVWDWHPHQWV</w:t>
      </w:r>
    </w:p>
    <w:p>
      <w:pPr>
        <w:sectPr>
          <w:pgSz w:w="11880" w:h="15480" w:orient="portrait"/>
          <w:cols w:equalWidth="0" w:num="1">
            <w:col w:w="9900"/>
          </w:cols>
          <w:pgMar w:left="98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900"/>
          </w:cols>
          <w:pgMar w:left="980" w:top="873" w:right="100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0" w:type="dxa"/>
            <w:vAlign w:val="bottom"/>
          </w:tcPr>
          <w:p>
            <w:pPr>
              <w:spacing w:after="0"/>
              <w:rPr>
                <w:sz w:val="1"/>
                <w:szCs w:val="1"/>
                <w:color w:val="auto"/>
              </w:rPr>
            </w:pPr>
          </w:p>
        </w:tc>
      </w:tr>
      <w:tr>
        <w:trPr>
          <w:trHeight w:val="210"/>
        </w:trPr>
        <w:tc>
          <w:tcPr>
            <w:tcW w:w="57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282,284</w:t>
            </w:r>
          </w:p>
        </w:tc>
        <w:tc>
          <w:tcPr>
            <w:tcW w:w="24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315,887</w:t>
            </w:r>
          </w:p>
        </w:tc>
        <w:tc>
          <w:tcPr>
            <w:tcW w:w="10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355,175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240" w:type="dxa"/>
            <w:vAlign w:val="bottom"/>
            <w:tcBorders>
              <w:bottom w:val="single" w:sz="8" w:color="DDDDDD"/>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185,639</w:t>
            </w:r>
          </w:p>
        </w:tc>
        <w:tc>
          <w:tcPr>
            <w:tcW w:w="10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122,054</w:t>
            </w:r>
          </w:p>
        </w:tc>
        <w:tc>
          <w:tcPr>
            <w:tcW w:w="2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130,248</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148,226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2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shd w:val="clear" w:color="auto" w:fill="DDDDDD"/>
          </w:tcPr>
          <w:p>
            <w:pPr>
              <w:spacing w:after="0"/>
              <w:rPr>
                <w:sz w:val="19"/>
                <w:szCs w:val="19"/>
                <w:color w:val="auto"/>
              </w:rPr>
            </w:pPr>
          </w:p>
        </w:tc>
        <w:tc>
          <w:tcPr>
            <w:tcW w:w="1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240" w:type="dxa"/>
            <w:vAlign w:val="bottom"/>
            <w:tcBorders>
              <w:top w:val="single" w:sz="8" w:color="DDDDDD"/>
              <w:bottom w:val="single" w:sz="8" w:color="DDDDDD"/>
            </w:tcBorders>
            <w:shd w:val="clear" w:color="auto" w:fill="DDDDDD"/>
          </w:tcPr>
          <w:p>
            <w:pPr>
              <w:spacing w:after="0"/>
              <w:rPr>
                <w:sz w:val="19"/>
                <w:szCs w:val="19"/>
                <w:color w:val="auto"/>
              </w:rPr>
            </w:pPr>
          </w:p>
        </w:tc>
        <w:tc>
          <w:tcPr>
            <w:tcW w:w="120" w:type="dxa"/>
            <w:vAlign w:val="bottom"/>
            <w:tcBorders>
              <w:top w:val="single" w:sz="8" w:color="auto"/>
              <w:bottom w:val="single" w:sz="8" w:color="auto"/>
            </w:tcBorders>
            <w:shd w:val="clear" w:color="auto" w:fill="DDDDDD"/>
          </w:tcPr>
          <w:p>
            <w:pPr>
              <w:spacing w:after="0"/>
              <w:rPr>
                <w:sz w:val="19"/>
                <w:szCs w:val="19"/>
                <w:color w:val="auto"/>
              </w:rPr>
            </w:pPr>
          </w:p>
        </w:tc>
        <w:tc>
          <w:tcPr>
            <w:tcW w:w="1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100" w:type="dxa"/>
            <w:vAlign w:val="bottom"/>
            <w:tcBorders>
              <w:top w:val="single" w:sz="8" w:color="DDDDDD"/>
              <w:bottom w:val="single" w:sz="8" w:color="DDDDDD"/>
            </w:tcBorders>
            <w:shd w:val="clear" w:color="auto" w:fill="DDDDDD"/>
          </w:tcPr>
          <w:p>
            <w:pPr>
              <w:spacing w:after="0"/>
              <w:rPr>
                <w:sz w:val="19"/>
                <w:szCs w:val="19"/>
                <w:color w:val="auto"/>
              </w:rPr>
            </w:pPr>
          </w:p>
        </w:tc>
        <w:tc>
          <w:tcPr>
            <w:tcW w:w="120" w:type="dxa"/>
            <w:vAlign w:val="bottom"/>
            <w:tcBorders>
              <w:top w:val="single" w:sz="8" w:color="DDDDDD"/>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spacing w:after="0"/>
              <w:rPr>
                <w:sz w:val="19"/>
                <w:szCs w:val="19"/>
                <w:color w:val="auto"/>
              </w:rPr>
            </w:pPr>
          </w:p>
        </w:tc>
        <w:tc>
          <w:tcPr>
            <w:tcW w:w="1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7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20" w:type="dxa"/>
            <w:vAlign w:val="bottom"/>
            <w:tcBorders>
              <w:bottom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DDDDDD"/>
            </w:tcBorders>
            <w:shd w:val="clear" w:color="auto" w:fill="DDDDDD"/>
          </w:tcPr>
          <w:p>
            <w:pPr>
              <w:spacing w:after="0"/>
              <w:rPr>
                <w:sz w:val="20"/>
                <w:szCs w:val="20"/>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40" w:type="dxa"/>
            <w:vAlign w:val="bottom"/>
            <w:tcBorders>
              <w:bottom w:val="single" w:sz="8" w:color="DDDDDD"/>
            </w:tcBorders>
            <w:shd w:val="clear" w:color="auto" w:fill="DDDDDD"/>
          </w:tcPr>
          <w:p>
            <w:pPr>
              <w:spacing w:after="0"/>
              <w:rPr>
                <w:sz w:val="20"/>
                <w:szCs w:val="20"/>
                <w:color w:val="auto"/>
              </w:rPr>
            </w:pPr>
          </w:p>
        </w:tc>
        <w:tc>
          <w:tcPr>
            <w:tcW w:w="120" w:type="dxa"/>
            <w:vAlign w:val="bottom"/>
            <w:tcBorders>
              <w:bottom w:val="single" w:sz="8" w:color="DDDDDD"/>
            </w:tcBorders>
            <w:shd w:val="clear" w:color="auto" w:fill="DDDDDD"/>
          </w:tcPr>
          <w:p>
            <w:pPr>
              <w:spacing w:after="0"/>
              <w:rPr>
                <w:sz w:val="20"/>
                <w:szCs w:val="20"/>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DDDDDD"/>
            </w:tcBorders>
            <w:shd w:val="clear" w:color="auto" w:fill="DDDDDD"/>
          </w:tcPr>
          <w:p>
            <w:pPr>
              <w:spacing w:after="0"/>
              <w:rPr>
                <w:sz w:val="20"/>
                <w:szCs w:val="20"/>
                <w:color w:val="auto"/>
              </w:rPr>
            </w:pPr>
          </w:p>
        </w:tc>
        <w:tc>
          <w:tcPr>
            <w:tcW w:w="12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DDDDDD"/>
            </w:tcBorders>
            <w:shd w:val="clear" w:color="auto" w:fill="DDDDDD"/>
          </w:tcPr>
          <w:p>
            <w:pPr>
              <w:spacing w:after="0"/>
              <w:rPr>
                <w:sz w:val="20"/>
                <w:szCs w:val="20"/>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(52,953)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DDDDDD"/>
          </w:tcPr>
          <w:p>
            <w:pPr>
              <w:spacing w:after="0"/>
              <w:rPr>
                <w:sz w:val="18"/>
                <w:szCs w:val="18"/>
                <w:color w:val="auto"/>
              </w:rPr>
            </w:pPr>
          </w:p>
        </w:tc>
        <w:tc>
          <w:tcPr>
            <w:tcW w:w="1340" w:type="dxa"/>
            <w:vAlign w:val="bottom"/>
            <w:gridSpan w:val="2"/>
            <w:shd w:val="clear" w:color="auto" w:fill="DDDDDD"/>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20" w:type="dxa"/>
            <w:vAlign w:val="bottom"/>
          </w:tcPr>
          <w:p>
            <w:pPr>
              <w:ind w:left="40"/>
              <w:spacing w:after="0" w:line="216" w:lineRule="exact"/>
              <w:rPr>
                <w:sz w:val="20"/>
                <w:szCs w:val="20"/>
                <w:color w:val="auto"/>
              </w:rPr>
            </w:pPr>
            <w:r>
              <w:rPr>
                <w:rFonts w:ascii="Times New Roman" w:cs="Times New Roman" w:eastAsia="Times New Roman" w:hAnsi="Times New Roman"/>
                <w:sz w:val="17"/>
                <w:szCs w:val="17"/>
                <w:color w:val="auto"/>
              </w:rPr>
              <w:t>Basic loss per share</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DDDDDD"/>
              <w:bottom w:val="single" w:sz="8" w:color="DDDDDD"/>
            </w:tcBorders>
            <w:shd w:val="clear" w:color="auto" w:fill="DDDDDD"/>
          </w:tcPr>
          <w:p>
            <w:pPr>
              <w:ind w:left="40"/>
              <w:spacing w:after="0" w:line="197" w:lineRule="exact"/>
              <w:rPr>
                <w:sz w:val="20"/>
                <w:szCs w:val="20"/>
                <w:color w:val="auto"/>
              </w:rPr>
            </w:pPr>
            <w:r>
              <w:rPr>
                <w:rFonts w:ascii="Times New Roman" w:cs="Times New Roman" w:eastAsia="Times New Roman" w:hAnsi="Times New Roman"/>
                <w:sz w:val="15"/>
                <w:szCs w:val="15"/>
                <w:color w:val="auto"/>
              </w:rPr>
              <w:t>Diluted loss per share</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(4.90)</w:t>
            </w:r>
          </w:p>
        </w:tc>
        <w:tc>
          <w:tcPr>
            <w:tcW w:w="24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20" w:type="dxa"/>
            <w:vAlign w:val="bottom"/>
            <w:tcBorders>
              <w:top w:val="single" w:sz="8" w:color="DDDDDD"/>
              <w:bottom w:val="single" w:sz="8" w:color="DDDDDD"/>
            </w:tcBorders>
            <w:shd w:val="clear" w:color="auto" w:fill="DDDDDD"/>
          </w:tcPr>
          <w:p>
            <w:pPr>
              <w:spacing w:after="0"/>
              <w:rPr>
                <w:sz w:val="17"/>
                <w:szCs w:val="17"/>
                <w:color w:val="auto"/>
              </w:rPr>
            </w:pPr>
          </w:p>
        </w:tc>
        <w:tc>
          <w:tcPr>
            <w:tcW w:w="140" w:type="dxa"/>
            <w:vAlign w:val="bottom"/>
            <w:tcBorders>
              <w:top w:val="single" w:sz="8" w:color="auto"/>
              <w:bottom w:val="single" w:sz="8" w:color="auto"/>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line="236" w:lineRule="exact"/>
              <w:rPr>
                <w:sz w:val="20"/>
                <w:szCs w:val="20"/>
                <w:color w:val="auto"/>
              </w:rPr>
            </w:pPr>
            <w:r>
              <w:rPr>
                <w:rFonts w:ascii="Times New Roman" w:cs="Times New Roman" w:eastAsia="Times New Roman" w:hAnsi="Times New Roman"/>
                <w:sz w:val="18"/>
                <w:szCs w:val="18"/>
                <w:color w:val="auto"/>
              </w:rPr>
              <w:t>Basic weighted-average shares outstanding</w:t>
            </w:r>
            <w:r>
              <w:rPr>
                <w:rFonts w:ascii="Times New Roman" w:cs="Times New Roman" w:eastAsia="Times New Roman" w:hAnsi="Times New Roman"/>
                <w:sz w:val="27"/>
                <w:szCs w:val="27"/>
                <w:color w:val="auto"/>
                <w:vertAlign w:val="superscript"/>
              </w:rPr>
              <w:t>(1)</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DDDDDD"/>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2,799,732</w:t>
            </w:r>
          </w:p>
        </w:tc>
        <w:tc>
          <w:tcPr>
            <w:tcW w:w="24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2,764,594</w:t>
            </w:r>
          </w:p>
        </w:tc>
        <w:tc>
          <w:tcPr>
            <w:tcW w:w="100" w:type="dxa"/>
            <w:vAlign w:val="bottom"/>
            <w:tcBorders>
              <w:bottom w:val="single" w:sz="8" w:color="DDDDDD"/>
            </w:tcBorders>
          </w:tcPr>
          <w:p>
            <w:pPr>
              <w:spacing w:after="0"/>
              <w:rPr>
                <w:sz w:val="20"/>
                <w:szCs w:val="20"/>
                <w:color w:val="auto"/>
              </w:rPr>
            </w:pPr>
          </w:p>
        </w:tc>
        <w:tc>
          <w:tcPr>
            <w:tcW w:w="12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2,658,608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20" w:type="dxa"/>
            <w:vAlign w:val="bottom"/>
            <w:tcBorders>
              <w:bottom w:val="single" w:sz="8" w:color="DDDDDD"/>
            </w:tcBorders>
            <w:shd w:val="clear" w:color="auto" w:fill="DDDDDD"/>
          </w:tcPr>
          <w:p>
            <w:pPr>
              <w:ind w:left="40"/>
              <w:spacing w:after="0" w:line="197" w:lineRule="exact"/>
              <w:rPr>
                <w:sz w:val="20"/>
                <w:szCs w:val="20"/>
                <w:color w:val="auto"/>
              </w:rPr>
            </w:pPr>
            <w:r>
              <w:rPr>
                <w:rFonts w:ascii="Times New Roman" w:cs="Times New Roman" w:eastAsia="Times New Roman" w:hAnsi="Times New Roman"/>
                <w:sz w:val="15"/>
                <w:szCs w:val="15"/>
                <w:color w:val="auto"/>
              </w:rPr>
              <w:t>Diluted weighted-average shares outstanding</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DDDDDD"/>
          </w:tcPr>
          <w:p>
            <w:pPr>
              <w:spacing w:after="0"/>
              <w:rPr>
                <w:sz w:val="17"/>
                <w:szCs w:val="17"/>
                <w:color w:val="auto"/>
              </w:rPr>
            </w:pPr>
          </w:p>
        </w:tc>
        <w:tc>
          <w:tcPr>
            <w:tcW w:w="1100" w:type="dxa"/>
            <w:vAlign w:val="bottom"/>
            <w:tcBorders>
              <w:bottom w:val="single" w:sz="8" w:color="auto"/>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2,799,732</w:t>
            </w:r>
          </w:p>
        </w:tc>
        <w:tc>
          <w:tcPr>
            <w:tcW w:w="2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120" w:type="dxa"/>
            <w:vAlign w:val="bottom"/>
            <w:tcBorders>
              <w:bottom w:val="single" w:sz="8" w:color="auto"/>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2,764,594</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120" w:type="dxa"/>
            <w:vAlign w:val="bottom"/>
            <w:tcBorders>
              <w:bottom w:val="single" w:sz="8" w:color="auto"/>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2,658,608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right="340" w:hanging="319"/>
        <w:spacing w:after="0" w:line="168" w:lineRule="exact"/>
        <w:tabs>
          <w:tab w:leader="none" w:pos="66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Amounts have been adjusted to reflect the 1-for-15 reverse stock split that became effective as of the opening of business on July 7, 2025. Refer to Note 8, </w:t>
      </w:r>
      <w:r>
        <w:rPr>
          <w:rFonts w:ascii="PMingLiU" w:cs="PMingLiU" w:eastAsia="PMingLiU" w:hAnsi="PMingLiU"/>
          <w:sz w:val="14"/>
          <w:szCs w:val="14"/>
          <w:i w:val="1"/>
          <w:iCs w:val="1"/>
          <w:color w:val="auto"/>
        </w:rPr>
        <w:t>6WRFNKROGHU¶V(TXLW\</w:t>
      </w:r>
      <w:r>
        <w:rPr>
          <w:rFonts w:ascii="Times New Roman" w:cs="Times New Roman" w:eastAsia="Times New Roman" w:hAnsi="Times New Roman"/>
          <w:sz w:val="14"/>
          <w:szCs w:val="14"/>
          <w:color w:val="auto"/>
        </w:rPr>
        <w:t xml:space="preserve"> in the accompanying Notes to the Consolidated Financial Statements for additional details.</w:t>
      </w:r>
    </w:p>
    <w:p>
      <w:pPr>
        <w:spacing w:after="0" w:line="180" w:lineRule="exact"/>
        <w:rPr>
          <w:sz w:val="20"/>
          <w:szCs w:val="20"/>
          <w:color w:val="auto"/>
        </w:rPr>
      </w:pPr>
    </w:p>
    <w:p>
      <w:pPr>
        <w:ind w:left="2000"/>
        <w:spacing w:after="0" w:line="192" w:lineRule="exact"/>
        <w:rPr>
          <w:sz w:val="20"/>
          <w:szCs w:val="20"/>
          <w:color w:val="auto"/>
        </w:rPr>
      </w:pPr>
      <w:r>
        <w:rPr>
          <w:rFonts w:ascii="PMingLiU" w:cs="PMingLiU" w:eastAsia="PMingLiU" w:hAnsi="PMingLiU"/>
          <w:sz w:val="16"/>
          <w:szCs w:val="16"/>
          <w:i w:val="1"/>
          <w:iCs w:val="1"/>
          <w:color w:val="auto"/>
        </w:rPr>
        <w:t>7KHDFFRPSDQ\LQJQRWHVDUHDQLQWHJUDOSDUWRIWKHFRQVROLGDWHGILQDQFLDOVWDWHPHQWV</w:t>
      </w:r>
    </w:p>
    <w:p>
      <w:pPr>
        <w:sectPr>
          <w:pgSz w:w="11880" w:h="15480" w:orient="portrait"/>
          <w:cols w:equalWidth="0" w:num="1">
            <w:col w:w="9900"/>
          </w:cols>
          <w:pgMar w:left="98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900"/>
          </w:cols>
          <w:pgMar w:left="980" w:top="873" w:right="1000" w:bottom="0" w:gutter="0" w:footer="0" w:header="0"/>
          <w:type w:val="continuous"/>
        </w:sectPr>
      </w:pPr>
    </w:p>
    <w:bookmarkStart w:id="72" w:name="page73"/>
    <w:bookmarkEnd w:id="72"/>
    <w:p>
      <w:pPr>
        <w:ind w:left="304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0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65"/>
        </w:trPr>
        <w:tc>
          <w:tcPr>
            <w:tcW w:w="3340" w:type="dxa"/>
            <w:vAlign w:val="bottom"/>
          </w:tcPr>
          <w:p>
            <w:pPr>
              <w:spacing w:after="0"/>
              <w:rPr>
                <w:sz w:val="14"/>
                <w:szCs w:val="14"/>
                <w:color w:val="auto"/>
              </w:rPr>
            </w:pPr>
          </w:p>
        </w:tc>
        <w:tc>
          <w:tcPr>
            <w:tcW w:w="15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8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r>
      <w:tr>
        <w:trPr>
          <w:trHeight w:val="142"/>
        </w:trPr>
        <w:tc>
          <w:tcPr>
            <w:tcW w:w="3340" w:type="dxa"/>
            <w:vAlign w:val="bottom"/>
          </w:tcPr>
          <w:p>
            <w:pPr>
              <w:spacing w:after="0"/>
              <w:rPr>
                <w:sz w:val="12"/>
                <w:szCs w:val="12"/>
                <w:color w:val="auto"/>
              </w:rPr>
            </w:pPr>
          </w:p>
        </w:tc>
        <w:tc>
          <w:tcPr>
            <w:tcW w:w="7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89"/>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2"/>
                <w:szCs w:val="12"/>
                <w:color w:val="auto"/>
              </w:rPr>
            </w:pPr>
          </w:p>
        </w:tc>
        <w:tc>
          <w:tcPr>
            <w:tcW w:w="8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2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42"/>
        </w:trPr>
        <w:tc>
          <w:tcPr>
            <w:tcW w:w="3340" w:type="dxa"/>
            <w:vAlign w:val="bottom"/>
            <w:tcBorders>
              <w:top w:val="single" w:sz="8" w:color="DDDDDD"/>
            </w:tcBorders>
            <w:shd w:val="clear" w:color="auto" w:fill="DDDDDD"/>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1, 2023</w:t>
            </w:r>
          </w:p>
        </w:tc>
        <w:tc>
          <w:tcPr>
            <w:tcW w:w="70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2,617,289</w:t>
            </w:r>
          </w:p>
        </w:tc>
        <w:tc>
          <w:tcPr>
            <w:tcW w:w="80" w:type="dxa"/>
            <w:vAlign w:val="bottom"/>
            <w:tcBorders>
              <w:top w:val="single" w:sz="8" w:color="DDDDDD"/>
            </w:tcBorders>
            <w:shd w:val="clear" w:color="auto" w:fill="DDDDDD"/>
          </w:tcPr>
          <w:p>
            <w:pPr>
              <w:spacing w:after="0"/>
              <w:rPr>
                <w:sz w:val="12"/>
                <w:szCs w:val="12"/>
                <w:color w:val="auto"/>
              </w:rPr>
            </w:pPr>
          </w:p>
        </w:tc>
        <w:tc>
          <w:tcPr>
            <w:tcW w:w="100" w:type="dxa"/>
            <w:vAlign w:val="bottom"/>
            <w:tcBorders>
              <w:top w:val="single" w:sz="8" w:color="DDDDDD"/>
            </w:tcBorders>
            <w:shd w:val="clear" w:color="auto" w:fill="DDDDDD"/>
          </w:tcPr>
          <w:p>
            <w:pPr>
              <w:spacing w:after="0"/>
              <w:rPr>
                <w:sz w:val="12"/>
                <w:szCs w:val="12"/>
                <w:color w:val="auto"/>
              </w:rPr>
            </w:pPr>
          </w:p>
        </w:tc>
        <w:tc>
          <w:tcPr>
            <w:tcW w:w="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DDDDDD"/>
          </w:tcPr>
          <w:p>
            <w:pPr>
              <w:spacing w:after="0"/>
              <w:rPr>
                <w:sz w:val="12"/>
                <w:szCs w:val="12"/>
                <w:color w:val="auto"/>
              </w:rPr>
            </w:pPr>
          </w:p>
        </w:tc>
        <w:tc>
          <w:tcPr>
            <w:tcW w:w="18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39</w:t>
            </w:r>
          </w:p>
        </w:tc>
        <w:tc>
          <w:tcPr>
            <w:tcW w:w="180" w:type="dxa"/>
            <w:vAlign w:val="bottom"/>
            <w:tcBorders>
              <w:top w:val="single" w:sz="8" w:color="DDDDDD"/>
            </w:tcBorders>
            <w:shd w:val="clear" w:color="auto" w:fill="DDDDDD"/>
          </w:tcPr>
          <w:p>
            <w:pPr>
              <w:spacing w:after="0"/>
              <w:rPr>
                <w:sz w:val="12"/>
                <w:szCs w:val="12"/>
                <w:color w:val="auto"/>
              </w:rPr>
            </w:pPr>
          </w:p>
        </w:tc>
        <w:tc>
          <w:tcPr>
            <w:tcW w:w="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gridSpan w:val="2"/>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238,725</w:t>
            </w:r>
          </w:p>
        </w:tc>
        <w:tc>
          <w:tcPr>
            <w:tcW w:w="80" w:type="dxa"/>
            <w:vAlign w:val="bottom"/>
            <w:tcBorders>
              <w:top w:val="single" w:sz="8" w:color="DDDDDD"/>
            </w:tcBorders>
            <w:shd w:val="clear" w:color="auto" w:fill="DDDDDD"/>
          </w:tcPr>
          <w:p>
            <w:pPr>
              <w:spacing w:after="0"/>
              <w:rPr>
                <w:sz w:val="12"/>
                <w:szCs w:val="12"/>
                <w:color w:val="auto"/>
              </w:rPr>
            </w:pPr>
          </w:p>
        </w:tc>
        <w:tc>
          <w:tcPr>
            <w:tcW w:w="100" w:type="dxa"/>
            <w:vAlign w:val="bottom"/>
            <w:tcBorders>
              <w:top w:val="single" w:sz="8" w:color="DDDDDD"/>
            </w:tcBorders>
            <w:shd w:val="clear" w:color="auto" w:fill="DDDDDD"/>
          </w:tcPr>
          <w:p>
            <w:pPr>
              <w:spacing w:after="0"/>
              <w:rPr>
                <w:sz w:val="12"/>
                <w:szCs w:val="12"/>
                <w:color w:val="auto"/>
              </w:rPr>
            </w:pPr>
          </w:p>
        </w:tc>
        <w:tc>
          <w:tcPr>
            <w:tcW w:w="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(173,871)</w:t>
            </w:r>
          </w:p>
        </w:tc>
        <w:tc>
          <w:tcPr>
            <w:tcW w:w="180" w:type="dxa"/>
            <w:vAlign w:val="bottom"/>
            <w:tcBorders>
              <w:top w:val="single" w:sz="8" w:color="DDDDDD"/>
            </w:tcBorders>
            <w:shd w:val="clear" w:color="auto" w:fill="DDDDDD"/>
          </w:tcPr>
          <w:p>
            <w:pPr>
              <w:spacing w:after="0"/>
              <w:rPr>
                <w:sz w:val="12"/>
                <w:szCs w:val="12"/>
                <w:color w:val="auto"/>
              </w:rPr>
            </w:pPr>
          </w:p>
        </w:tc>
        <w:tc>
          <w:tcPr>
            <w:tcW w:w="740" w:type="dxa"/>
            <w:vAlign w:val="bottom"/>
            <w:tcBorders>
              <w:top w:val="single" w:sz="8" w:color="auto"/>
            </w:tcBorders>
            <w:gridSpan w:val="2"/>
            <w:shd w:val="clear" w:color="auto" w:fill="DDDDDD"/>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DDDDDD"/>
            </w:tcBorders>
            <w:shd w:val="clear" w:color="auto" w:fill="DDDDDD"/>
          </w:tcPr>
          <w:p>
            <w:pPr>
              <w:spacing w:after="0"/>
              <w:rPr>
                <w:sz w:val="12"/>
                <w:szCs w:val="12"/>
                <w:color w:val="auto"/>
              </w:rPr>
            </w:pPr>
          </w:p>
        </w:tc>
        <w:tc>
          <w:tcPr>
            <w:tcW w:w="12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64,893</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for vesting of RSUs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36"/>
        </w:trPr>
        <w:tc>
          <w:tcPr>
            <w:tcW w:w="3340" w:type="dxa"/>
            <w:vAlign w:val="bottom"/>
            <w:shd w:val="clear" w:color="auto" w:fill="DDDDDD"/>
          </w:tcPr>
          <w:p>
            <w:pPr>
              <w:ind w:left="100"/>
              <w:spacing w:after="0" w:line="136" w:lineRule="exact"/>
              <w:rPr>
                <w:sz w:val="20"/>
                <w:szCs w:val="20"/>
                <w:color w:val="auto"/>
              </w:rPr>
            </w:pPr>
            <w:r>
              <w:rPr>
                <w:rFonts w:ascii="Times New Roman" w:cs="Times New Roman" w:eastAsia="Times New Roman" w:hAnsi="Times New Roman"/>
                <w:sz w:val="14"/>
                <w:szCs w:val="14"/>
                <w:color w:val="auto"/>
              </w:rPr>
              <w:t>Issuance of common stock for special compensation</w:t>
            </w:r>
          </w:p>
        </w:tc>
        <w:tc>
          <w:tcPr>
            <w:tcW w:w="7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r>
      <w:tr>
        <w:trPr>
          <w:trHeight w:val="161"/>
        </w:trPr>
        <w:tc>
          <w:tcPr>
            <w:tcW w:w="33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4"/>
                <w:szCs w:val="14"/>
                <w:color w:val="auto"/>
              </w:rPr>
              <w:t>award</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13,928</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0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4"/>
                <w:szCs w:val="14"/>
                <w:color w:val="auto"/>
              </w:rPr>
            </w:pPr>
          </w:p>
        </w:tc>
        <w:tc>
          <w:tcPr>
            <w:tcW w:w="88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4"/>
                <w:szCs w:val="1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36"/>
        </w:trPr>
        <w:tc>
          <w:tcPr>
            <w:tcW w:w="334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Issuance of common stock for employee stock purchase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1"/>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plan (ESPP)</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r>
      <w:tr>
        <w:trPr>
          <w:trHeight w:val="148"/>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withheld for withholding tax on RSUs</w:t>
            </w:r>
          </w:p>
        </w:tc>
        <w:tc>
          <w:tcPr>
            <w:tcW w:w="780" w:type="dxa"/>
            <w:vAlign w:val="bottom"/>
            <w:gridSpan w:val="2"/>
            <w:shd w:val="clear" w:color="auto" w:fill="DDDDDD"/>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(58,546)</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820" w:type="dxa"/>
            <w:vAlign w:val="bottom"/>
            <w:gridSpan w:val="3"/>
            <w:shd w:val="clear" w:color="auto" w:fill="DDDDDD"/>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(1,961)</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Forfeited shares of restricted stock</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7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16,489</w:t>
            </w:r>
          </w:p>
        </w:tc>
        <w:tc>
          <w:tcPr>
            <w:tcW w:w="8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16,489</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(19,334)</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(19,334)</w:t>
            </w:r>
          </w:p>
        </w:tc>
      </w:tr>
      <w:tr>
        <w:trPr>
          <w:trHeight w:val="142"/>
        </w:trPr>
        <w:tc>
          <w:tcPr>
            <w:tcW w:w="3340" w:type="dxa"/>
            <w:vAlign w:val="bottom"/>
            <w:tcBorders>
              <w:top w:val="single" w:sz="8" w:color="DDDDDD"/>
            </w:tcBorders>
            <w:shd w:val="clear" w:color="auto" w:fill="DDDDDD"/>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70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2,707,880</w:t>
            </w:r>
          </w:p>
        </w:tc>
        <w:tc>
          <w:tcPr>
            <w:tcW w:w="80" w:type="dxa"/>
            <w:vAlign w:val="bottom"/>
            <w:tcBorders>
              <w:top w:val="single" w:sz="8" w:color="DDDDDD"/>
            </w:tcBorders>
            <w:shd w:val="clear" w:color="auto" w:fill="DDDDDD"/>
          </w:tcPr>
          <w:p>
            <w:pPr>
              <w:spacing w:after="0"/>
              <w:rPr>
                <w:sz w:val="12"/>
                <w:szCs w:val="12"/>
                <w:color w:val="auto"/>
              </w:rPr>
            </w:pPr>
          </w:p>
        </w:tc>
        <w:tc>
          <w:tcPr>
            <w:tcW w:w="200" w:type="dxa"/>
            <w:vAlign w:val="bottom"/>
            <w:tcBorders>
              <w:top w:val="single" w:sz="8" w:color="DDDDDD"/>
            </w:tcBorders>
            <w:gridSpan w:val="2"/>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DDDDDD"/>
          </w:tcPr>
          <w:p>
            <w:pPr>
              <w:spacing w:after="0"/>
              <w:rPr>
                <w:sz w:val="12"/>
                <w:szCs w:val="12"/>
                <w:color w:val="auto"/>
              </w:rPr>
            </w:pPr>
          </w:p>
        </w:tc>
        <w:tc>
          <w:tcPr>
            <w:tcW w:w="18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41</w:t>
            </w:r>
          </w:p>
        </w:tc>
        <w:tc>
          <w:tcPr>
            <w:tcW w:w="260" w:type="dxa"/>
            <w:vAlign w:val="bottom"/>
            <w:tcBorders>
              <w:top w:val="single" w:sz="8" w:color="DDDDDD"/>
            </w:tcBorders>
            <w:gridSpan w:val="2"/>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DDDDDD"/>
            </w:tcBorders>
            <w:shd w:val="clear" w:color="auto" w:fill="DDDDDD"/>
          </w:tcPr>
          <w:p>
            <w:pPr>
              <w:spacing w:after="0"/>
              <w:rPr>
                <w:sz w:val="12"/>
                <w:szCs w:val="12"/>
                <w:color w:val="auto"/>
              </w:rPr>
            </w:pPr>
          </w:p>
        </w:tc>
        <w:tc>
          <w:tcPr>
            <w:tcW w:w="72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254,116</w:t>
            </w:r>
          </w:p>
        </w:tc>
        <w:tc>
          <w:tcPr>
            <w:tcW w:w="80" w:type="dxa"/>
            <w:vAlign w:val="bottom"/>
            <w:tcBorders>
              <w:top w:val="single" w:sz="8" w:color="DDDDDD"/>
            </w:tcBorders>
            <w:shd w:val="clear" w:color="auto" w:fill="DDDDDD"/>
          </w:tcPr>
          <w:p>
            <w:pPr>
              <w:spacing w:after="0"/>
              <w:rPr>
                <w:sz w:val="12"/>
                <w:szCs w:val="12"/>
                <w:color w:val="auto"/>
              </w:rPr>
            </w:pPr>
          </w:p>
        </w:tc>
        <w:tc>
          <w:tcPr>
            <w:tcW w:w="200" w:type="dxa"/>
            <w:vAlign w:val="bottom"/>
            <w:tcBorders>
              <w:top w:val="single" w:sz="8" w:color="DDDDDD"/>
            </w:tcBorders>
            <w:gridSpan w:val="2"/>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(193,205)</w:t>
            </w:r>
          </w:p>
        </w:tc>
        <w:tc>
          <w:tcPr>
            <w:tcW w:w="180" w:type="dxa"/>
            <w:vAlign w:val="bottom"/>
            <w:tcBorders>
              <w:top w:val="single" w:sz="8" w:color="DDDDDD"/>
            </w:tcBorders>
            <w:shd w:val="clear" w:color="auto" w:fill="DDDDDD"/>
          </w:tcPr>
          <w:p>
            <w:pPr>
              <w:spacing w:after="0"/>
              <w:rPr>
                <w:sz w:val="12"/>
                <w:szCs w:val="12"/>
                <w:color w:val="auto"/>
              </w:rPr>
            </w:pPr>
          </w:p>
        </w:tc>
        <w:tc>
          <w:tcPr>
            <w:tcW w:w="64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DDDDD"/>
            </w:tcBorders>
            <w:shd w:val="clear" w:color="auto" w:fill="DDDDDD"/>
          </w:tcPr>
          <w:p>
            <w:pPr>
              <w:spacing w:after="0"/>
              <w:rPr>
                <w:sz w:val="12"/>
                <w:szCs w:val="12"/>
                <w:color w:val="auto"/>
              </w:rPr>
            </w:pPr>
          </w:p>
        </w:tc>
        <w:tc>
          <w:tcPr>
            <w:tcW w:w="220" w:type="dxa"/>
            <w:vAlign w:val="bottom"/>
            <w:tcBorders>
              <w:top w:val="single" w:sz="8" w:color="DDDDDD"/>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DDDDDD"/>
            </w:tcBorders>
            <w:shd w:val="clear" w:color="auto" w:fill="DDDDDD"/>
          </w:tcPr>
          <w:p>
            <w:pPr>
              <w:spacing w:after="0"/>
              <w:rPr>
                <w:sz w:val="12"/>
                <w:szCs w:val="12"/>
                <w:color w:val="auto"/>
              </w:rPr>
            </w:pPr>
          </w:p>
        </w:tc>
        <w:tc>
          <w:tcPr>
            <w:tcW w:w="120" w:type="dxa"/>
            <w:vAlign w:val="bottom"/>
            <w:tcBorders>
              <w:top w:val="single" w:sz="8" w:color="DDDDDD"/>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60,952</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for vesting of RSUs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for ESPP</w:t>
            </w:r>
          </w:p>
        </w:tc>
        <w:tc>
          <w:tcPr>
            <w:tcW w:w="70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7,316</w:t>
            </w:r>
          </w:p>
        </w:tc>
        <w:tc>
          <w:tcPr>
            <w:tcW w:w="8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7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r>
      <w:tr>
        <w:trPr>
          <w:trHeight w:val="149"/>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2023 MBO Bonus Plan</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withheld for withholding tax on RSUs</w:t>
            </w:r>
          </w:p>
        </w:tc>
        <w:tc>
          <w:tcPr>
            <w:tcW w:w="780" w:type="dxa"/>
            <w:vAlign w:val="bottom"/>
            <w:gridSpan w:val="2"/>
            <w:shd w:val="clear" w:color="auto" w:fill="DDDDDD"/>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(46,932)</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820" w:type="dxa"/>
            <w:vAlign w:val="bottom"/>
            <w:gridSpan w:val="3"/>
            <w:shd w:val="clear" w:color="auto" w:fill="DDDDDD"/>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w:t>
            </w:r>
          </w:p>
        </w:tc>
      </w:tr>
      <w:tr>
        <w:trPr>
          <w:trHeight w:val="136"/>
        </w:trPr>
        <w:tc>
          <w:tcPr>
            <w:tcW w:w="334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Shares withheld for withholding tax on 2023 MBO</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1"/>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Bonus Plan</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48"/>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7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9,189</w:t>
            </w:r>
          </w:p>
        </w:tc>
        <w:tc>
          <w:tcPr>
            <w:tcW w:w="8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9,189</w:t>
            </w:r>
          </w:p>
        </w:tc>
      </w:tr>
      <w:tr>
        <w:trPr>
          <w:trHeight w:val="149"/>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(22,621)</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r>
      <w:tr>
        <w:trPr>
          <w:trHeight w:val="168"/>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78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00" w:type="dxa"/>
            <w:vAlign w:val="bottom"/>
            <w:gridSpan w:val="2"/>
            <w:shd w:val="clear" w:color="auto" w:fill="DDDDDD"/>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(55,286)</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4"/>
                <w:szCs w:val="14"/>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4"/>
                <w:szCs w:val="14"/>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(55,286)</w:t>
            </w:r>
          </w:p>
        </w:tc>
      </w:tr>
      <w:tr>
        <w:trPr>
          <w:trHeight w:val="122"/>
        </w:trPr>
        <w:tc>
          <w:tcPr>
            <w:tcW w:w="3340" w:type="dxa"/>
            <w:vAlign w:val="bottom"/>
            <w:tcBorders>
              <w:top w:val="single" w:sz="8" w:color="DDDDDD"/>
            </w:tcBorders>
          </w:tcPr>
          <w:p>
            <w:pPr>
              <w:spacing w:after="0" w:line="122" w:lineRule="exact"/>
              <w:rPr>
                <w:sz w:val="20"/>
                <w:szCs w:val="20"/>
                <w:color w:val="auto"/>
              </w:rPr>
            </w:pPr>
            <w:r>
              <w:rPr>
                <w:rFonts w:ascii="Times New Roman" w:cs="Times New Roman" w:eastAsia="Times New Roman" w:hAnsi="Times New Roman"/>
                <w:sz w:val="14"/>
                <w:szCs w:val="14"/>
                <w:color w:val="auto"/>
              </w:rPr>
              <w:t>Balance as of December 29, 2024</w:t>
            </w:r>
          </w:p>
        </w:tc>
        <w:tc>
          <w:tcPr>
            <w:tcW w:w="7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2,804,542</w:t>
            </w:r>
          </w:p>
        </w:tc>
        <w:tc>
          <w:tcPr>
            <w:tcW w:w="80" w:type="dxa"/>
            <w:vAlign w:val="bottom"/>
            <w:tcBorders>
              <w:top w:val="single" w:sz="8" w:color="DDDDDD"/>
            </w:tcBorders>
          </w:tcPr>
          <w:p>
            <w:pPr>
              <w:spacing w:after="0"/>
              <w:rPr>
                <w:sz w:val="10"/>
                <w:szCs w:val="10"/>
                <w:color w:val="auto"/>
              </w:rPr>
            </w:pPr>
          </w:p>
        </w:tc>
        <w:tc>
          <w:tcPr>
            <w:tcW w:w="200" w:type="dxa"/>
            <w:vAlign w:val="bottom"/>
            <w:tcBorders>
              <w:top w:val="single" w:sz="8" w:color="DDDDDD"/>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w w:val="85"/>
              </w:rPr>
              <w:t>42</w:t>
            </w:r>
          </w:p>
        </w:tc>
        <w:tc>
          <w:tcPr>
            <w:tcW w:w="260" w:type="dxa"/>
            <w:vAlign w:val="bottom"/>
            <w:tcBorders>
              <w:top w:val="single" w:sz="8" w:color="DDDDDD"/>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DDDDDD"/>
            </w:tcBorders>
          </w:tcPr>
          <w:p>
            <w:pPr>
              <w:spacing w:after="0"/>
              <w:rPr>
                <w:sz w:val="10"/>
                <w:szCs w:val="10"/>
                <w:color w:val="auto"/>
              </w:rPr>
            </w:pPr>
          </w:p>
        </w:tc>
        <w:tc>
          <w:tcPr>
            <w:tcW w:w="7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262,313</w:t>
            </w:r>
          </w:p>
        </w:tc>
        <w:tc>
          <w:tcPr>
            <w:tcW w:w="80" w:type="dxa"/>
            <w:vAlign w:val="bottom"/>
            <w:tcBorders>
              <w:top w:val="single" w:sz="8" w:color="DDDDDD"/>
            </w:tcBorders>
          </w:tcPr>
          <w:p>
            <w:pPr>
              <w:spacing w:after="0"/>
              <w:rPr>
                <w:sz w:val="10"/>
                <w:szCs w:val="10"/>
                <w:color w:val="auto"/>
              </w:rPr>
            </w:pPr>
          </w:p>
        </w:tc>
        <w:tc>
          <w:tcPr>
            <w:tcW w:w="200" w:type="dxa"/>
            <w:vAlign w:val="bottom"/>
            <w:tcBorders>
              <w:top w:val="single" w:sz="8" w:color="DDDDDD"/>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(248,491)</w:t>
            </w:r>
          </w:p>
        </w:tc>
        <w:tc>
          <w:tcPr>
            <w:tcW w:w="180" w:type="dxa"/>
            <w:vAlign w:val="bottom"/>
            <w:tcBorders>
              <w:top w:val="single" w:sz="8" w:color="DDDDDD"/>
            </w:tcBorders>
          </w:tcPr>
          <w:p>
            <w:pPr>
              <w:spacing w:after="0"/>
              <w:rPr>
                <w:sz w:val="10"/>
                <w:szCs w:val="10"/>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(22,621)</w:t>
            </w:r>
          </w:p>
        </w:tc>
        <w:tc>
          <w:tcPr>
            <w:tcW w:w="100" w:type="dxa"/>
            <w:vAlign w:val="bottom"/>
            <w:tcBorders>
              <w:top w:val="single" w:sz="8" w:color="DDDDDD"/>
            </w:tcBorders>
          </w:tcPr>
          <w:p>
            <w:pPr>
              <w:spacing w:after="0"/>
              <w:rPr>
                <w:sz w:val="10"/>
                <w:szCs w:val="10"/>
                <w:color w:val="auto"/>
              </w:rPr>
            </w:pPr>
          </w:p>
        </w:tc>
        <w:tc>
          <w:tcPr>
            <w:tcW w:w="220" w:type="dxa"/>
            <w:vAlign w:val="bottom"/>
            <w:tcBorders>
              <w:top w:val="single" w:sz="8" w:color="DDDDDD"/>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(496)</w:t>
            </w:r>
          </w:p>
        </w:tc>
        <w:tc>
          <w:tcPr>
            <w:tcW w:w="180" w:type="dxa"/>
            <w:vAlign w:val="bottom"/>
            <w:tcBorders>
              <w:top w:val="single" w:sz="8" w:color="DDDDDD"/>
            </w:tcBorders>
          </w:tcPr>
          <w:p>
            <w:pPr>
              <w:spacing w:after="0"/>
              <w:rPr>
                <w:sz w:val="10"/>
                <w:szCs w:val="10"/>
                <w:color w:val="auto"/>
              </w:rPr>
            </w:pPr>
          </w:p>
        </w:tc>
        <w:tc>
          <w:tcPr>
            <w:tcW w:w="120" w:type="dxa"/>
            <w:vAlign w:val="bottom"/>
            <w:tcBorders>
              <w:top w:val="single" w:sz="8" w:color="DDDDDD"/>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13,368</w:t>
            </w:r>
          </w:p>
        </w:tc>
      </w:tr>
      <w:tr>
        <w:trPr>
          <w:trHeight w:val="149"/>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for vesting of RSUs</w:t>
            </w:r>
          </w:p>
        </w:tc>
        <w:tc>
          <w:tcPr>
            <w:tcW w:w="70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143,214</w:t>
            </w:r>
          </w:p>
        </w:tc>
        <w:tc>
          <w:tcPr>
            <w:tcW w:w="8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20" w:type="dxa"/>
            <w:vAlign w:val="bottom"/>
            <w:shd w:val="clear" w:color="auto" w:fill="DDDDDD"/>
          </w:tcPr>
          <w:p>
            <w:pPr>
              <w:spacing w:after="0"/>
              <w:rPr>
                <w:sz w:val="12"/>
                <w:szCs w:val="12"/>
                <w:color w:val="auto"/>
              </w:rPr>
            </w:pPr>
          </w:p>
        </w:tc>
        <w:tc>
          <w:tcPr>
            <w:tcW w:w="80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for ESPP</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r>
      <w:tr>
        <w:trPr>
          <w:trHeight w:val="136"/>
        </w:trPr>
        <w:tc>
          <w:tcPr>
            <w:tcW w:w="3340" w:type="dxa"/>
            <w:vAlign w:val="bottom"/>
            <w:shd w:val="clear" w:color="auto" w:fill="DDDDDD"/>
          </w:tcPr>
          <w:p>
            <w:pPr>
              <w:ind w:left="100"/>
              <w:spacing w:after="0" w:line="136" w:lineRule="exact"/>
              <w:rPr>
                <w:sz w:val="20"/>
                <w:szCs w:val="20"/>
                <w:color w:val="auto"/>
              </w:rPr>
            </w:pPr>
            <w:r>
              <w:rPr>
                <w:rFonts w:ascii="Times New Roman" w:cs="Times New Roman" w:eastAsia="Times New Roman" w:hAnsi="Times New Roman"/>
                <w:sz w:val="14"/>
                <w:szCs w:val="14"/>
                <w:color w:val="auto"/>
              </w:rPr>
              <w:t>Issuance of common stock for Reverse Stock Split</w:t>
            </w:r>
          </w:p>
        </w:tc>
        <w:tc>
          <w:tcPr>
            <w:tcW w:w="7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r>
      <w:tr>
        <w:trPr>
          <w:trHeight w:val="161"/>
        </w:trPr>
        <w:tc>
          <w:tcPr>
            <w:tcW w:w="33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4"/>
                <w:szCs w:val="14"/>
                <w:color w:val="auto"/>
              </w:rPr>
              <w:t>rounding</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51,364</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0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4"/>
                <w:szCs w:val="14"/>
                <w:color w:val="auto"/>
              </w:rPr>
            </w:pPr>
          </w:p>
        </w:tc>
        <w:tc>
          <w:tcPr>
            <w:tcW w:w="88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4"/>
                <w:szCs w:val="1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withheld for withholding tax on RSUs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r>
      <w:tr>
        <w:trPr>
          <w:trHeight w:val="149"/>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7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4,540</w:t>
            </w:r>
          </w:p>
        </w:tc>
        <w:tc>
          <w:tcPr>
            <w:tcW w:w="8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4,540</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(123,934)</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(886)</w:t>
            </w:r>
          </w:p>
        </w:tc>
      </w:tr>
      <w:tr>
        <w:trPr>
          <w:trHeight w:val="149"/>
        </w:trPr>
        <w:tc>
          <w:tcPr>
            <w:tcW w:w="334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8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820" w:type="dxa"/>
            <w:vAlign w:val="bottom"/>
            <w:gridSpan w:val="3"/>
            <w:shd w:val="clear" w:color="auto" w:fill="DDDDDD"/>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DDDDDD"/>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DDDDD"/>
          </w:tcPr>
          <w:p>
            <w:pPr>
              <w:spacing w:after="0"/>
              <w:rPr>
                <w:sz w:val="12"/>
                <w:szCs w:val="12"/>
                <w:color w:val="auto"/>
              </w:rPr>
            </w:pPr>
          </w:p>
        </w:tc>
        <w:tc>
          <w:tcPr>
            <w:tcW w:w="880" w:type="dxa"/>
            <w:vAlign w:val="bottom"/>
            <w:gridSpan w:val="2"/>
            <w:shd w:val="clear" w:color="auto" w:fill="DDDDDD"/>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r>
      <w:tr>
        <w:trPr>
          <w:trHeight w:val="148"/>
        </w:trPr>
        <w:tc>
          <w:tcPr>
            <w:tcW w:w="3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(13,713)</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(13,713)</w:t>
            </w:r>
          </w:p>
        </w:tc>
      </w:tr>
      <w:tr>
        <w:trPr>
          <w:trHeight w:val="142"/>
        </w:trPr>
        <w:tc>
          <w:tcPr>
            <w:tcW w:w="3340" w:type="dxa"/>
            <w:vAlign w:val="bottom"/>
            <w:tcBorders>
              <w:top w:val="single" w:sz="8" w:color="DDDDDD"/>
              <w:bottom w:val="single" w:sz="8" w:color="DDDDDD"/>
            </w:tcBorders>
            <w:shd w:val="clear" w:color="auto" w:fill="DDDDDD"/>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28, 2025</w:t>
            </w:r>
          </w:p>
        </w:tc>
        <w:tc>
          <w:tcPr>
            <w:tcW w:w="70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2,971,729</w:t>
            </w:r>
          </w:p>
        </w:tc>
        <w:tc>
          <w:tcPr>
            <w:tcW w:w="80" w:type="dxa"/>
            <w:vAlign w:val="bottom"/>
            <w:tcBorders>
              <w:top w:val="single" w:sz="8" w:color="DDDDDD"/>
              <w:bottom w:val="single" w:sz="8" w:color="DDDDDD"/>
            </w:tcBorders>
            <w:shd w:val="clear" w:color="auto" w:fill="DDDDDD"/>
          </w:tcPr>
          <w:p>
            <w:pPr>
              <w:spacing w:after="0"/>
              <w:rPr>
                <w:sz w:val="12"/>
                <w:szCs w:val="12"/>
                <w:color w:val="auto"/>
              </w:rPr>
            </w:pPr>
          </w:p>
        </w:tc>
        <w:tc>
          <w:tcPr>
            <w:tcW w:w="200" w:type="dxa"/>
            <w:vAlign w:val="bottom"/>
            <w:tcBorders>
              <w:top w:val="single" w:sz="8" w:color="DDDDDD"/>
              <w:bottom w:val="single" w:sz="8" w:color="DDDDDD"/>
            </w:tcBorders>
            <w:gridSpan w:val="2"/>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DDDDDD"/>
          </w:tcPr>
          <w:p>
            <w:pPr>
              <w:spacing w:after="0"/>
              <w:rPr>
                <w:sz w:val="12"/>
                <w:szCs w:val="12"/>
                <w:color w:val="auto"/>
              </w:rPr>
            </w:pPr>
          </w:p>
        </w:tc>
        <w:tc>
          <w:tcPr>
            <w:tcW w:w="18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43</w:t>
            </w:r>
          </w:p>
        </w:tc>
        <w:tc>
          <w:tcPr>
            <w:tcW w:w="260" w:type="dxa"/>
            <w:vAlign w:val="bottom"/>
            <w:tcBorders>
              <w:top w:val="single" w:sz="8" w:color="DDDDDD"/>
              <w:bottom w:val="single" w:sz="8" w:color="DDDDDD"/>
            </w:tcBorders>
            <w:gridSpan w:val="2"/>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DDDDDD"/>
              <w:bottom w:val="single" w:sz="8" w:color="DDDDDD"/>
            </w:tcBorders>
            <w:shd w:val="clear" w:color="auto" w:fill="DDDDDD"/>
          </w:tcPr>
          <w:p>
            <w:pPr>
              <w:spacing w:after="0"/>
              <w:rPr>
                <w:sz w:val="12"/>
                <w:szCs w:val="12"/>
                <w:color w:val="auto"/>
              </w:rPr>
            </w:pPr>
          </w:p>
        </w:tc>
        <w:tc>
          <w:tcPr>
            <w:tcW w:w="72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266,557</w:t>
            </w:r>
          </w:p>
        </w:tc>
        <w:tc>
          <w:tcPr>
            <w:tcW w:w="80" w:type="dxa"/>
            <w:vAlign w:val="bottom"/>
            <w:tcBorders>
              <w:top w:val="single" w:sz="8" w:color="DDDDDD"/>
              <w:bottom w:val="single" w:sz="8" w:color="DDDDDD"/>
            </w:tcBorders>
            <w:shd w:val="clear" w:color="auto" w:fill="DDDDDD"/>
          </w:tcPr>
          <w:p>
            <w:pPr>
              <w:spacing w:after="0"/>
              <w:rPr>
                <w:sz w:val="12"/>
                <w:szCs w:val="12"/>
                <w:color w:val="auto"/>
              </w:rPr>
            </w:pPr>
          </w:p>
        </w:tc>
        <w:tc>
          <w:tcPr>
            <w:tcW w:w="200" w:type="dxa"/>
            <w:vAlign w:val="bottom"/>
            <w:tcBorders>
              <w:top w:val="single" w:sz="8" w:color="DDDDDD"/>
              <w:bottom w:val="single" w:sz="8" w:color="DDDDDD"/>
            </w:tcBorders>
            <w:gridSpan w:val="2"/>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(262,204)</w:t>
            </w:r>
          </w:p>
        </w:tc>
        <w:tc>
          <w:tcPr>
            <w:tcW w:w="180" w:type="dxa"/>
            <w:vAlign w:val="bottom"/>
            <w:tcBorders>
              <w:top w:val="single" w:sz="8" w:color="DDDDDD"/>
              <w:bottom w:val="single" w:sz="8" w:color="DDDDDD"/>
            </w:tcBorders>
            <w:shd w:val="clear" w:color="auto" w:fill="DDDDDD"/>
          </w:tcPr>
          <w:p>
            <w:pPr>
              <w:spacing w:after="0"/>
              <w:rPr>
                <w:sz w:val="12"/>
                <w:szCs w:val="12"/>
                <w:color w:val="auto"/>
              </w:rPr>
            </w:pPr>
          </w:p>
        </w:tc>
        <w:tc>
          <w:tcPr>
            <w:tcW w:w="64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(146,555)</w:t>
            </w:r>
          </w:p>
        </w:tc>
        <w:tc>
          <w:tcPr>
            <w:tcW w:w="100" w:type="dxa"/>
            <w:vAlign w:val="bottom"/>
            <w:tcBorders>
              <w:top w:val="single" w:sz="8" w:color="DDDDDD"/>
              <w:bottom w:val="single" w:sz="8" w:color="DDDDDD"/>
            </w:tcBorders>
            <w:shd w:val="clear" w:color="auto" w:fill="DDDDDD"/>
          </w:tcPr>
          <w:p>
            <w:pPr>
              <w:spacing w:after="0"/>
              <w:rPr>
                <w:sz w:val="12"/>
                <w:szCs w:val="12"/>
                <w:color w:val="auto"/>
              </w:rPr>
            </w:pPr>
          </w:p>
        </w:tc>
        <w:tc>
          <w:tcPr>
            <w:tcW w:w="220" w:type="dxa"/>
            <w:vAlign w:val="bottom"/>
            <w:tcBorders>
              <w:top w:val="single" w:sz="8" w:color="DDDDDD"/>
              <w:bottom w:val="single" w:sz="8" w:color="DDDDDD"/>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(1,382)</w:t>
            </w:r>
          </w:p>
        </w:tc>
        <w:tc>
          <w:tcPr>
            <w:tcW w:w="180" w:type="dxa"/>
            <w:vAlign w:val="bottom"/>
            <w:tcBorders>
              <w:top w:val="single" w:sz="8" w:color="DDDDDD"/>
              <w:bottom w:val="single" w:sz="8" w:color="DDDDDD"/>
            </w:tcBorders>
            <w:shd w:val="clear" w:color="auto" w:fill="DDDDDD"/>
          </w:tcPr>
          <w:p>
            <w:pPr>
              <w:spacing w:after="0"/>
              <w:rPr>
                <w:sz w:val="12"/>
                <w:szCs w:val="12"/>
                <w:color w:val="auto"/>
              </w:rPr>
            </w:pPr>
          </w:p>
        </w:tc>
        <w:tc>
          <w:tcPr>
            <w:tcW w:w="120" w:type="dxa"/>
            <w:vAlign w:val="bottom"/>
            <w:tcBorders>
              <w:top w:val="single" w:sz="8" w:color="DDDDDD"/>
              <w:bottom w:val="single" w:sz="8" w:color="DDDDDD"/>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3,014</w:t>
            </w:r>
          </w:p>
        </w:tc>
      </w:tr>
      <w:tr>
        <w:trPr>
          <w:trHeight w:val="20"/>
        </w:trPr>
        <w:tc>
          <w:tcPr>
            <w:tcW w:w="3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660" w:right="340" w:hanging="319"/>
        <w:spacing w:after="0" w:line="168" w:lineRule="exact"/>
        <w:tabs>
          <w:tab w:leader="none" w:pos="66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Amounts have been adjusted to reflect the 1-for-15 reverse stock split that became effective as of the opening of business on July 7, 2025. Refer to Note 8, </w:t>
      </w:r>
      <w:r>
        <w:rPr>
          <w:rFonts w:ascii="PMingLiU" w:cs="PMingLiU" w:eastAsia="PMingLiU" w:hAnsi="PMingLiU"/>
          <w:sz w:val="14"/>
          <w:szCs w:val="14"/>
          <w:i w:val="1"/>
          <w:iCs w:val="1"/>
          <w:color w:val="auto"/>
        </w:rPr>
        <w:t>6WRFNKROGHU¶V(TXLW\</w:t>
      </w:r>
      <w:r>
        <w:rPr>
          <w:rFonts w:ascii="Times New Roman" w:cs="Times New Roman" w:eastAsia="Times New Roman" w:hAnsi="Times New Roman"/>
          <w:sz w:val="14"/>
          <w:szCs w:val="14"/>
          <w:color w:val="auto"/>
        </w:rPr>
        <w:t xml:space="preserve"> in the accompanying Notes to the Condensed Consolidated Financial Statements for additional details.</w:t>
      </w:r>
    </w:p>
    <w:p>
      <w:pPr>
        <w:spacing w:after="0" w:line="180" w:lineRule="exact"/>
        <w:rPr>
          <w:sz w:val="20"/>
          <w:szCs w:val="20"/>
          <w:color w:val="auto"/>
        </w:rPr>
      </w:pPr>
    </w:p>
    <w:p>
      <w:pPr>
        <w:ind w:left="2020"/>
        <w:spacing w:after="0" w:line="192" w:lineRule="exact"/>
        <w:rPr>
          <w:sz w:val="20"/>
          <w:szCs w:val="20"/>
          <w:color w:val="auto"/>
        </w:rPr>
      </w:pPr>
      <w:r>
        <w:rPr>
          <w:rFonts w:ascii="PMingLiU" w:cs="PMingLiU" w:eastAsia="PMingLiU" w:hAnsi="PMingLiU"/>
          <w:sz w:val="16"/>
          <w:szCs w:val="16"/>
          <w:i w:val="1"/>
          <w:iCs w:val="1"/>
          <w:color w:val="auto"/>
        </w:rPr>
        <w:t>7KHDFFRPSDQ\LQJQRWHVDUHDQLQWHJUDOSDUWRIWKHFRQVROLGDWHGILQDQFLDOVWDWHPHQWV</w:t>
      </w:r>
    </w:p>
    <w:p>
      <w:pPr>
        <w:sectPr>
          <w:pgSz w:w="11880" w:h="15480" w:orient="portrait"/>
          <w:cols w:equalWidth="0" w:num="1">
            <w:col w:w="9900"/>
          </w:cols>
          <w:pgMar w:left="980" w:top="91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900"/>
          </w:cols>
          <w:pgMar w:left="980" w:top="914" w:right="100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7"/>
        </w:trPr>
        <w:tc>
          <w:tcPr>
            <w:tcW w:w="5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40" w:type="dxa"/>
            <w:vAlign w:val="bottom"/>
          </w:tcPr>
          <w:p>
            <w:pPr>
              <w:spacing w:after="0"/>
              <w:rPr>
                <w:sz w:val="10"/>
                <w:szCs w:val="10"/>
                <w:color w:val="auto"/>
              </w:rPr>
            </w:pPr>
          </w:p>
        </w:tc>
        <w:tc>
          <w:tcPr>
            <w:tcW w:w="11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r>
      <w:tr>
        <w:trPr>
          <w:trHeight w:val="149"/>
        </w:trPr>
        <w:tc>
          <w:tcPr>
            <w:tcW w:w="5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73"/>
        </w:trPr>
        <w:tc>
          <w:tcPr>
            <w:tcW w:w="5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142"/>
        </w:trPr>
        <w:tc>
          <w:tcPr>
            <w:tcW w:w="5560" w:type="dxa"/>
            <w:vAlign w:val="bottom"/>
            <w:tcBorders>
              <w:top w:val="single" w:sz="8" w:color="DDDDDD"/>
            </w:tcBorders>
            <w:shd w:val="clear" w:color="auto" w:fill="DDDDDD"/>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tcBorders>
              <w:top w:val="single" w:sz="8" w:color="DDDDDD"/>
            </w:tcBorders>
            <w:shd w:val="clear" w:color="auto" w:fill="DDDDDD"/>
          </w:tcPr>
          <w:p>
            <w:pPr>
              <w:spacing w:after="0"/>
              <w:rPr>
                <w:sz w:val="12"/>
                <w:szCs w:val="12"/>
                <w:color w:val="auto"/>
              </w:rPr>
            </w:pPr>
          </w:p>
        </w:tc>
        <w:tc>
          <w:tcPr>
            <w:tcW w:w="120" w:type="dxa"/>
            <w:vAlign w:val="bottom"/>
            <w:tcBorders>
              <w:top w:val="single" w:sz="8" w:color="auto"/>
            </w:tcBorders>
            <w:shd w:val="clear" w:color="auto" w:fill="DDDDDD"/>
          </w:tcPr>
          <w:p>
            <w:pPr>
              <w:spacing w:after="0"/>
              <w:rPr>
                <w:sz w:val="12"/>
                <w:szCs w:val="12"/>
                <w:color w:val="auto"/>
              </w:rPr>
            </w:pPr>
          </w:p>
        </w:tc>
        <w:tc>
          <w:tcPr>
            <w:tcW w:w="840" w:type="dxa"/>
            <w:vAlign w:val="bottom"/>
            <w:tcBorders>
              <w:top w:val="single" w:sz="8" w:color="auto"/>
            </w:tcBorders>
            <w:shd w:val="clear" w:color="auto" w:fill="DDDDDD"/>
          </w:tcPr>
          <w:p>
            <w:pPr>
              <w:spacing w:after="0"/>
              <w:rPr>
                <w:sz w:val="12"/>
                <w:szCs w:val="12"/>
                <w:color w:val="auto"/>
              </w:rPr>
            </w:pPr>
          </w:p>
        </w:tc>
        <w:tc>
          <w:tcPr>
            <w:tcW w:w="60" w:type="dxa"/>
            <w:vAlign w:val="bottom"/>
            <w:tcBorders>
              <w:top w:val="single" w:sz="8" w:color="DDDDDD"/>
            </w:tcBorders>
            <w:shd w:val="clear" w:color="auto" w:fill="DDDDDD"/>
          </w:tcPr>
          <w:p>
            <w:pPr>
              <w:spacing w:after="0"/>
              <w:rPr>
                <w:sz w:val="12"/>
                <w:szCs w:val="12"/>
                <w:color w:val="auto"/>
              </w:rPr>
            </w:pPr>
          </w:p>
        </w:tc>
        <w:tc>
          <w:tcPr>
            <w:tcW w:w="140" w:type="dxa"/>
            <w:vAlign w:val="bottom"/>
            <w:tcBorders>
              <w:top w:val="single" w:sz="8" w:color="DDDDDD"/>
            </w:tcBorders>
            <w:shd w:val="clear" w:color="auto" w:fill="DDDDDD"/>
          </w:tcPr>
          <w:p>
            <w:pPr>
              <w:spacing w:after="0"/>
              <w:rPr>
                <w:sz w:val="12"/>
                <w:szCs w:val="12"/>
                <w:color w:val="auto"/>
              </w:rPr>
            </w:pPr>
          </w:p>
        </w:tc>
        <w:tc>
          <w:tcPr>
            <w:tcW w:w="120" w:type="dxa"/>
            <w:vAlign w:val="bottom"/>
            <w:tcBorders>
              <w:top w:val="single" w:sz="8" w:color="auto"/>
            </w:tcBorders>
            <w:shd w:val="clear" w:color="auto" w:fill="DDDDDD"/>
          </w:tcPr>
          <w:p>
            <w:pPr>
              <w:spacing w:after="0"/>
              <w:rPr>
                <w:sz w:val="12"/>
                <w:szCs w:val="12"/>
                <w:color w:val="auto"/>
              </w:rPr>
            </w:pPr>
          </w:p>
        </w:tc>
        <w:tc>
          <w:tcPr>
            <w:tcW w:w="840" w:type="dxa"/>
            <w:vAlign w:val="bottom"/>
            <w:tcBorders>
              <w:top w:val="single" w:sz="8" w:color="auto"/>
            </w:tcBorders>
            <w:shd w:val="clear" w:color="auto" w:fill="DDDDDD"/>
          </w:tcPr>
          <w:p>
            <w:pPr>
              <w:spacing w:after="0"/>
              <w:rPr>
                <w:sz w:val="12"/>
                <w:szCs w:val="12"/>
                <w:color w:val="auto"/>
              </w:rPr>
            </w:pPr>
          </w:p>
        </w:tc>
        <w:tc>
          <w:tcPr>
            <w:tcW w:w="160" w:type="dxa"/>
            <w:vAlign w:val="bottom"/>
            <w:tcBorders>
              <w:top w:val="single" w:sz="8" w:color="DDDDDD"/>
            </w:tcBorders>
            <w:shd w:val="clear" w:color="auto" w:fill="DDDDDD"/>
          </w:tcPr>
          <w:p>
            <w:pPr>
              <w:spacing w:after="0"/>
              <w:rPr>
                <w:sz w:val="12"/>
                <w:szCs w:val="12"/>
                <w:color w:val="auto"/>
              </w:rPr>
            </w:pPr>
          </w:p>
        </w:tc>
        <w:tc>
          <w:tcPr>
            <w:tcW w:w="40" w:type="dxa"/>
            <w:vAlign w:val="bottom"/>
            <w:tcBorders>
              <w:top w:val="single" w:sz="8" w:color="DDDDDD"/>
            </w:tcBorders>
            <w:shd w:val="clear" w:color="auto" w:fill="DDDDDD"/>
          </w:tcPr>
          <w:p>
            <w:pPr>
              <w:spacing w:after="0"/>
              <w:rPr>
                <w:sz w:val="12"/>
                <w:szCs w:val="12"/>
                <w:color w:val="auto"/>
              </w:rPr>
            </w:pPr>
          </w:p>
        </w:tc>
        <w:tc>
          <w:tcPr>
            <w:tcW w:w="60" w:type="dxa"/>
            <w:vAlign w:val="bottom"/>
            <w:tcBorders>
              <w:top w:val="single" w:sz="8" w:color="auto"/>
            </w:tcBorders>
            <w:shd w:val="clear" w:color="auto" w:fill="DDDDDD"/>
          </w:tcPr>
          <w:p>
            <w:pPr>
              <w:spacing w:after="0"/>
              <w:rPr>
                <w:sz w:val="12"/>
                <w:szCs w:val="12"/>
                <w:color w:val="auto"/>
              </w:rPr>
            </w:pPr>
          </w:p>
        </w:tc>
        <w:tc>
          <w:tcPr>
            <w:tcW w:w="920" w:type="dxa"/>
            <w:vAlign w:val="bottom"/>
            <w:tcBorders>
              <w:top w:val="single" w:sz="8" w:color="auto"/>
            </w:tcBorders>
            <w:shd w:val="clear" w:color="auto" w:fill="DDDDDD"/>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(13,713)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(55,286)</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(19,334)</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4,819</w:t>
            </w:r>
          </w:p>
        </w:tc>
        <w:tc>
          <w:tcPr>
            <w:tcW w:w="20" w:type="dxa"/>
            <w:vAlign w:val="bottom"/>
          </w:tcPr>
          <w:p>
            <w:pPr>
              <w:spacing w:after="0"/>
              <w:rPr>
                <w:sz w:val="12"/>
                <w:szCs w:val="12"/>
                <w:color w:val="auto"/>
              </w:rPr>
            </w:pPr>
          </w:p>
        </w:tc>
      </w:tr>
      <w:tr>
        <w:trPr>
          <w:trHeight w:val="149"/>
        </w:trPr>
        <w:tc>
          <w:tcPr>
            <w:tcW w:w="556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4,518</w:t>
            </w: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20" w:type="dxa"/>
            <w:vAlign w:val="bottom"/>
          </w:tcPr>
          <w:p>
            <w:pPr>
              <w:spacing w:after="0"/>
              <w:rPr>
                <w:sz w:val="12"/>
                <w:szCs w:val="12"/>
                <w:color w:val="auto"/>
              </w:rPr>
            </w:pPr>
          </w:p>
        </w:tc>
      </w:tr>
      <w:tr>
        <w:trPr>
          <w:trHeight w:val="148"/>
        </w:trPr>
        <w:tc>
          <w:tcPr>
            <w:tcW w:w="5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lease modification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lease termination</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r>
      <w:tr>
        <w:trPr>
          <w:trHeight w:val="149"/>
        </w:trPr>
        <w:tc>
          <w:tcPr>
            <w:tcW w:w="5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17,694</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w:t>
            </w: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w:t>
            </w:r>
          </w:p>
        </w:tc>
        <w:tc>
          <w:tcPr>
            <w:tcW w:w="20" w:type="dxa"/>
            <w:vAlign w:val="bottom"/>
          </w:tcPr>
          <w:p>
            <w:pPr>
              <w:spacing w:after="0"/>
              <w:rPr>
                <w:sz w:val="12"/>
                <w:szCs w:val="12"/>
                <w:color w:val="auto"/>
              </w:rPr>
            </w:pPr>
          </w:p>
        </w:tc>
      </w:tr>
      <w:tr>
        <w:trPr>
          <w:trHeight w:val="148"/>
        </w:trPr>
        <w:tc>
          <w:tcPr>
            <w:tcW w:w="5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7,714</w:t>
            </w:r>
          </w:p>
        </w:tc>
        <w:tc>
          <w:tcPr>
            <w:tcW w:w="20" w:type="dxa"/>
            <w:vAlign w:val="bottom"/>
          </w:tcPr>
          <w:p>
            <w:pPr>
              <w:spacing w:after="0"/>
              <w:rPr>
                <w:sz w:val="12"/>
                <w:szCs w:val="12"/>
                <w:color w:val="auto"/>
              </w:rPr>
            </w:pPr>
          </w:p>
        </w:tc>
      </w:tr>
      <w:tr>
        <w:trPr>
          <w:trHeight w:val="148"/>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779</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w:t>
            </w: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20" w:type="dxa"/>
            <w:vAlign w:val="bottom"/>
          </w:tcPr>
          <w:p>
            <w:pPr>
              <w:spacing w:after="0"/>
              <w:rPr>
                <w:sz w:val="12"/>
                <w:szCs w:val="12"/>
                <w:color w:val="auto"/>
              </w:rPr>
            </w:pPr>
          </w:p>
        </w:tc>
      </w:tr>
      <w:tr>
        <w:trPr>
          <w:trHeight w:val="148"/>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(2,658)</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w:t>
            </w: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3,580</w:t>
            </w:r>
          </w:p>
        </w:tc>
        <w:tc>
          <w:tcPr>
            <w:tcW w:w="20" w:type="dxa"/>
            <w:vAlign w:val="bottom"/>
          </w:tcPr>
          <w:p>
            <w:pPr>
              <w:spacing w:after="0"/>
              <w:rPr>
                <w:sz w:val="12"/>
                <w:szCs w:val="12"/>
                <w:color w:val="auto"/>
              </w:rPr>
            </w:pPr>
          </w:p>
        </w:tc>
      </w:tr>
      <w:tr>
        <w:trPr>
          <w:trHeight w:val="149"/>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20" w:type="dxa"/>
            <w:vAlign w:val="bottom"/>
          </w:tcPr>
          <w:p>
            <w:pPr>
              <w:spacing w:after="0"/>
              <w:rPr>
                <w:sz w:val="12"/>
                <w:szCs w:val="12"/>
                <w:color w:val="auto"/>
              </w:rPr>
            </w:pPr>
          </w:p>
        </w:tc>
      </w:tr>
      <w:tr>
        <w:trPr>
          <w:trHeight w:val="149"/>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(4,299)</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(3,488)</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(3,317)</w:t>
            </w:r>
          </w:p>
        </w:tc>
        <w:tc>
          <w:tcPr>
            <w:tcW w:w="20" w:type="dxa"/>
            <w:vAlign w:val="bottom"/>
          </w:tcPr>
          <w:p>
            <w:pPr>
              <w:spacing w:after="0"/>
              <w:rPr>
                <w:sz w:val="12"/>
                <w:szCs w:val="12"/>
                <w:color w:val="auto"/>
              </w:rPr>
            </w:pPr>
          </w:p>
        </w:tc>
      </w:tr>
      <w:tr>
        <w:trPr>
          <w:trHeight w:val="148"/>
        </w:trPr>
        <w:tc>
          <w:tcPr>
            <w:tcW w:w="5560" w:type="dxa"/>
            <w:vAlign w:val="bottom"/>
            <w:tcBorders>
              <w:bottom w:val="single" w:sz="8" w:color="DDDDDD"/>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040" w:type="dxa"/>
            <w:vAlign w:val="bottom"/>
            <w:tcBorders>
              <w:bottom w:val="single" w:sz="8" w:color="DDDDDD"/>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60" w:type="dxa"/>
            <w:vAlign w:val="bottom"/>
            <w:tcBorders>
              <w:bottom w:val="single" w:sz="8" w:color="DDDDDD"/>
            </w:tcBorders>
          </w:tcPr>
          <w:p>
            <w:pPr>
              <w:spacing w:after="0"/>
              <w:rPr>
                <w:sz w:val="12"/>
                <w:szCs w:val="12"/>
                <w:color w:val="auto"/>
              </w:rPr>
            </w:pPr>
          </w:p>
        </w:tc>
        <w:tc>
          <w:tcPr>
            <w:tcW w:w="140" w:type="dxa"/>
            <w:vAlign w:val="bottom"/>
            <w:tcBorders>
              <w:bottom w:val="single" w:sz="8" w:color="DDDDDD"/>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60" w:type="dxa"/>
            <w:vAlign w:val="bottom"/>
            <w:tcBorders>
              <w:bottom w:val="single" w:sz="8" w:color="DDDDDD"/>
            </w:tcBorders>
          </w:tcPr>
          <w:p>
            <w:pPr>
              <w:spacing w:after="0"/>
              <w:rPr>
                <w:sz w:val="12"/>
                <w:szCs w:val="12"/>
                <w:color w:val="auto"/>
              </w:rPr>
            </w:pPr>
          </w:p>
        </w:tc>
        <w:tc>
          <w:tcPr>
            <w:tcW w:w="40" w:type="dxa"/>
            <w:vAlign w:val="bottom"/>
            <w:tcBorders>
              <w:bottom w:val="single" w:sz="8" w:color="DDDDDD"/>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2"/>
                <w:szCs w:val="12"/>
                <w:color w:val="auto"/>
              </w:rPr>
            </w:pPr>
          </w:p>
        </w:tc>
      </w:tr>
      <w:tr>
        <w:trPr>
          <w:trHeight w:val="162"/>
        </w:trPr>
        <w:tc>
          <w:tcPr>
            <w:tcW w:w="5560" w:type="dxa"/>
            <w:vAlign w:val="bottom"/>
            <w:tcBorders>
              <w:bottom w:val="single" w:sz="8" w:color="DDDDDD"/>
            </w:tcBorders>
            <w:shd w:val="clear" w:color="auto" w:fill="DDDDDD"/>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40" w:type="dxa"/>
            <w:vAlign w:val="bottom"/>
            <w:tcBorders>
              <w:bottom w:val="single" w:sz="8" w:color="DDDDDD"/>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840" w:type="dxa"/>
            <w:vAlign w:val="bottom"/>
            <w:tcBorders>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1,379</w:t>
            </w:r>
          </w:p>
        </w:tc>
        <w:tc>
          <w:tcPr>
            <w:tcW w:w="60" w:type="dxa"/>
            <w:vAlign w:val="bottom"/>
            <w:tcBorders>
              <w:bottom w:val="single" w:sz="8" w:color="DDDDDD"/>
            </w:tcBorders>
            <w:shd w:val="clear" w:color="auto" w:fill="DDDDDD"/>
          </w:tcPr>
          <w:p>
            <w:pPr>
              <w:spacing w:after="0"/>
              <w:rPr>
                <w:sz w:val="14"/>
                <w:szCs w:val="14"/>
                <w:color w:val="auto"/>
              </w:rPr>
            </w:pPr>
          </w:p>
        </w:tc>
        <w:tc>
          <w:tcPr>
            <w:tcW w:w="140" w:type="dxa"/>
            <w:vAlign w:val="bottom"/>
            <w:tcBorders>
              <w:bottom w:val="single" w:sz="8" w:color="DDDDDD"/>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840" w:type="dxa"/>
            <w:vAlign w:val="bottom"/>
            <w:tcBorders>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2,601</w:t>
            </w:r>
          </w:p>
        </w:tc>
        <w:tc>
          <w:tcPr>
            <w:tcW w:w="160" w:type="dxa"/>
            <w:vAlign w:val="bottom"/>
            <w:tcBorders>
              <w:bottom w:val="single" w:sz="8" w:color="DDDDDD"/>
            </w:tcBorders>
            <w:shd w:val="clear" w:color="auto" w:fill="DDDDDD"/>
          </w:tcPr>
          <w:p>
            <w:pPr>
              <w:spacing w:after="0"/>
              <w:rPr>
                <w:sz w:val="14"/>
                <w:szCs w:val="14"/>
                <w:color w:val="auto"/>
              </w:rPr>
            </w:pPr>
          </w:p>
        </w:tc>
        <w:tc>
          <w:tcPr>
            <w:tcW w:w="40" w:type="dxa"/>
            <w:vAlign w:val="bottom"/>
            <w:tcBorders>
              <w:bottom w:val="single" w:sz="8" w:color="DDDDDD"/>
            </w:tcBorders>
            <w:shd w:val="clear" w:color="auto" w:fill="DDDDDD"/>
          </w:tcPr>
          <w:p>
            <w:pPr>
              <w:spacing w:after="0"/>
              <w:rPr>
                <w:sz w:val="14"/>
                <w:szCs w:val="14"/>
                <w:color w:val="auto"/>
              </w:rPr>
            </w:pPr>
          </w:p>
        </w:tc>
        <w:tc>
          <w:tcPr>
            <w:tcW w:w="60" w:type="dxa"/>
            <w:vAlign w:val="bottom"/>
            <w:tcBorders>
              <w:bottom w:val="single" w:sz="8" w:color="auto"/>
            </w:tcBorders>
            <w:shd w:val="clear" w:color="auto" w:fill="DDDDDD"/>
          </w:tcPr>
          <w:p>
            <w:pPr>
              <w:spacing w:after="0"/>
              <w:rPr>
                <w:sz w:val="14"/>
                <w:szCs w:val="14"/>
                <w:color w:val="auto"/>
              </w:rPr>
            </w:pPr>
          </w:p>
        </w:tc>
        <w:tc>
          <w:tcPr>
            <w:tcW w:w="920" w:type="dxa"/>
            <w:vAlign w:val="bottom"/>
            <w:tcBorders>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15,421</w:t>
            </w:r>
          </w:p>
        </w:tc>
        <w:tc>
          <w:tcPr>
            <w:tcW w:w="20" w:type="dxa"/>
            <w:vAlign w:val="bottom"/>
          </w:tcPr>
          <w:p>
            <w:pPr>
              <w:spacing w:after="0"/>
              <w:rPr>
                <w:sz w:val="14"/>
                <w:szCs w:val="14"/>
                <w:color w:val="auto"/>
              </w:rPr>
            </w:pPr>
          </w:p>
        </w:tc>
      </w:tr>
      <w:tr>
        <w:trPr>
          <w:trHeight w:val="122"/>
        </w:trPr>
        <w:tc>
          <w:tcPr>
            <w:tcW w:w="556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(1,816)</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(1,574)</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20" w:type="dxa"/>
            <w:vAlign w:val="bottom"/>
          </w:tcPr>
          <w:p>
            <w:pPr>
              <w:spacing w:after="0"/>
              <w:rPr>
                <w:sz w:val="12"/>
                <w:szCs w:val="12"/>
                <w:color w:val="auto"/>
              </w:rPr>
            </w:pPr>
          </w:p>
        </w:tc>
      </w:tr>
      <w:tr>
        <w:trPr>
          <w:trHeight w:val="148"/>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20" w:type="dxa"/>
            <w:vAlign w:val="bottom"/>
          </w:tcPr>
          <w:p>
            <w:pPr>
              <w:spacing w:after="0"/>
              <w:rPr>
                <w:sz w:val="12"/>
                <w:szCs w:val="12"/>
                <w:color w:val="auto"/>
              </w:rPr>
            </w:pPr>
          </w:p>
        </w:tc>
      </w:tr>
      <w:tr>
        <w:trPr>
          <w:trHeight w:val="168"/>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84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000" w:type="dxa"/>
            <w:vAlign w:val="bottom"/>
            <w:gridSpan w:val="2"/>
            <w:shd w:val="clear" w:color="auto" w:fill="DDDDDD"/>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4"/>
                <w:szCs w:val="14"/>
                <w:color w:val="auto"/>
              </w:rPr>
            </w:pPr>
          </w:p>
        </w:tc>
      </w:tr>
      <w:tr>
        <w:trPr>
          <w:trHeight w:val="122"/>
        </w:trPr>
        <w:tc>
          <w:tcPr>
            <w:tcW w:w="5560" w:type="dxa"/>
            <w:vAlign w:val="bottom"/>
            <w:tcBorders>
              <w:top w:val="single" w:sz="8" w:color="DDDDDD"/>
              <w:bottom w:val="single" w:sz="8" w:color="DDDDDD"/>
            </w:tcBorders>
          </w:tcPr>
          <w:p>
            <w:pPr>
              <w:ind w:left="200"/>
              <w:spacing w:after="0" w:line="12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40" w:type="dxa"/>
            <w:vAlign w:val="bottom"/>
            <w:tcBorders>
              <w:top w:val="single" w:sz="8" w:color="DDDDDD"/>
              <w:bottom w:val="single" w:sz="8" w:color="DDDDDD"/>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(2,131)</w:t>
            </w:r>
          </w:p>
        </w:tc>
        <w:tc>
          <w:tcPr>
            <w:tcW w:w="60" w:type="dxa"/>
            <w:vAlign w:val="bottom"/>
            <w:tcBorders>
              <w:top w:val="single" w:sz="8" w:color="DDDDDD"/>
              <w:bottom w:val="single" w:sz="8" w:color="DDDDDD"/>
            </w:tcBorders>
          </w:tcPr>
          <w:p>
            <w:pPr>
              <w:spacing w:after="0"/>
              <w:rPr>
                <w:sz w:val="10"/>
                <w:szCs w:val="10"/>
                <w:color w:val="auto"/>
              </w:rPr>
            </w:pPr>
          </w:p>
        </w:tc>
        <w:tc>
          <w:tcPr>
            <w:tcW w:w="140" w:type="dxa"/>
            <w:vAlign w:val="bottom"/>
            <w:tcBorders>
              <w:top w:val="single" w:sz="8" w:color="DDDDDD"/>
              <w:bottom w:val="single" w:sz="8" w:color="DDDDDD"/>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(2,874)</w:t>
            </w:r>
          </w:p>
        </w:tc>
        <w:tc>
          <w:tcPr>
            <w:tcW w:w="160" w:type="dxa"/>
            <w:vAlign w:val="bottom"/>
            <w:tcBorders>
              <w:top w:val="single" w:sz="8" w:color="DDDDDD"/>
              <w:bottom w:val="single" w:sz="8" w:color="DDDDDD"/>
            </w:tcBorders>
          </w:tcPr>
          <w:p>
            <w:pPr>
              <w:spacing w:after="0"/>
              <w:rPr>
                <w:sz w:val="10"/>
                <w:szCs w:val="10"/>
                <w:color w:val="auto"/>
              </w:rPr>
            </w:pPr>
          </w:p>
        </w:tc>
        <w:tc>
          <w:tcPr>
            <w:tcW w:w="40" w:type="dxa"/>
            <w:vAlign w:val="bottom"/>
            <w:tcBorders>
              <w:top w:val="single" w:sz="8" w:color="DDDDDD"/>
              <w:bottom w:val="single" w:sz="8" w:color="DDDDDD"/>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(4,003)</w:t>
            </w:r>
          </w:p>
        </w:tc>
        <w:tc>
          <w:tcPr>
            <w:tcW w:w="20" w:type="dxa"/>
            <w:vAlign w:val="bottom"/>
          </w:tcPr>
          <w:p>
            <w:pPr>
              <w:spacing w:after="0"/>
              <w:rPr>
                <w:sz w:val="10"/>
                <w:szCs w:val="10"/>
                <w:color w:val="auto"/>
              </w:rPr>
            </w:pPr>
          </w:p>
        </w:tc>
      </w:tr>
      <w:tr>
        <w:trPr>
          <w:trHeight w:val="142"/>
        </w:trPr>
        <w:tc>
          <w:tcPr>
            <w:tcW w:w="5560" w:type="dxa"/>
            <w:vAlign w:val="bottom"/>
            <w:shd w:val="clear" w:color="auto" w:fill="DDDDDD"/>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84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revolving line of credit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33,090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Repayments on revolving line of credit</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(13,090)</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0" w:type="dxa"/>
            <w:vAlign w:val="bottom"/>
          </w:tcPr>
          <w:p>
            <w:pPr>
              <w:spacing w:after="0"/>
              <w:rPr>
                <w:sz w:val="12"/>
                <w:szCs w:val="12"/>
                <w:color w:val="auto"/>
              </w:rPr>
            </w:pPr>
          </w:p>
        </w:tc>
      </w:tr>
      <w:tr>
        <w:trPr>
          <w:trHeight w:val="149"/>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borrowings on Asset Based Revolving Credit Facility</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115,102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Repayments on Asset Based Revolving Credit Facility</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(100,712)</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ESPP</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20" w:type="dxa"/>
            <w:vAlign w:val="bottom"/>
          </w:tcPr>
          <w:p>
            <w:pPr>
              <w:spacing w:after="0"/>
              <w:rPr>
                <w:sz w:val="12"/>
                <w:szCs w:val="12"/>
                <w:color w:val="auto"/>
              </w:rPr>
            </w:pPr>
          </w:p>
        </w:tc>
      </w:tr>
      <w:tr>
        <w:trPr>
          <w:trHeight w:val="149"/>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(1,365)</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0" w:type="dxa"/>
            <w:vAlign w:val="bottom"/>
          </w:tcPr>
          <w:p>
            <w:pPr>
              <w:spacing w:after="0"/>
              <w:rPr>
                <w:sz w:val="12"/>
                <w:szCs w:val="12"/>
                <w:color w:val="auto"/>
              </w:rPr>
            </w:pPr>
          </w:p>
        </w:tc>
      </w:tr>
      <w:tr>
        <w:trPr>
          <w:trHeight w:val="148"/>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Withholding tax payments related to vesting of RSUs and 2023 Bonus Plan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(1,629)</w:t>
            </w:r>
          </w:p>
        </w:tc>
        <w:tc>
          <w:tcPr>
            <w:tcW w:w="20" w:type="dxa"/>
            <w:vAlign w:val="bottom"/>
          </w:tcPr>
          <w:p>
            <w:pPr>
              <w:spacing w:after="0"/>
              <w:rPr>
                <w:sz w:val="12"/>
                <w:szCs w:val="12"/>
                <w:color w:val="auto"/>
              </w:rPr>
            </w:pPr>
          </w:p>
        </w:tc>
      </w:tr>
      <w:tr>
        <w:trPr>
          <w:trHeight w:val="149"/>
        </w:trPr>
        <w:tc>
          <w:tcPr>
            <w:tcW w:w="55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0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90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1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4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92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r>
      <w:tr>
        <w:trPr>
          <w:trHeight w:val="142"/>
        </w:trPr>
        <w:tc>
          <w:tcPr>
            <w:tcW w:w="5560" w:type="dxa"/>
            <w:vAlign w:val="bottom"/>
            <w:tcBorders>
              <w:top w:val="single" w:sz="8" w:color="DDDDDD"/>
            </w:tcBorders>
            <w:shd w:val="clear" w:color="auto" w:fill="DDDDDD"/>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40" w:type="dxa"/>
            <w:vAlign w:val="bottom"/>
            <w:tcBorders>
              <w:top w:val="single" w:sz="8" w:color="DDDDDD"/>
            </w:tcBorders>
            <w:shd w:val="clear" w:color="auto" w:fill="DDDDDD"/>
          </w:tcPr>
          <w:p>
            <w:pPr>
              <w:spacing w:after="0"/>
              <w:rPr>
                <w:sz w:val="12"/>
                <w:szCs w:val="12"/>
                <w:color w:val="auto"/>
              </w:rPr>
            </w:pPr>
          </w:p>
        </w:tc>
        <w:tc>
          <w:tcPr>
            <w:tcW w:w="120" w:type="dxa"/>
            <w:vAlign w:val="bottom"/>
            <w:tcBorders>
              <w:top w:val="single" w:sz="8" w:color="auto"/>
              <w:bottom w:val="single" w:sz="8" w:color="auto"/>
            </w:tcBorders>
            <w:shd w:val="clear" w:color="auto" w:fill="DDDDDD"/>
          </w:tcPr>
          <w:p>
            <w:pPr>
              <w:spacing w:after="0"/>
              <w:rPr>
                <w:sz w:val="12"/>
                <w:szCs w:val="12"/>
                <w:color w:val="auto"/>
              </w:rPr>
            </w:pPr>
          </w:p>
        </w:tc>
        <w:tc>
          <w:tcPr>
            <w:tcW w:w="84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(1,047)</w:t>
            </w:r>
          </w:p>
        </w:tc>
        <w:tc>
          <w:tcPr>
            <w:tcW w:w="60" w:type="dxa"/>
            <w:vAlign w:val="bottom"/>
            <w:tcBorders>
              <w:top w:val="single" w:sz="8" w:color="DDDDDD"/>
            </w:tcBorders>
            <w:shd w:val="clear" w:color="auto" w:fill="DDDDDD"/>
          </w:tcPr>
          <w:p>
            <w:pPr>
              <w:spacing w:after="0"/>
              <w:rPr>
                <w:sz w:val="12"/>
                <w:szCs w:val="12"/>
                <w:color w:val="auto"/>
              </w:rPr>
            </w:pPr>
          </w:p>
        </w:tc>
        <w:tc>
          <w:tcPr>
            <w:tcW w:w="140" w:type="dxa"/>
            <w:vAlign w:val="bottom"/>
            <w:tcBorders>
              <w:top w:val="single" w:sz="8" w:color="DDDDDD"/>
            </w:tcBorders>
            <w:shd w:val="clear" w:color="auto" w:fill="DDDDDD"/>
          </w:tcPr>
          <w:p>
            <w:pPr>
              <w:spacing w:after="0"/>
              <w:rPr>
                <w:sz w:val="12"/>
                <w:szCs w:val="12"/>
                <w:color w:val="auto"/>
              </w:rPr>
            </w:pPr>
          </w:p>
        </w:tc>
        <w:tc>
          <w:tcPr>
            <w:tcW w:w="120" w:type="dxa"/>
            <w:vAlign w:val="bottom"/>
            <w:tcBorders>
              <w:top w:val="single" w:sz="8" w:color="auto"/>
              <w:bottom w:val="single" w:sz="8" w:color="auto"/>
            </w:tcBorders>
            <w:shd w:val="clear" w:color="auto" w:fill="DDDDDD"/>
          </w:tcPr>
          <w:p>
            <w:pPr>
              <w:spacing w:after="0"/>
              <w:rPr>
                <w:sz w:val="12"/>
                <w:szCs w:val="12"/>
                <w:color w:val="auto"/>
              </w:rPr>
            </w:pPr>
          </w:p>
        </w:tc>
        <w:tc>
          <w:tcPr>
            <w:tcW w:w="84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2,227</w:t>
            </w:r>
          </w:p>
        </w:tc>
        <w:tc>
          <w:tcPr>
            <w:tcW w:w="160" w:type="dxa"/>
            <w:vAlign w:val="bottom"/>
            <w:tcBorders>
              <w:top w:val="single" w:sz="8" w:color="DDDDDD"/>
            </w:tcBorders>
            <w:shd w:val="clear" w:color="auto" w:fill="DDDDDD"/>
          </w:tcPr>
          <w:p>
            <w:pPr>
              <w:spacing w:after="0"/>
              <w:rPr>
                <w:sz w:val="12"/>
                <w:szCs w:val="12"/>
                <w:color w:val="auto"/>
              </w:rPr>
            </w:pPr>
          </w:p>
        </w:tc>
        <w:tc>
          <w:tcPr>
            <w:tcW w:w="40" w:type="dxa"/>
            <w:vAlign w:val="bottom"/>
            <w:tcBorders>
              <w:top w:val="single" w:sz="8" w:color="DDDDDD"/>
            </w:tcBorders>
            <w:shd w:val="clear" w:color="auto" w:fill="DDDDDD"/>
          </w:tcPr>
          <w:p>
            <w:pPr>
              <w:spacing w:after="0"/>
              <w:rPr>
                <w:sz w:val="12"/>
                <w:szCs w:val="12"/>
                <w:color w:val="auto"/>
              </w:rPr>
            </w:pPr>
          </w:p>
        </w:tc>
        <w:tc>
          <w:tcPr>
            <w:tcW w:w="60" w:type="dxa"/>
            <w:vAlign w:val="bottom"/>
            <w:tcBorders>
              <w:top w:val="single" w:sz="8" w:color="auto"/>
              <w:bottom w:val="single" w:sz="8" w:color="auto"/>
            </w:tcBorders>
            <w:shd w:val="clear" w:color="auto" w:fill="DDDDDD"/>
          </w:tcPr>
          <w:p>
            <w:pPr>
              <w:spacing w:after="0"/>
              <w:rPr>
                <w:sz w:val="12"/>
                <w:szCs w:val="12"/>
                <w:color w:val="auto"/>
              </w:rPr>
            </w:pPr>
          </w:p>
        </w:tc>
        <w:tc>
          <w:tcPr>
            <w:tcW w:w="920" w:type="dxa"/>
            <w:vAlign w:val="bottom"/>
            <w:tcBorders>
              <w:top w:val="single" w:sz="8" w:color="auto"/>
              <w:bottom w:val="single" w:sz="8" w:color="auto"/>
            </w:tcBorders>
            <w:shd w:val="clear" w:color="auto" w:fill="DDDDDD"/>
          </w:tcPr>
          <w:p>
            <w:pPr>
              <w:jc w:val="right"/>
              <w:spacing w:after="0" w:line="142" w:lineRule="exact"/>
              <w:rPr>
                <w:sz w:val="20"/>
                <w:szCs w:val="20"/>
                <w:color w:val="auto"/>
              </w:rPr>
            </w:pPr>
            <w:r>
              <w:rPr>
                <w:rFonts w:ascii="Times New Roman" w:cs="Times New Roman" w:eastAsia="Times New Roman" w:hAnsi="Times New Roman"/>
                <w:sz w:val="14"/>
                <w:szCs w:val="14"/>
                <w:color w:val="auto"/>
              </w:rPr>
              <w:t>(19,131)</w:t>
            </w:r>
          </w:p>
        </w:tc>
        <w:tc>
          <w:tcPr>
            <w:tcW w:w="20" w:type="dxa"/>
            <w:vAlign w:val="bottom"/>
          </w:tcPr>
          <w:p>
            <w:pPr>
              <w:spacing w:after="0"/>
              <w:rPr>
                <w:sz w:val="12"/>
                <w:szCs w:val="12"/>
                <w:color w:val="auto"/>
              </w:rPr>
            </w:pPr>
          </w:p>
        </w:tc>
      </w:tr>
      <w:tr>
        <w:trPr>
          <w:trHeight w:val="142"/>
        </w:trPr>
        <w:tc>
          <w:tcPr>
            <w:tcW w:w="5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(1,799)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1,954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(7,713)</w:t>
            </w:r>
          </w:p>
        </w:tc>
        <w:tc>
          <w:tcPr>
            <w:tcW w:w="20" w:type="dxa"/>
            <w:vAlign w:val="bottom"/>
          </w:tcPr>
          <w:p>
            <w:pPr>
              <w:spacing w:after="0"/>
              <w:rPr>
                <w:sz w:val="12"/>
                <w:szCs w:val="12"/>
                <w:color w:val="auto"/>
              </w:rPr>
            </w:pPr>
          </w:p>
        </w:tc>
      </w:tr>
      <w:tr>
        <w:trPr>
          <w:trHeight w:val="148"/>
        </w:trPr>
        <w:tc>
          <w:tcPr>
            <w:tcW w:w="556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40" w:type="dxa"/>
            <w:vAlign w:val="bottom"/>
            <w:shd w:val="clear" w:color="auto" w:fill="DDDDDD"/>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840" w:type="dxa"/>
            <w:vAlign w:val="bottom"/>
            <w:tcBorders>
              <w:bottom w:val="single" w:sz="8" w:color="auto"/>
            </w:tcBorders>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840" w:type="dxa"/>
            <w:vAlign w:val="bottom"/>
            <w:tcBorders>
              <w:bottom w:val="single" w:sz="8" w:color="auto"/>
            </w:tcBorders>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16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60" w:type="dxa"/>
            <w:vAlign w:val="bottom"/>
            <w:tcBorders>
              <w:bottom w:val="single" w:sz="8" w:color="auto"/>
            </w:tcBorders>
            <w:shd w:val="clear" w:color="auto" w:fill="DDDDDD"/>
          </w:tcPr>
          <w:p>
            <w:pPr>
              <w:spacing w:after="0"/>
              <w:rPr>
                <w:sz w:val="12"/>
                <w:szCs w:val="12"/>
                <w:color w:val="auto"/>
              </w:rPr>
            </w:pPr>
          </w:p>
        </w:tc>
        <w:tc>
          <w:tcPr>
            <w:tcW w:w="920" w:type="dxa"/>
            <w:vAlign w:val="bottom"/>
            <w:tcBorders>
              <w:bottom w:val="single" w:sz="8" w:color="auto"/>
            </w:tcBorders>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w:t>
            </w:r>
          </w:p>
        </w:tc>
        <w:tc>
          <w:tcPr>
            <w:tcW w:w="20" w:type="dxa"/>
            <w:vAlign w:val="bottom"/>
          </w:tcPr>
          <w:p>
            <w:pPr>
              <w:spacing w:after="0"/>
              <w:rPr>
                <w:sz w:val="12"/>
                <w:szCs w:val="12"/>
                <w:color w:val="auto"/>
              </w:rPr>
            </w:pPr>
          </w:p>
        </w:tc>
      </w:tr>
      <w:tr>
        <w:trPr>
          <w:trHeight w:val="182"/>
        </w:trPr>
        <w:tc>
          <w:tcPr>
            <w:tcW w:w="5560" w:type="dxa"/>
            <w:vAlign w:val="bottom"/>
            <w:tcBorders>
              <w:bottom w:val="single" w:sz="8" w:color="DDDDDD"/>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4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2,661</w:t>
            </w:r>
          </w:p>
        </w:tc>
        <w:tc>
          <w:tcPr>
            <w:tcW w:w="60" w:type="dxa"/>
            <w:vAlign w:val="bottom"/>
            <w:tcBorders>
              <w:bottom w:val="single" w:sz="8" w:color="DDDDDD"/>
            </w:tcBorders>
          </w:tcPr>
          <w:p>
            <w:pPr>
              <w:spacing w:after="0"/>
              <w:rPr>
                <w:sz w:val="15"/>
                <w:szCs w:val="15"/>
                <w:color w:val="auto"/>
              </w:rPr>
            </w:pPr>
          </w:p>
        </w:tc>
        <w:tc>
          <w:tcPr>
            <w:tcW w:w="14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4,460</w:t>
            </w:r>
          </w:p>
        </w:tc>
        <w:tc>
          <w:tcPr>
            <w:tcW w:w="160" w:type="dxa"/>
            <w:vAlign w:val="bottom"/>
            <w:tcBorders>
              <w:bottom w:val="single" w:sz="8" w:color="DDDDDD"/>
            </w:tcBorders>
          </w:tcPr>
          <w:p>
            <w:pPr>
              <w:spacing w:after="0"/>
              <w:rPr>
                <w:sz w:val="15"/>
                <w:szCs w:val="15"/>
                <w:color w:val="auto"/>
              </w:rPr>
            </w:pPr>
          </w:p>
        </w:tc>
        <w:tc>
          <w:tcPr>
            <w:tcW w:w="40" w:type="dxa"/>
            <w:vAlign w:val="bottom"/>
            <w:tcBorders>
              <w:bottom w:val="single" w:sz="8" w:color="DDDDDD"/>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20" w:type="dxa"/>
            <w:vAlign w:val="bottom"/>
          </w:tcPr>
          <w:p>
            <w:pPr>
              <w:spacing w:after="0"/>
              <w:rPr>
                <w:sz w:val="15"/>
                <w:szCs w:val="15"/>
                <w:color w:val="auto"/>
              </w:rPr>
            </w:pPr>
          </w:p>
        </w:tc>
      </w:tr>
      <w:tr>
        <w:trPr>
          <w:trHeight w:val="129"/>
        </w:trPr>
        <w:tc>
          <w:tcPr>
            <w:tcW w:w="556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6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60" w:type="dxa"/>
            <w:vAlign w:val="bottom"/>
            <w:shd w:val="clear" w:color="auto" w:fill="DDDDDD"/>
          </w:tcPr>
          <w:p>
            <w:pPr>
              <w:spacing w:after="0"/>
              <w:rPr>
                <w:sz w:val="11"/>
                <w:szCs w:val="11"/>
                <w:color w:val="auto"/>
              </w:rPr>
            </w:pPr>
          </w:p>
        </w:tc>
        <w:tc>
          <w:tcPr>
            <w:tcW w:w="920" w:type="dxa"/>
            <w:vAlign w:val="bottom"/>
            <w:shd w:val="clear" w:color="auto" w:fill="DDDDDD"/>
          </w:tcPr>
          <w:p>
            <w:pPr>
              <w:jc w:val="right"/>
              <w:spacing w:after="0" w:line="129" w:lineRule="exact"/>
              <w:rPr>
                <w:sz w:val="20"/>
                <w:szCs w:val="20"/>
                <w:color w:val="auto"/>
              </w:rPr>
            </w:pPr>
            <w:r>
              <w:rPr>
                <w:rFonts w:ascii="Times New Roman" w:cs="Times New Roman" w:eastAsia="Times New Roman" w:hAnsi="Times New Roman"/>
                <w:sz w:val="14"/>
                <w:szCs w:val="14"/>
                <w:color w:val="auto"/>
              </w:rPr>
              <w:t>(Continued)</w:t>
            </w:r>
          </w:p>
        </w:tc>
        <w:tc>
          <w:tcPr>
            <w:tcW w:w="20" w:type="dxa"/>
            <w:vAlign w:val="bottom"/>
          </w:tcPr>
          <w:p>
            <w:pPr>
              <w:spacing w:after="0"/>
              <w:rPr>
                <w:sz w:val="11"/>
                <w:szCs w:val="11"/>
                <w:color w:val="auto"/>
              </w:rPr>
            </w:pPr>
          </w:p>
        </w:tc>
      </w:tr>
    </w:tbl>
    <w:p>
      <w:pPr>
        <w:spacing w:after="0" w:line="200" w:lineRule="exact"/>
        <w:rPr>
          <w:sz w:val="20"/>
          <w:szCs w:val="20"/>
          <w:color w:val="auto"/>
        </w:rPr>
      </w:pPr>
    </w:p>
    <w:p>
      <w:pPr>
        <w:sectPr>
          <w:pgSz w:w="11880" w:h="15480" w:orient="portrait"/>
          <w:cols w:equalWidth="0" w:num="1">
            <w:col w:w="9900"/>
          </w:cols>
          <w:pgMar w:left="98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900"/>
          </w:cols>
          <w:pgMar w:left="980" w:top="873" w:right="100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5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r>
      <w:tr>
        <w:trPr>
          <w:trHeight w:val="149"/>
        </w:trPr>
        <w:tc>
          <w:tcPr>
            <w:tcW w:w="5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r>
      <w:tr>
        <w:trPr>
          <w:trHeight w:val="173"/>
        </w:trPr>
        <w:tc>
          <w:tcPr>
            <w:tcW w:w="5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142"/>
        </w:trPr>
        <w:tc>
          <w:tcPr>
            <w:tcW w:w="5760" w:type="dxa"/>
            <w:vAlign w:val="bottom"/>
            <w:tcBorders>
              <w:top w:val="single" w:sz="8" w:color="DDDDDD"/>
            </w:tcBorders>
            <w:shd w:val="clear" w:color="auto" w:fill="DDDDDD"/>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640" w:type="dxa"/>
            <w:vAlign w:val="bottom"/>
            <w:tcBorders>
              <w:top w:val="single" w:sz="8" w:color="DDDDDD"/>
            </w:tcBorders>
            <w:shd w:val="clear" w:color="auto" w:fill="DDDDDD"/>
          </w:tcPr>
          <w:p>
            <w:pPr>
              <w:spacing w:after="0"/>
              <w:rPr>
                <w:sz w:val="12"/>
                <w:szCs w:val="12"/>
                <w:color w:val="auto"/>
              </w:rPr>
            </w:pPr>
          </w:p>
        </w:tc>
        <w:tc>
          <w:tcPr>
            <w:tcW w:w="80" w:type="dxa"/>
            <w:vAlign w:val="bottom"/>
            <w:tcBorders>
              <w:top w:val="single" w:sz="8" w:color="auto"/>
            </w:tcBorders>
            <w:shd w:val="clear" w:color="auto" w:fill="DDDDDD"/>
          </w:tcPr>
          <w:p>
            <w:pPr>
              <w:spacing w:after="0"/>
              <w:rPr>
                <w:sz w:val="12"/>
                <w:szCs w:val="12"/>
                <w:color w:val="auto"/>
              </w:rPr>
            </w:pPr>
          </w:p>
        </w:tc>
        <w:tc>
          <w:tcPr>
            <w:tcW w:w="960" w:type="dxa"/>
            <w:vAlign w:val="bottom"/>
            <w:tcBorders>
              <w:top w:val="single" w:sz="8" w:color="auto"/>
            </w:tcBorders>
            <w:shd w:val="clear" w:color="auto" w:fill="DDDDDD"/>
          </w:tcPr>
          <w:p>
            <w:pPr>
              <w:spacing w:after="0"/>
              <w:rPr>
                <w:sz w:val="12"/>
                <w:szCs w:val="12"/>
                <w:color w:val="auto"/>
              </w:rPr>
            </w:pPr>
          </w:p>
        </w:tc>
        <w:tc>
          <w:tcPr>
            <w:tcW w:w="60" w:type="dxa"/>
            <w:vAlign w:val="bottom"/>
            <w:tcBorders>
              <w:top w:val="single" w:sz="8" w:color="DDDDDD"/>
            </w:tcBorders>
            <w:shd w:val="clear" w:color="auto" w:fill="DDDDDD"/>
          </w:tcPr>
          <w:p>
            <w:pPr>
              <w:spacing w:after="0"/>
              <w:rPr>
                <w:sz w:val="12"/>
                <w:szCs w:val="12"/>
                <w:color w:val="auto"/>
              </w:rPr>
            </w:pPr>
          </w:p>
        </w:tc>
        <w:tc>
          <w:tcPr>
            <w:tcW w:w="140" w:type="dxa"/>
            <w:vAlign w:val="bottom"/>
            <w:tcBorders>
              <w:top w:val="single" w:sz="8" w:color="DDDDDD"/>
            </w:tcBorders>
            <w:shd w:val="clear" w:color="auto" w:fill="DDDDDD"/>
          </w:tcPr>
          <w:p>
            <w:pPr>
              <w:spacing w:after="0"/>
              <w:rPr>
                <w:sz w:val="12"/>
                <w:szCs w:val="12"/>
                <w:color w:val="auto"/>
              </w:rPr>
            </w:pPr>
          </w:p>
        </w:tc>
        <w:tc>
          <w:tcPr>
            <w:tcW w:w="80" w:type="dxa"/>
            <w:vAlign w:val="bottom"/>
            <w:tcBorders>
              <w:top w:val="single" w:sz="8" w:color="auto"/>
            </w:tcBorders>
            <w:shd w:val="clear" w:color="auto" w:fill="DDDDDD"/>
          </w:tcPr>
          <w:p>
            <w:pPr>
              <w:spacing w:after="0"/>
              <w:rPr>
                <w:sz w:val="12"/>
                <w:szCs w:val="12"/>
                <w:color w:val="auto"/>
              </w:rPr>
            </w:pPr>
          </w:p>
        </w:tc>
        <w:tc>
          <w:tcPr>
            <w:tcW w:w="960" w:type="dxa"/>
            <w:vAlign w:val="bottom"/>
            <w:tcBorders>
              <w:top w:val="single" w:sz="8" w:color="auto"/>
            </w:tcBorders>
            <w:shd w:val="clear" w:color="auto" w:fill="DDDDDD"/>
          </w:tcPr>
          <w:p>
            <w:pPr>
              <w:spacing w:after="0"/>
              <w:rPr>
                <w:sz w:val="12"/>
                <w:szCs w:val="12"/>
                <w:color w:val="auto"/>
              </w:rPr>
            </w:pPr>
          </w:p>
        </w:tc>
        <w:tc>
          <w:tcPr>
            <w:tcW w:w="120" w:type="dxa"/>
            <w:vAlign w:val="bottom"/>
            <w:tcBorders>
              <w:top w:val="single" w:sz="8" w:color="DDDDDD"/>
            </w:tcBorders>
            <w:shd w:val="clear" w:color="auto" w:fill="DDDDDD"/>
          </w:tcPr>
          <w:p>
            <w:pPr>
              <w:spacing w:after="0"/>
              <w:rPr>
                <w:sz w:val="12"/>
                <w:szCs w:val="12"/>
                <w:color w:val="auto"/>
              </w:rPr>
            </w:pPr>
          </w:p>
        </w:tc>
        <w:tc>
          <w:tcPr>
            <w:tcW w:w="60" w:type="dxa"/>
            <w:vAlign w:val="bottom"/>
            <w:tcBorders>
              <w:top w:val="single" w:sz="8" w:color="DDDDDD"/>
            </w:tcBorders>
            <w:shd w:val="clear" w:color="auto" w:fill="DDDDDD"/>
          </w:tcPr>
          <w:p>
            <w:pPr>
              <w:spacing w:after="0"/>
              <w:rPr>
                <w:sz w:val="12"/>
                <w:szCs w:val="12"/>
                <w:color w:val="auto"/>
              </w:rPr>
            </w:pPr>
          </w:p>
        </w:tc>
        <w:tc>
          <w:tcPr>
            <w:tcW w:w="80" w:type="dxa"/>
            <w:vAlign w:val="bottom"/>
            <w:tcBorders>
              <w:top w:val="single" w:sz="8" w:color="auto"/>
            </w:tcBorders>
            <w:shd w:val="clear" w:color="auto" w:fill="DDDDDD"/>
          </w:tcPr>
          <w:p>
            <w:pPr>
              <w:spacing w:after="0"/>
              <w:rPr>
                <w:sz w:val="12"/>
                <w:szCs w:val="12"/>
                <w:color w:val="auto"/>
              </w:rPr>
            </w:pPr>
          </w:p>
        </w:tc>
        <w:tc>
          <w:tcPr>
            <w:tcW w:w="960" w:type="dxa"/>
            <w:vAlign w:val="bottom"/>
            <w:tcBorders>
              <w:top w:val="single" w:sz="8" w:color="auto"/>
            </w:tcBorders>
            <w:shd w:val="clear" w:color="auto" w:fill="DDDDDD"/>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(refunded) during the period for: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72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DDDDDD"/>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220" w:type="dxa"/>
            <w:vAlign w:val="bottom"/>
            <w:gridSpan w:val="2"/>
            <w:shd w:val="clear" w:color="auto" w:fill="DDDDDD"/>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1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(1,947)</w:t>
            </w:r>
          </w:p>
        </w:tc>
        <w:tc>
          <w:tcPr>
            <w:tcW w:w="20" w:type="dxa"/>
            <w:vAlign w:val="bottom"/>
          </w:tcPr>
          <w:p>
            <w:pPr>
              <w:spacing w:after="0"/>
              <w:rPr>
                <w:sz w:val="12"/>
                <w:szCs w:val="12"/>
                <w:color w:val="auto"/>
              </w:rPr>
            </w:pPr>
          </w:p>
        </w:tc>
      </w:tr>
      <w:tr>
        <w:trPr>
          <w:trHeight w:val="148"/>
        </w:trPr>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w:t>
            </w:r>
          </w:p>
        </w:tc>
        <w:tc>
          <w:tcPr>
            <w:tcW w:w="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20" w:type="dxa"/>
            <w:vAlign w:val="bottom"/>
          </w:tcPr>
          <w:p>
            <w:pPr>
              <w:spacing w:after="0"/>
              <w:rPr>
                <w:sz w:val="12"/>
                <w:szCs w:val="12"/>
                <w:color w:val="auto"/>
              </w:rPr>
            </w:pPr>
          </w:p>
        </w:tc>
      </w:tr>
      <w:tr>
        <w:trPr>
          <w:trHeight w:val="148"/>
        </w:trPr>
        <w:tc>
          <w:tcPr>
            <w:tcW w:w="5760" w:type="dxa"/>
            <w:vAlign w:val="bottom"/>
            <w:shd w:val="clear" w:color="auto" w:fill="DDDDDD"/>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72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5,267</w:t>
            </w:r>
          </w:p>
        </w:tc>
        <w:tc>
          <w:tcPr>
            <w:tcW w:w="60" w:type="dxa"/>
            <w:vAlign w:val="bottom"/>
            <w:shd w:val="clear" w:color="auto" w:fill="DDDDDD"/>
          </w:tcPr>
          <w:p>
            <w:pPr>
              <w:spacing w:after="0"/>
              <w:rPr>
                <w:sz w:val="12"/>
                <w:szCs w:val="12"/>
                <w:color w:val="auto"/>
              </w:rPr>
            </w:pPr>
          </w:p>
        </w:tc>
        <w:tc>
          <w:tcPr>
            <w:tcW w:w="220" w:type="dxa"/>
            <w:vAlign w:val="bottom"/>
            <w:gridSpan w:val="2"/>
            <w:shd w:val="clear" w:color="auto" w:fill="DDDDDD"/>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5,148</w:t>
            </w:r>
          </w:p>
        </w:tc>
        <w:tc>
          <w:tcPr>
            <w:tcW w:w="120" w:type="dxa"/>
            <w:vAlign w:val="bottom"/>
            <w:shd w:val="clear" w:color="auto" w:fill="DDDDDD"/>
          </w:tcPr>
          <w:p>
            <w:pPr>
              <w:spacing w:after="0"/>
              <w:rPr>
                <w:sz w:val="12"/>
                <w:szCs w:val="12"/>
                <w:color w:val="auto"/>
              </w:rPr>
            </w:pPr>
          </w:p>
        </w:tc>
        <w:tc>
          <w:tcPr>
            <w:tcW w:w="1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w:t>
            </w:r>
          </w:p>
        </w:tc>
        <w:tc>
          <w:tcPr>
            <w:tcW w:w="20" w:type="dxa"/>
            <w:vAlign w:val="bottom"/>
          </w:tcPr>
          <w:p>
            <w:pPr>
              <w:spacing w:after="0"/>
              <w:rPr>
                <w:sz w:val="12"/>
                <w:szCs w:val="12"/>
                <w:color w:val="auto"/>
              </w:rPr>
            </w:pPr>
          </w:p>
        </w:tc>
      </w:tr>
      <w:tr>
        <w:trPr>
          <w:trHeight w:val="148"/>
        </w:trPr>
        <w:tc>
          <w:tcPr>
            <w:tcW w:w="5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20" w:type="dxa"/>
            <w:vAlign w:val="bottom"/>
          </w:tcPr>
          <w:p>
            <w:pPr>
              <w:spacing w:after="0"/>
              <w:rPr>
                <w:sz w:val="12"/>
                <w:szCs w:val="12"/>
                <w:color w:val="auto"/>
              </w:rPr>
            </w:pPr>
          </w:p>
        </w:tc>
      </w:tr>
      <w:tr>
        <w:trPr>
          <w:trHeight w:val="148"/>
        </w:trPr>
        <w:tc>
          <w:tcPr>
            <w:tcW w:w="5760" w:type="dxa"/>
            <w:vAlign w:val="bottom"/>
            <w:shd w:val="clear" w:color="auto" w:fill="DDDDDD"/>
          </w:tcPr>
          <w:p>
            <w:pPr>
              <w:spacing w:after="0"/>
              <w:rPr>
                <w:sz w:val="12"/>
                <w:szCs w:val="12"/>
                <w:color w:val="auto"/>
              </w:rPr>
            </w:pPr>
          </w:p>
        </w:tc>
        <w:tc>
          <w:tcPr>
            <w:tcW w:w="64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96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96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960" w:type="dxa"/>
            <w:vAlign w:val="bottom"/>
            <w:shd w:val="clear" w:color="auto" w:fill="DDDDDD"/>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6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acquired under operating lease obligations</w:t>
            </w:r>
          </w:p>
        </w:tc>
        <w:tc>
          <w:tcPr>
            <w:tcW w:w="72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DDDDDD"/>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DDDDDD"/>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DDDDDD"/>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20" w:type="dxa"/>
            <w:vAlign w:val="bottom"/>
          </w:tcPr>
          <w:p>
            <w:pPr>
              <w:spacing w:after="0"/>
              <w:rPr>
                <w:sz w:val="12"/>
                <w:szCs w:val="12"/>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 acquired under finance lease obligations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0" w:type="dxa"/>
            <w:vAlign w:val="bottom"/>
          </w:tcPr>
          <w:p>
            <w:pPr>
              <w:spacing w:after="0"/>
              <w:rPr>
                <w:sz w:val="12"/>
                <w:szCs w:val="12"/>
                <w:color w:val="auto"/>
              </w:rPr>
            </w:pPr>
          </w:p>
        </w:tc>
      </w:tr>
      <w:tr>
        <w:trPr>
          <w:trHeight w:val="148"/>
        </w:trPr>
        <w:tc>
          <w:tcPr>
            <w:tcW w:w="576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72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DDDDDD"/>
          </w:tcPr>
          <w:p>
            <w:pPr>
              <w:spacing w:after="0"/>
              <w:rPr>
                <w:sz w:val="12"/>
                <w:szCs w:val="12"/>
                <w:color w:val="auto"/>
              </w:rPr>
            </w:pPr>
          </w:p>
        </w:tc>
        <w:tc>
          <w:tcPr>
            <w:tcW w:w="220" w:type="dxa"/>
            <w:vAlign w:val="bottom"/>
            <w:gridSpan w:val="2"/>
            <w:shd w:val="clear" w:color="auto" w:fill="DDDDDD"/>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DDDDDD"/>
          </w:tcPr>
          <w:p>
            <w:pPr>
              <w:spacing w:after="0"/>
              <w:rPr>
                <w:sz w:val="12"/>
                <w:szCs w:val="12"/>
                <w:color w:val="auto"/>
              </w:rPr>
            </w:pPr>
          </w:p>
        </w:tc>
        <w:tc>
          <w:tcPr>
            <w:tcW w:w="1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2"/>
                <w:szCs w:val="12"/>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 included in accrued expenses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760" w:type="dxa"/>
            <w:vAlign w:val="bottom"/>
            <w:shd w:val="clear" w:color="auto" w:fill="DDDDDD"/>
          </w:tcPr>
          <w:p>
            <w:pPr>
              <w:spacing w:after="0" w:line="149" w:lineRule="exact"/>
              <w:rPr>
                <w:sz w:val="20"/>
                <w:szCs w:val="20"/>
                <w:color w:val="auto"/>
              </w:rPr>
            </w:pPr>
            <w:r>
              <w:rPr>
                <w:rFonts w:ascii="Times New Roman" w:cs="Times New Roman" w:eastAsia="Times New Roman" w:hAnsi="Times New Roman"/>
                <w:sz w:val="14"/>
                <w:szCs w:val="14"/>
                <w:color w:val="auto"/>
              </w:rPr>
              <w:t>Remeasurement of operating lease right-of-use assets for lease modification</w:t>
            </w:r>
          </w:p>
        </w:tc>
        <w:tc>
          <w:tcPr>
            <w:tcW w:w="72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60" w:type="dxa"/>
            <w:vAlign w:val="bottom"/>
            <w:shd w:val="clear" w:color="auto" w:fill="DDDDDD"/>
          </w:tcPr>
          <w:p>
            <w:pPr>
              <w:spacing w:after="0"/>
              <w:rPr>
                <w:sz w:val="12"/>
                <w:szCs w:val="12"/>
                <w:color w:val="auto"/>
              </w:rPr>
            </w:pPr>
          </w:p>
        </w:tc>
        <w:tc>
          <w:tcPr>
            <w:tcW w:w="220" w:type="dxa"/>
            <w:vAlign w:val="bottom"/>
            <w:gridSpan w:val="2"/>
            <w:shd w:val="clear" w:color="auto" w:fill="DDDDDD"/>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DDDDDD"/>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Derecognition of operating lease liabilities and assets upon lease termination</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760" w:type="dxa"/>
            <w:vAlign w:val="bottom"/>
            <w:shd w:val="clear" w:color="auto" w:fill="DDDDDD"/>
          </w:tcPr>
          <w:p>
            <w:pPr>
              <w:spacing w:after="0"/>
              <w:rPr>
                <w:sz w:val="12"/>
                <w:szCs w:val="12"/>
                <w:color w:val="auto"/>
              </w:rPr>
            </w:pPr>
          </w:p>
        </w:tc>
        <w:tc>
          <w:tcPr>
            <w:tcW w:w="64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96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96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6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960" w:type="dxa"/>
            <w:vAlign w:val="bottom"/>
            <w:shd w:val="clear" w:color="auto" w:fill="DDDDDD"/>
          </w:tcPr>
          <w:p>
            <w:pPr>
              <w:jc w:val="right"/>
              <w:spacing w:after="0" w:line="149" w:lineRule="exact"/>
              <w:rPr>
                <w:sz w:val="20"/>
                <w:szCs w:val="20"/>
                <w:color w:val="auto"/>
              </w:rPr>
            </w:pPr>
            <w:r>
              <w:rPr>
                <w:rFonts w:ascii="Times New Roman" w:cs="Times New Roman" w:eastAsia="Times New Roman" w:hAnsi="Times New Roman"/>
                <w:sz w:val="14"/>
                <w:szCs w:val="14"/>
                <w:color w:val="auto"/>
              </w:rPr>
              <w:t>(Concluded)</w:t>
            </w:r>
          </w:p>
        </w:tc>
        <w:tc>
          <w:tcPr>
            <w:tcW w:w="20" w:type="dxa"/>
            <w:vAlign w:val="bottom"/>
          </w:tcPr>
          <w:p>
            <w:pPr>
              <w:spacing w:after="0"/>
              <w:rPr>
                <w:sz w:val="12"/>
                <w:szCs w:val="12"/>
                <w:color w:val="auto"/>
              </w:rPr>
            </w:pPr>
          </w:p>
        </w:tc>
      </w:tr>
    </w:tbl>
    <w:p>
      <w:pPr>
        <w:spacing w:after="0" w:line="365" w:lineRule="exact"/>
        <w:rPr>
          <w:sz w:val="20"/>
          <w:szCs w:val="20"/>
          <w:color w:val="auto"/>
        </w:rPr>
      </w:pPr>
    </w:p>
    <w:p>
      <w:pPr>
        <w:ind w:left="2060"/>
        <w:spacing w:after="0" w:line="192" w:lineRule="exact"/>
        <w:rPr>
          <w:sz w:val="20"/>
          <w:szCs w:val="20"/>
          <w:color w:val="auto"/>
        </w:rPr>
      </w:pPr>
      <w:r>
        <w:rPr>
          <w:rFonts w:ascii="PMingLiU" w:cs="PMingLiU" w:eastAsia="PMingLiU" w:hAnsi="PMingLiU"/>
          <w:sz w:val="16"/>
          <w:szCs w:val="16"/>
          <w:i w:val="1"/>
          <w:iCs w:val="1"/>
          <w:color w:val="auto"/>
        </w:rPr>
        <w:t>7KHDFFRPSDQ\LQJQRWHVDUHDQLQWHJUDOSDUWRIWKHFRQVROLGDWHGILQDQFLDOVWDWHPHQWV</w:t>
      </w:r>
    </w:p>
    <w:p>
      <w:pPr>
        <w:sectPr>
          <w:pgSz w:w="11880" w:h="15480" w:orient="portrait"/>
          <w:cols w:equalWidth="0" w:num="1">
            <w:col w:w="9900"/>
          </w:cols>
          <w:pgMar w:left="980" w:top="8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900"/>
          </w:cols>
          <w:pgMar w:left="980" w:top="873" w:right="1000" w:bottom="0" w:gutter="0" w:footer="0" w:header="0"/>
          <w:type w:val="continuous"/>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80" w:hanging="648"/>
        <w:spacing w:after="0"/>
        <w:tabs>
          <w:tab w:leader="none" w:pos="6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was formed on August 25, 2017 as a holding company and its primary asset is an indirect membership interest in Lulu’s Fashion Lounge, LLC, the operating company. Prior to the Company’s initial public offering, the Company was majority-owned by Lulu’s Holdings, L.P. (the “LP”), the prior parent company. In connection with the Company’s initial public offering, the LP was liquidated.</w:t>
      </w:r>
    </w:p>
    <w:p>
      <w:pPr>
        <w:spacing w:after="0" w:line="183"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Lulu’s Fashion Lounge, LLC was founded in 1996, starting as a vintage boutique in Chico, California that began selling online in 2005 and transitioned to a purely online business in 2008. The LP was formed in 2014 as a holding company and purchased 100% of Lulu’s Fashion Lounge, LLC’s outstanding common stock in 2014. The Company, based in Chico, California, through Lulu’s Fashion Lounge, LLC, is a women’s clothing brand offering modern, feminine styles at accessible prices for every occasion. Our goal is to make every customer feel their most confident and beautiful for the moments that matter most.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Trends on Business</w:t>
      </w:r>
    </w:p>
    <w:p>
      <w:pPr>
        <w:spacing w:after="0" w:line="22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tariffs or bans, world events, wars and domestic and international conflicts, existing and future laws, regulations,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Times New Roman" w:cs="Times New Roman" w:eastAsia="Times New Roman" w:hAnsi="Times New Roman"/>
          <w:sz w:val="18"/>
          <w:szCs w:val="18"/>
          <w:i w:val="1"/>
          <w:iCs w:val="1"/>
          <w:color w:val="auto"/>
        </w:rPr>
        <w:t>'HEW</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80" w:hanging="648"/>
        <w:spacing w:after="0"/>
        <w:tabs>
          <w:tab w:leader="none" w:pos="6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Fiscal Year</w:t>
      </w:r>
    </w:p>
    <w:p>
      <w:pPr>
        <w:spacing w:after="0" w:line="22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consists of a 52-week or 53-week period ending on the Sunday nearest December 31. The fiscal years ended December 28, 2025 (“2025”), ended December 29, 2024 (“2024) and ended December 31, 2023 (“2023”) consisted of 52-weeks.</w:t>
      </w:r>
    </w:p>
    <w:p>
      <w:pPr>
        <w:spacing w:after="0" w:line="176"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include the accounts of the Company and its wholly owned subsidiaries, after elimination of all intercompany balances and transactions. The accompanying consolidated financial statements have been prepared in accordance with accounting principles generally accepted in the United States of America (“GAAP”) and the requirements of the Securities and Exchange Commission (“SEC”). As further discussed in the Reverse Stock Split section below, all per share amounts and common stock amounts have been adjusted on a retroactive basis to reflect the Reverse Stock Split (as defined below).</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000"/>
          </w:cols>
          <w:pgMar w:left="1440" w:top="1265" w:right="1440" w:bottom="0" w:gutter="0" w:footer="0" w:header="0"/>
          <w:type w:val="continuous"/>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 of assets and liabilities and disclosure of contingent assets and liabilities at the date of the consolidated financial statements and the reported amounts of revenue and expenses during the reporting period. The significant estimates and assumptions made by management relate to sales return reserves and related assets for recovery, store credit breakage,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92"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breakage related to store credits using historical redemption rates for each store credit issuance year, which reflects customer redemption patterns. The Company evaluates redemption patterns and may record adjustments to its breakage estimate from time to time.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29" w:lineRule="exact"/>
        <w:rPr>
          <w:sz w:val="20"/>
          <w:szCs w:val="20"/>
          <w:color w:val="auto"/>
        </w:rPr>
      </w:pPr>
    </w:p>
    <w:p>
      <w:pPr>
        <w:jc w:val="both"/>
        <w:ind w:left="40" w:right="60" w:firstLine="32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Such amounts may exceed federally insured limits. The Company reduces credit risk by depositing its cash with major credit-worthy financial institutions within the United States (the U.S.”). To date, the Company has not experienced any losses on its cash deposits. As of December 28, 2025, two single wholesale customers represented 15% and 37%, respectively, of the Company’s accounts receivable balance. As of December 29, 2024, no single customer represented greater than 10% of the Company’s accounts receivable balance. No single customer accounted for greater than 10% of the Company’s net revenue during 2025, 2024 and 2023.</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consist primarily of receivables from credit card processing agencies and wholesale customers. Based on historical collections from these agencies and wholesale customers, an immaterial allowance for doubtful accounts was deemed necessary as of December 28, 2025, and December 29, 2024.</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Inventory consists of finished goods, which are recorded at the lower of cost or net realizable value, with cost determined using the first-in-first-out method. The cost of inventory consists of merchandise costs and inbound freight costs. Inventory levels are reviewed to identify slow-moving merchandise, and promotions and markdowns are used to clear merchandise. In the period in which the Company determines estimated selling price, less costs to sell, is below cost, or identifies excess, obsolete, or unsalable items, the Company writes its inventory down to its net realizable value.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on a straight-line basis over their estimated useful lives, which range from one to six years. Improvements that extend the life of a specific asset are capitalized, while normal maintenance and repairs are expensed as incurred. When assets are sold or otherwise retired, their cost and related accumulated depreciation are removed from the consolidated balance sheet with any resulting gain or loss reflected in general and administrative expenses in the consolidated statements of operations and comprehensive loss.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000"/>
          </w:cols>
          <w:pgMar w:left="1440" w:top="1265" w:right="1440" w:bottom="0" w:gutter="0" w:footer="0" w:header="0"/>
          <w:type w:val="continuous"/>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Tradename</w:t>
      </w:r>
    </w:p>
    <w:p>
      <w:pPr>
        <w:spacing w:after="0" w:line="22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Goodwill is stated at the excess of the acquisition price over the fair value of net assets acquired in a purchase acquisition and is not amortized. Goodwill arose from the LP’s purchase of 100% of the outstanding common stock of Lulu’s Fashion Lounge, LLC on July 25, 2014 and the Company has one reporting unit. The Company’s tradename is an indefinite-lived intangible asset and is not amortized. The Company reviews its goodwill and tradename for impairment at least annually (on the first day of the fourth quarter) or more frequently whenever events or changes in circumstances indicate that the carrying amount may be impaired.</w:t>
      </w:r>
    </w:p>
    <w:p>
      <w:pPr>
        <w:spacing w:after="0" w:line="187"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When testing goodwill for impairment, the Company first performs an assessment of qualitative factors (“Step 0 Test”). The qualitative assessment includes assessing the totality of relevant events and circumstances that affect the fair value or carrying value of the reporting unit. These events and circumstances include macroeconomic conditions, industry and competitive environment conditions, overall financial performance, reporting unit specific events and market considerations. The Company also considers recent valuations of the reporting unit, including the magnitude of the difference between the most recent fair value estimate and the carrying value, as well as both positive and adverse events and circumstances, and the extent to which each of the events and circumstances identified may affect the comparison of a reporting unit’s fair value with its carrying value. If the qualitative assessment results in a conclusion that it is more likely than not that the fair value of a reporting unit exceeds the carrying value, then no further testing is performed for that reporting unit.</w:t>
      </w:r>
    </w:p>
    <w:p>
      <w:pPr>
        <w:spacing w:after="0" w:line="194" w:lineRule="exact"/>
        <w:rPr>
          <w:sz w:val="20"/>
          <w:szCs w:val="20"/>
          <w:color w:val="auto"/>
        </w:rPr>
      </w:pPr>
    </w:p>
    <w:p>
      <w:pPr>
        <w:jc w:val="both"/>
        <w:ind w:left="40" w:right="60" w:firstLine="324"/>
        <w:spacing w:after="0" w:line="255" w:lineRule="auto"/>
        <w:rPr>
          <w:sz w:val="20"/>
          <w:szCs w:val="20"/>
          <w:color w:val="auto"/>
        </w:rPr>
      </w:pPr>
      <w:r>
        <w:rPr>
          <w:rFonts w:ascii="Times New Roman" w:cs="Times New Roman" w:eastAsia="Times New Roman" w:hAnsi="Times New Roman"/>
          <w:sz w:val="18"/>
          <w:szCs w:val="18"/>
          <w:color w:val="auto"/>
        </w:rPr>
        <w:t>As of the annual goodwill impairment assessment date for fiscal year 2025, the Company performed a qualitative assessment of its goodwill and concluded that it was more likely than not that the fair value of its reporting unit exceeds its carrying value. Management evaluated relevant events and circumstances throughout fiscal 2025, including market conditions, operating results, stock price performance, and overall financial trends, and determined that no events occurred during the year that would indicate a triggering event or require a quantitative goodwill impairment test. Accordingly, no goodwill impairment was recorded for the year ended December 28, 2025. The goodwill balance remained $7.0 million on the consolidated balance sheet at year end.</w:t>
      </w:r>
    </w:p>
    <w:p>
      <w:pPr>
        <w:spacing w:after="0" w:line="189"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As of the annual goodwill impairment assessment performed on the first day of the fourth quarter, for fiscal year 2024, the Company conducted a qualitative assessment of its goodwill and determined that it is more likely than not that the fair value of its reporting unit exceeds the carrying value of the reporting unit. However, during the fourth quarter of fiscal 2024, due to a sustained decline in its stock price coupled with continuing net losses, we concluded that these were significant enough factors to warrant a quantitative assessment utilizing a combination of (i) the guideline public company method applying revenue and EBITDA multiples of similar companies and (ii) the discounted cash flow method. As a result of the quantitative goodwill impairment test conducted in the fourth quarter ended December 29, 2024, we concluded that the carrying value of the Company’s single reporting unit exceeded the fair value, and a goodwill impairment charge of $28.4 million was recorded, while $7.0 million of goodwill remained on our consolidated balance sheet as of December 29, 2024. No goodwill impairment was recorded for the year ended December 31, 2023.</w:t>
      </w:r>
    </w:p>
    <w:p>
      <w:pPr>
        <w:spacing w:after="0" w:line="194"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When testing the tradename for impairment, the Company first performs an assessment of qualitative factors. If qualitative factors indicate that it is more likely than not that the fair value of the tradename is less than its carrying amount, the Company tests the tradename for impairment at the asset level. The Company determines the fair value of the tradename and compares it to the carrying value. If the carrying value of the tradename exceeds the fair value, the Company recognizes an impairment loss in an amount equal to the excess.</w:t>
      </w:r>
    </w:p>
    <w:p>
      <w:pPr>
        <w:spacing w:after="0" w:line="183"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performed the qualitative assessment of its tradename for fiscal year 2025 and determined that it is more likely than not that the fair value of the tradename exceeds the carrying value of the reporting unit.</w:t>
      </w:r>
    </w:p>
    <w:p>
      <w:pPr>
        <w:spacing w:after="0" w:line="162"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performed the qualitative assessment of its tradename for fiscal year 2024 and concluded that a sustained decline in its stock price coupled with continuing net losses were significant enough factors to warrant a</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000"/>
          </w:cols>
          <w:pgMar w:left="1440" w:top="1265" w:right="1440" w:bottom="0" w:gutter="0" w:footer="0" w:header="0"/>
          <w:type w:val="continuous"/>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56" w:lineRule="auto"/>
        <w:rPr>
          <w:sz w:val="20"/>
          <w:szCs w:val="20"/>
          <w:color w:val="auto"/>
        </w:rPr>
      </w:pPr>
      <w:r>
        <w:rPr>
          <w:rFonts w:ascii="Times New Roman" w:cs="Times New Roman" w:eastAsia="Times New Roman" w:hAnsi="Times New Roman"/>
          <w:sz w:val="18"/>
          <w:szCs w:val="18"/>
          <w:color w:val="auto"/>
        </w:rPr>
        <w:t>quantitative assessment in the fourth quarter of 2024. The Company utilized the income-based relief-from-royalty method to value the trademark intangible assets. Under this method, revenues expected to be generated by the trademark are multiplied by a selected royalty rate. The royalty rate was selected based on consideration of i) royalty rates received by market participants in industries similar to the Company’s and ii) the current operating performance of the reporting unit. The estimated after-tax royalty revenue stream is then discounted to present value using the reporting unit’s WACC plus a spread that factors in the risk of the intangible asset.</w:t>
      </w:r>
    </w:p>
    <w:p>
      <w:pPr>
        <w:spacing w:after="0" w:line="187"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results of the quantitative assessment for fiscal year 2024 indicated that the fair value of the tradename exceeded the carrying value of the reporting unit and there was no impairment. There were no additions to, disposals of, or impairments of the tradename during 2025, 2024 and 2023. There was no accumulated impairment of the tradename as of December 28, 2025 and December 29, 2024.</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Intangible assets, net consists of capitalized internal-use software development, which is amortized over a 3-year period. The Company capitalizes certain costs in connection with obtaining or developing software for internal use. Additionally, the Company capitalizes qualifying costs incurred for upgrades and enhancements that result in additional functionality to existing software. Amortization of such costs begins when the project is substantially complete and ready for its intended use. Costs related to design or maintenance are expensed as incurred. Intangible asset amortization expense was $1.9 million, $2.1 million and $1.9 million during 2025, 2024 and 2023, respectively.</w:t>
      </w:r>
    </w:p>
    <w:p>
      <w:pPr>
        <w:spacing w:after="0" w:line="187"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over the estimated useful life of the assets. The Company reviews intangible assets for impairment under the long-lived asset model described below. No impairment of intangible assets was recorded during the years presented.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long-lived assets, including lease right-of-use assets, for impairment periodically whenever events or changes in circumstances indicate that their related carrying amounts may not be recoverable. In evaluating long-lived assets for recoverability, the Company uses its best estimate of future cash flows expected to result from the use of the asset and eventual disposition. To the extent that projected undiscounted future net cash flows attributable to the asset are less than the carrying amount, an impairment loss is recognized in an amount equal to the difference between the carrying value of such asset and its estimated fair value. There was no impairment recorded during the years presented.</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The Company adjusts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consolidated balance sheets.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000"/>
          </w:cols>
          <w:pgMar w:left="1440" w:top="1265" w:right="1440" w:bottom="0" w:gutter="0" w:footer="0" w:header="0"/>
          <w:type w:val="continuous"/>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Fixed lease expense for operating leases is recognized on a straight-line basis, unless the right-of-use assets have been impaired, over the reasonably assured lease term based on the total lease payments and is included in operating expenses in the consolidated statements of operations and comprehensive loss. Fixed and variable lease expense on operating leases is recognized within operating expenses in the consolidated statements of operations and comprehensive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time of order processing and shipment.</w:t>
      </w:r>
    </w:p>
    <w:p>
      <w:pPr>
        <w:spacing w:after="0" w:line="187"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92"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spacing w:after="0" w:line="187"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sells stored-value gift cards to customers and offers online store credit for certain returns and promotions. The stored-value gift cards and store credits do not have an expiration date. The Company recognizes revenue from stored-value gift cards and store credits when the card or credit is redeemed by the customer. The Company has determined that sufficient evidence exists to support an estimate for stored-value gift card and store credit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2025, 2024 and 2023 was $4.8 million, $1.3 million and $1.0 million, respectively.</w:t>
      </w:r>
    </w:p>
    <w:p>
      <w:pPr>
        <w:spacing w:after="0" w:line="192"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000"/>
          </w:cols>
          <w:pgMar w:left="1440" w:top="1265" w:right="1440" w:bottom="0" w:gutter="0" w:footer="0" w:header="0"/>
          <w:type w:val="continuous"/>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changes in the contract liabilities balances during 2025, 2024 and 2023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2"/>
        </w:trPr>
        <w:tc>
          <w:tcPr>
            <w:tcW w:w="770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Cards</w:t>
            </w:r>
          </w:p>
        </w:tc>
      </w:tr>
      <w:tr>
        <w:trPr>
          <w:trHeight w:val="209"/>
        </w:trPr>
        <w:tc>
          <w:tcPr>
            <w:tcW w:w="7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199"/>
        </w:trPr>
        <w:tc>
          <w:tcPr>
            <w:tcW w:w="7700" w:type="dxa"/>
            <w:vAlign w:val="bottom"/>
            <w:shd w:val="clear" w:color="auto" w:fill="DDDDDD"/>
          </w:tcPr>
          <w:p>
            <w:pPr>
              <w:spacing w:after="0" w:line="199"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 breakage) during</w:t>
            </w: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r>
      <w:tr>
        <w:trPr>
          <w:trHeight w:val="233"/>
        </w:trPr>
        <w:tc>
          <w:tcPr>
            <w:tcW w:w="7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shd w:val="clear" w:color="auto" w:fill="DDDDDD"/>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216"/>
        </w:trPr>
        <w:tc>
          <w:tcPr>
            <w:tcW w:w="7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 period</w:t>
            </w: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199"/>
        </w:trPr>
        <w:tc>
          <w:tcPr>
            <w:tcW w:w="77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 breakage) during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77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10"/>
        </w:trPr>
        <w:tc>
          <w:tcPr>
            <w:tcW w:w="7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17,883</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199"/>
        </w:trPr>
        <w:tc>
          <w:tcPr>
            <w:tcW w:w="7700" w:type="dxa"/>
            <w:vAlign w:val="bottom"/>
            <w:shd w:val="clear" w:color="auto" w:fill="DDDDDD"/>
          </w:tcPr>
          <w:p>
            <w:pPr>
              <w:spacing w:after="0" w:line="199"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(including breakage) during</w:t>
            </w: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r>
      <w:tr>
        <w:trPr>
          <w:trHeight w:val="233"/>
        </w:trPr>
        <w:tc>
          <w:tcPr>
            <w:tcW w:w="7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shd w:val="clear" w:color="auto" w:fill="DDDDDD"/>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5,354</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the Company’s distribution facilities; and charges related to inventory shrinkage, damages and the allowance for excess or obsolete inventory.</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fixed and variable labor payroll and benefits costs, including equity-based compensation for the Company’s employees involved in general corporate functions including finance, merchandising, marketing, and technology, as well as costs associated with the use by these functions of facilities and equipment, including depreciation and amortization, rent and other occupancy expenses. General and administrative expenses are primarily driven by headcount related costs required to support the Company’s business and meet its obligations as a public company.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primarily of customer service, payment processing fees, advertising, targeted online performance marketing and search engine optimization costs. Selling and marketing expenses also include spend on brand marketing channels, including cash and free clothing compensation to influencers, events and other forms of online and offline marketing related to growing and retaining the customer base. Advertising costs included in selling and marketing expenses were $50.4 million, $55.4 million, and $58.5 million in 2025, 2024 and 2023, respectively.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to certain employees, officers, directors, and other non-employee service providers. Equity-based compensation is measured at the grant date or modification date for all equity-based awards made to employees and non-employees based on the estimated fair value of the awards. Equity-based compensation expense is recognized on a straight-line basis over the period the employee or non-employee is required to provide service in exchange</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000"/>
          </w:cols>
          <w:pgMar w:left="1440" w:top="1265" w:right="1440" w:bottom="0"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82" w:lineRule="auto"/>
        <w:rPr>
          <w:sz w:val="20"/>
          <w:szCs w:val="20"/>
          <w:color w:val="auto"/>
        </w:rPr>
      </w:pPr>
      <w:r>
        <w:rPr>
          <w:rFonts w:ascii="Times New Roman" w:cs="Times New Roman" w:eastAsia="Times New Roman" w:hAnsi="Times New Roman"/>
          <w:sz w:val="18"/>
          <w:szCs w:val="18"/>
          <w:color w:val="auto"/>
        </w:rPr>
        <w:t>for the award, which is generally the vesting period. The Company classifies equity-based compensation expense as general and administrative expense in the Company’s consolidated statements of operations and comprehensive loss.</w:t>
      </w:r>
    </w:p>
    <w:p>
      <w:pPr>
        <w:spacing w:after="0" w:line="162"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to recognize forfeitures by reducing the equity-based compensation expense in the same period as the forfeitures occur.</w:t>
      </w:r>
    </w:p>
    <w:p>
      <w:pPr>
        <w:spacing w:after="0" w:line="162"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fair value of grants of restricted stock or RSUs is based on the fair value of the Company’s common stock underlying the award on the grant date or modification date. For stock option awards, the Company applies the Black-Scholes option pricing model to determine the fair value. The model utilizes the estimated per share fair value of the Company’s underlying common stock at the grant date, the expected or contractual term of the option, the expected stock price volatility, risk-free interest rates, and the expected dividend yield of the common stock.</w:t>
      </w:r>
    </w:p>
    <w:p>
      <w:pPr>
        <w:spacing w:after="0" w:line="183" w:lineRule="exact"/>
        <w:rPr>
          <w:sz w:val="20"/>
          <w:szCs w:val="20"/>
          <w:color w:val="auto"/>
        </w:rPr>
      </w:pPr>
    </w:p>
    <w:p>
      <w:pPr>
        <w:jc w:val="both"/>
        <w:ind w:left="40"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bases its estimate of expected volatility on the historical volatility of comparable companies from a representative peer group selected based on industry, financial, and market capitalization data.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0.0% as the Company has not paid and does not anticipate paying dividends on its common stock.</w:t>
      </w:r>
    </w:p>
    <w:p>
      <w:pPr>
        <w:spacing w:after="0" w:line="18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Determining the grant date fair value of options using the Black-Scholes option 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(“DTAs”) and deferred tax liabilities (“DTLs”) are recognized for the expected future tax consequences of temporary differences between the financial reporting and tax basis of assets and liabilities and for operating losses and tax credit carryforwards. DTAs and DTLs are measured using the currently enacted tax rates that apply to taxable income in effect for the years in which they are expected to be realized or settled.</w:t>
      </w:r>
    </w:p>
    <w:p>
      <w:pPr>
        <w:spacing w:after="0" w:line="183"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DTAs are evaluated for future realization and reduced by a valuation allowance to the amount that is more likely than not to be realized. The Company considers many factors when assessing the likelihood of future realization, including recent cumulative losses, earnings expectations in earlier future years, and other relevant factors.</w:t>
      </w:r>
    </w:p>
    <w:p>
      <w:pPr>
        <w:spacing w:after="0" w:line="176"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that it is more likely than not that forecasted income, together with future reversals of existing taxable temporary differences and results of recent operations, will not be sufficient to fully recover the DTAs. Due to the weight of objectively verifiable negative evidence, we established a valuation allowance in the prior year of $14.9 million and increased the allowance to $16.7 million as of December 28, 2025, which reduced the tax benefit recognized in the current year, impacting our results of operations.</w:t>
      </w:r>
    </w:p>
    <w:p>
      <w:pPr>
        <w:spacing w:after="0" w:line="183"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recognizes interest and penalties related to unrecognized tax benefits, if any, as income tax expense.</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000"/>
          </w:cols>
          <w:pgMar w:left="1440" w:top="1265" w:right="1440" w:bottom="0" w:gutter="0" w:footer="0" w:header="0"/>
          <w:type w:val="continuous"/>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calculates basic and diluted net loss per share attributable to common stockholders in conformity with the two-class method required for participating securities as the application of the if converted method is not more dilutive. The two-class method requires loss available to common stockholders for the period to be allocated between common stock and participating securities based upon their respective rights to receive dividends as if all income for the period had been distributed.</w:t>
      </w:r>
    </w:p>
    <w:p>
      <w:pPr>
        <w:spacing w:after="0" w:line="183" w:lineRule="exact"/>
        <w:rPr>
          <w:sz w:val="20"/>
          <w:szCs w:val="20"/>
          <w:color w:val="auto"/>
        </w:rPr>
      </w:pPr>
    </w:p>
    <w:p>
      <w:pPr>
        <w:jc w:val="both"/>
        <w:ind w:left="40"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considers its redeemable preferred stock and convertible preferred stock to be participating securities. In accordance with the two-class method, net loss is adjusted for earnings allocated to these participating securities and the related number of outstanding shares of the participating securities, which include contractual participation rights in undistributed earnings, have been excluded from the computation of basic and diluted net loss per share attributable to common stockholders. The redeemable preferred stock and convertible preferred stock contractually entitle the holders of such shares to participate in dividends but do not contractually require the holders of such shares to participate in the Company’s losses. As such, where applicable, net losses were not allocated to these securities.</w:t>
      </w:r>
    </w:p>
    <w:p>
      <w:pPr>
        <w:spacing w:after="0" w:line="18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using net loss attributable to common stockholders divided by the weighted average number of shares of common stock outstanding during the period. Diluted net loss per share attributable to common stockholders represents net loss attributable to common stockholders divided by the weighted average number of shares of common stock outstanding during the period, including the effects of any dilutive securities outstanding. Due to the net loss for all periods presented, no potentially dilutive securities had an impact on diluted loss per share for any period.</w:t>
      </w:r>
    </w:p>
    <w:p>
      <w:pPr>
        <w:spacing w:after="0" w:line="187"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attributable to common stockholders for the fiscal years presented because including them would have been anti-dilutive (on an as-converted basis):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60" w:type="dxa"/>
            <w:vAlign w:val="bottom"/>
            <w:tcBorders>
              <w:bottom w:val="single" w:sz="8" w:color="DDDDDD"/>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DDDDDD"/>
            </w:tcBorders>
          </w:tcPr>
          <w:p>
            <w:pPr>
              <w:spacing w:after="0"/>
              <w:rPr>
                <w:sz w:val="14"/>
                <w:szCs w:val="14"/>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DDDDD"/>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36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20" w:type="dxa"/>
            <w:vAlign w:val="bottom"/>
          </w:tcPr>
          <w:p>
            <w:pPr>
              <w:spacing w:after="0"/>
              <w:rPr>
                <w:sz w:val="18"/>
                <w:szCs w:val="18"/>
                <w:color w:val="auto"/>
              </w:rPr>
            </w:pPr>
          </w:p>
        </w:tc>
        <w:tc>
          <w:tcPr>
            <w:tcW w:w="36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8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8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237,894</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144,105</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120,771</w:t>
            </w:r>
          </w:p>
        </w:tc>
      </w:tr>
      <w:tr>
        <w:trPr>
          <w:trHeight w:val="216"/>
        </w:trPr>
        <w:tc>
          <w:tcPr>
            <w:tcW w:w="20" w:type="dxa"/>
            <w:vAlign w:val="bottom"/>
          </w:tcPr>
          <w:p>
            <w:pPr>
              <w:spacing w:after="0"/>
              <w:rPr>
                <w:sz w:val="18"/>
                <w:szCs w:val="18"/>
                <w:color w:val="auto"/>
              </w:rPr>
            </w:pPr>
          </w:p>
        </w:tc>
        <w:tc>
          <w:tcPr>
            <w:tcW w:w="36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8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8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2023 Bonus Plan</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292,609</w:t>
            </w:r>
          </w:p>
        </w:tc>
        <w:tc>
          <w:tcPr>
            <w:tcW w:w="80" w:type="dxa"/>
            <w:vAlign w:val="bottom"/>
            <w:tcBorders>
              <w:top w:val="single" w:sz="8" w:color="DDDDDD"/>
              <w:bottom w:val="single" w:sz="8" w:color="DDDDDD"/>
            </w:tcBorders>
            <w:shd w:val="clear" w:color="auto" w:fill="DDDDDD"/>
          </w:tcPr>
          <w:p>
            <w:pPr>
              <w:spacing w:after="0"/>
              <w:rPr>
                <w:sz w:val="18"/>
                <w:szCs w:val="18"/>
                <w:color w:val="auto"/>
              </w:rPr>
            </w:pPr>
          </w:p>
        </w:tc>
        <w:tc>
          <w:tcPr>
            <w:tcW w:w="1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406,185</w:t>
            </w:r>
          </w:p>
        </w:tc>
        <w:tc>
          <w:tcPr>
            <w:tcW w:w="80" w:type="dxa"/>
            <w:vAlign w:val="bottom"/>
            <w:tcBorders>
              <w:top w:val="single" w:sz="8" w:color="DDDDDD"/>
              <w:bottom w:val="single" w:sz="8" w:color="DDDDDD"/>
            </w:tcBorders>
            <w:shd w:val="clear" w:color="auto" w:fill="DDDDDD"/>
          </w:tcPr>
          <w:p>
            <w:pPr>
              <w:spacing w:after="0"/>
              <w:rPr>
                <w:sz w:val="18"/>
                <w:szCs w:val="18"/>
                <w:color w:val="auto"/>
              </w:rPr>
            </w:pPr>
          </w:p>
        </w:tc>
        <w:tc>
          <w:tcPr>
            <w:tcW w:w="10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391,916</w:t>
            </w: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to record its redeemable preferred stock at the greater of its redemption value or the issuance date fair value, net of issuance costs, as it is probable of becoming redeemable due to the passage of time. Any change to the carrying value of redeemable preferred stock recognized in each period is recorded to additional paid-in capital, or in the absence of additional paid-in capital, recorded to accumulated deficit.</w:t>
      </w:r>
    </w:p>
    <w:p>
      <w:pPr>
        <w:spacing w:after="0" w:line="180"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issuance date fair value of the redeemable preferred stock shares purchased by entities related to current employees, board members, and service providers was higher than the consideration paid and such excess was recorded as equity-based compensation. The excess of the fair value over consideration paid for redeemable preferred stock shares purchased by an existing convertible preferred stockholder was accounted for as a deemed dividend and recorded in additional paid-in capital.</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000"/>
          </w:cols>
          <w:pgMar w:left="1440" w:top="1265" w:right="1440" w:bottom="0" w:gutter="0" w:footer="0" w:header="0"/>
          <w:type w:val="continuous"/>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from non-owner sources. To date, the Company has not had any transactions that are required to be reported in comprehensive loss other than the net loss incurred from operations. Thus, comprehensive loss is the same as net loss for the periods presented.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2" w:lineRule="exact"/>
        <w:rPr>
          <w:sz w:val="20"/>
          <w:szCs w:val="20"/>
          <w:color w:val="auto"/>
        </w:rPr>
      </w:pPr>
    </w:p>
    <w:p>
      <w:pPr>
        <w:jc w:val="both"/>
        <w:ind w:left="40" w:right="60" w:firstLine="324"/>
        <w:spacing w:after="0" w:line="218" w:lineRule="exact"/>
        <w:rPr>
          <w:sz w:val="20"/>
          <w:szCs w:val="20"/>
          <w:color w:val="auto"/>
        </w:rPr>
      </w:pPr>
      <w:r>
        <w:rPr>
          <w:rFonts w:ascii="Times New Roman" w:cs="Times New Roman" w:eastAsia="Times New Roman" w:hAnsi="Times New Roman"/>
          <w:sz w:val="18"/>
          <w:szCs w:val="18"/>
          <w:color w:val="auto"/>
        </w:rPr>
        <w:t xml:space="preserve">In December 2023, Financial Accounting Standards Board’s (“FASB”) issued Accounting Standards Update (“ASU”), FASB issued ASU 2023-09, </w:t>
      </w:r>
      <w:r>
        <w:rPr>
          <w:rFonts w:ascii="PMingLiU" w:cs="PMingLiU" w:eastAsia="PMingLiU" w:hAnsi="PMingLiU"/>
          <w:sz w:val="18"/>
          <w:szCs w:val="18"/>
          <w:i w:val="1"/>
          <w:iCs w:val="1"/>
          <w:color w:val="auto"/>
        </w:rPr>
        <w:t>,QFRPH7D[HV7RSLF,PSURYHPHQWVWR,QFRPH7D['LVFORVXUHV</w:t>
      </w:r>
      <w:r>
        <w:rPr>
          <w:rFonts w:ascii="Times New Roman" w:cs="Times New Roman" w:eastAsia="Times New Roman" w:hAnsi="Times New Roman"/>
          <w:sz w:val="18"/>
          <w:szCs w:val="18"/>
          <w:color w:val="auto"/>
        </w:rPr>
        <w:t>which</w:t>
      </w:r>
      <w:r>
        <w:rPr>
          <w:rFonts w:ascii="PMingLiU" w:cs="PMingLiU" w:eastAsia="PMingLiU" w:hAnsi="PMingLiU"/>
          <w:sz w:val="18"/>
          <w:szCs w:val="18"/>
          <w:i w:val="1"/>
          <w:iCs w:val="1"/>
          <w:color w:val="auto"/>
        </w:rPr>
        <w:t/>
      </w:r>
      <w:r>
        <w:rPr>
          <w:rFonts w:ascii="Times New Roman" w:cs="Times New Roman" w:eastAsia="Times New Roman" w:hAnsi="Times New Roman"/>
          <w:sz w:val="18"/>
          <w:szCs w:val="18"/>
          <w:color w:val="auto"/>
        </w:rPr>
        <w:t xml:space="preserve">amends existing income tax disclosure guidance, primarily requiring more detailed disclosure for income taxes paid and the effective tax rate reconciliation. ASU 2023-09 is effective for annual reporting periods beginning after December 15, 2024, with early adoption permitted and can be applied on either a prospective or retroactive basis. The Company adopted this guidance for fiscal 2025, on a prospective basis. The adoption did not have a material impact on our consolidated financial statements except for additional disclosures. See Note 9, </w:t>
      </w:r>
      <w:r>
        <w:rPr>
          <w:rFonts w:ascii="PMingLiU" w:cs="PMingLiU" w:eastAsia="PMingLiU" w:hAnsi="PMingLiU"/>
          <w:sz w:val="18"/>
          <w:szCs w:val="18"/>
          <w:i w:val="1"/>
          <w:iCs w:val="1"/>
          <w:color w:val="auto"/>
        </w:rPr>
        <w:t>,QFRPH 7D[HV</w:t>
      </w:r>
      <w:r>
        <w:rPr>
          <w:rFonts w:ascii="Times New Roman" w:cs="Times New Roman" w:eastAsia="Times New Roman" w:hAnsi="Times New Roman"/>
          <w:sz w:val="18"/>
          <w:szCs w:val="18"/>
          <w:color w:val="auto"/>
        </w:rPr>
        <w:t xml:space="preserve"> in the accompanying notes to our consolidated financial statements included elsewhere in this Annual Report on Form 10-K.</w:t>
      </w:r>
    </w:p>
    <w:p>
      <w:pPr>
        <w:spacing w:after="0" w:line="199" w:lineRule="exact"/>
        <w:rPr>
          <w:sz w:val="20"/>
          <w:szCs w:val="20"/>
          <w:color w:val="auto"/>
        </w:rPr>
      </w:pPr>
    </w:p>
    <w:p>
      <w:pPr>
        <w:jc w:val="both"/>
        <w:ind w:left="40" w:right="6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In March 2024, FASB issued ASU 2024-02, </w:t>
      </w:r>
      <w:r>
        <w:rPr>
          <w:rFonts w:ascii="PMingLiU" w:cs="PMingLiU" w:eastAsia="PMingLiU" w:hAnsi="PMingLiU"/>
          <w:sz w:val="18"/>
          <w:szCs w:val="18"/>
          <w:i w:val="1"/>
          <w:iCs w:val="1"/>
          <w:color w:val="auto"/>
        </w:rPr>
        <w:t>&amp;RGLILFDWLRQ ,PSURYHPHQWV²$PHQGPHQWV WR 5HPRYH 5HIHUHQFHV WR WKH</w:t>
      </w:r>
      <w:r>
        <w:rPr>
          <w:rFonts w:ascii="Times New Roman" w:cs="Times New Roman" w:eastAsia="Times New Roman" w:hAnsi="Times New Roman"/>
          <w:sz w:val="18"/>
          <w:szCs w:val="18"/>
          <w:color w:val="auto"/>
        </w:rPr>
        <w:t xml:space="preserve"> </w:t>
      </w:r>
      <w:r>
        <w:rPr>
          <w:rFonts w:ascii="PMingLiU" w:cs="PMingLiU" w:eastAsia="PMingLiU" w:hAnsi="PMingLiU"/>
          <w:sz w:val="18"/>
          <w:szCs w:val="18"/>
          <w:i w:val="1"/>
          <w:iCs w:val="1"/>
          <w:color w:val="auto"/>
        </w:rPr>
        <w:t>&amp;RQFHSWV 6WDWHPHQWV</w:t>
      </w:r>
      <w:r>
        <w:rPr>
          <w:rFonts w:ascii="Times New Roman" w:cs="Times New Roman" w:eastAsia="Times New Roman" w:hAnsi="Times New Roman"/>
          <w:sz w:val="18"/>
          <w:szCs w:val="18"/>
          <w:color w:val="auto"/>
        </w:rPr>
        <w:t xml:space="preserve"> which is</w:t>
      </w:r>
      <w:r>
        <w:rPr>
          <w:rFonts w:ascii="PMingLiU" w:cs="PMingLiU" w:eastAsia="PMingLiU" w:hAnsi="PMingLiU"/>
          <w:sz w:val="18"/>
          <w:szCs w:val="18"/>
          <w:i w:val="1"/>
          <w:iCs w:val="1"/>
          <w:color w:val="auto"/>
        </w:rPr>
        <w:t/>
      </w:r>
      <w:r>
        <w:rPr>
          <w:rFonts w:ascii="Times New Roman" w:cs="Times New Roman" w:eastAsia="Times New Roman" w:hAnsi="Times New Roman"/>
          <w:sz w:val="18"/>
          <w:szCs w:val="18"/>
          <w:color w:val="auto"/>
        </w:rPr>
        <w:t xml:space="preserve">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adopted this guidance for fiscal 2025, on a prospective basis, and it did not have a material impact on our consolidated financial statements or related disclosures.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left="40" w:right="6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PMingLiU" w:cs="PMingLiU" w:eastAsia="PMingLiU" w:hAnsi="PMingLiU"/>
          <w:sz w:val="18"/>
          <w:szCs w:val="18"/>
          <w:i w:val="1"/>
          <w:iCs w:val="1"/>
          <w:color w:val="auto"/>
        </w:rPr>
        <w:t>,QFRPH 6WDWHPHQW²5HSRUWLQJ &amp;RPSUHKHQVLYH ,QFRPH²([SHQVH</w:t>
      </w:r>
      <w:r>
        <w:rPr>
          <w:rFonts w:ascii="Times New Roman" w:cs="Times New Roman" w:eastAsia="Times New Roman" w:hAnsi="Times New Roman"/>
          <w:sz w:val="18"/>
          <w:szCs w:val="18"/>
          <w:color w:val="auto"/>
        </w:rPr>
        <w:t xml:space="preserve"> </w:t>
      </w:r>
      <w:r>
        <w:rPr>
          <w:rFonts w:ascii="PMingLiU" w:cs="PMingLiU" w:eastAsia="PMingLiU" w:hAnsi="PMingLiU"/>
          <w:sz w:val="18"/>
          <w:szCs w:val="18"/>
          <w:i w:val="1"/>
          <w:iCs w:val="1"/>
          <w:color w:val="auto"/>
        </w:rPr>
        <w:t>'LVDJJUHJDWLRQ'LVFORVXUHV6XEWRSLF</w:t>
      </w:r>
      <w:r>
        <w:rPr>
          <w:rFonts w:ascii="Times New Roman" w:cs="Times New Roman" w:eastAsia="Times New Roman" w:hAnsi="Times New Roman"/>
          <w:sz w:val="18"/>
          <w:szCs w:val="18"/>
          <w:color w:val="auto"/>
        </w:rPr>
        <w:t>which is intended to disclose specific information about certain costs and expenses in the notes to its financial statements for interim and annual reporting periods. ASU 2024-03 is effective for annual reporting periods beginning after December 15, 2026, and interim periods within annual reporting periods beginning after December 15, 2027. Early adoption of ASU 2024-03 is permitted. We are currently evaluating this pronouncement to determine its impact on our financial statements and related disclosures.</w:t>
      </w:r>
    </w:p>
    <w:p>
      <w:pPr>
        <w:spacing w:after="0" w:line="199" w:lineRule="exact"/>
        <w:rPr>
          <w:sz w:val="20"/>
          <w:szCs w:val="20"/>
          <w:color w:val="auto"/>
        </w:rPr>
      </w:pPr>
    </w:p>
    <w:p>
      <w:pPr>
        <w:jc w:val="both"/>
        <w:ind w:left="40" w:right="60" w:firstLine="324"/>
        <w:spacing w:after="0" w:line="219" w:lineRule="exact"/>
        <w:rPr>
          <w:sz w:val="20"/>
          <w:szCs w:val="20"/>
          <w:color w:val="auto"/>
        </w:rPr>
      </w:pPr>
      <w:r>
        <w:rPr>
          <w:rFonts w:ascii="Times New Roman" w:cs="Times New Roman" w:eastAsia="Times New Roman" w:hAnsi="Times New Roman"/>
          <w:sz w:val="16"/>
          <w:szCs w:val="16"/>
          <w:color w:val="auto"/>
        </w:rPr>
        <w:t xml:space="preserve">In July 2025, FASB issued ASU 2025-05, </w:t>
      </w:r>
      <w:r>
        <w:rPr>
          <w:rFonts w:ascii="PMingLiU" w:cs="PMingLiU" w:eastAsia="PMingLiU" w:hAnsi="PMingLiU"/>
          <w:sz w:val="16"/>
          <w:szCs w:val="16"/>
          <w:i w:val="1"/>
          <w:iCs w:val="1"/>
          <w:color w:val="auto"/>
        </w:rPr>
        <w:t>)LQDQFLDO,QVWUXPHQWV²&amp;UHGLW/RVVHV7RSLF0HDVXUHPHQWRI&amp;UHGLW</w:t>
      </w:r>
      <w:r>
        <w:rPr>
          <w:rFonts w:ascii="Times New Roman" w:cs="Times New Roman" w:eastAsia="Times New Roman" w:hAnsi="Times New Roman"/>
          <w:sz w:val="16"/>
          <w:szCs w:val="16"/>
          <w:color w:val="auto"/>
        </w:rPr>
        <w:t xml:space="preserve"> </w:t>
      </w:r>
      <w:r>
        <w:rPr>
          <w:rFonts w:ascii="PMingLiU" w:cs="PMingLiU" w:eastAsia="PMingLiU" w:hAnsi="PMingLiU"/>
          <w:sz w:val="16"/>
          <w:szCs w:val="16"/>
          <w:i w:val="1"/>
          <w:iCs w:val="1"/>
          <w:color w:val="auto"/>
        </w:rPr>
        <w:t>/RVVHV IRU $FFRXQWV 5HFHLYDEOH DQG &amp;RQWUDFW $VVHWV</w:t>
      </w:r>
      <w:r>
        <w:rPr>
          <w:rFonts w:ascii="Times New Roman" w:cs="Times New Roman" w:eastAsia="Times New Roman" w:hAnsi="Times New Roman"/>
          <w:sz w:val="16"/>
          <w:szCs w:val="16"/>
          <w:color w:val="auto"/>
        </w:rPr>
        <w:t>, which provides all entities with practical expedient of developing reasonable and supportable forecasts as part of estimating expected credit losses, that assumes that current conditions as of the balance sheet date do not change for the remaining life of the asset. ASU 2025-05 is effective for annual reporting periods beginning after December 15, 2025 (and interim reporting periods within those annual reporting periods). Early adoption is permitted in both interim and annual reporting periods in which financial statements have not yet been issued</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000"/>
          </w:cols>
          <w:pgMar w:left="1440" w:top="1265" w:right="1440" w:bottom="0" w:gutter="0" w:footer="0" w:header="0"/>
          <w:type w:val="continuous"/>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82" w:lineRule="auto"/>
        <w:rPr>
          <w:sz w:val="20"/>
          <w:szCs w:val="20"/>
          <w:color w:val="auto"/>
        </w:rPr>
      </w:pPr>
      <w:r>
        <w:rPr>
          <w:rFonts w:ascii="Times New Roman" w:cs="Times New Roman" w:eastAsia="Times New Roman" w:hAnsi="Times New Roman"/>
          <w:sz w:val="18"/>
          <w:szCs w:val="18"/>
          <w:color w:val="auto"/>
        </w:rPr>
        <w:t>or made available for issuance. We are currently evaluating this pronouncement to determine its impact on our financial statements and related disclosures.</w:t>
      </w:r>
    </w:p>
    <w:p>
      <w:pPr>
        <w:spacing w:after="0" w:line="160" w:lineRule="exact"/>
        <w:rPr>
          <w:sz w:val="20"/>
          <w:szCs w:val="20"/>
          <w:color w:val="auto"/>
        </w:rPr>
      </w:pPr>
    </w:p>
    <w:p>
      <w:pPr>
        <w:jc w:val="both"/>
        <w:ind w:left="40" w:right="60" w:firstLine="324"/>
        <w:spacing w:after="0" w:line="226" w:lineRule="exact"/>
        <w:rPr>
          <w:sz w:val="20"/>
          <w:szCs w:val="20"/>
          <w:color w:val="auto"/>
        </w:rPr>
      </w:pPr>
      <w:r>
        <w:rPr>
          <w:rFonts w:ascii="Times New Roman" w:cs="Times New Roman" w:eastAsia="Times New Roman" w:hAnsi="Times New Roman"/>
          <w:sz w:val="16"/>
          <w:szCs w:val="16"/>
          <w:color w:val="auto"/>
        </w:rPr>
        <w:t xml:space="preserve">In September 2025, FASB issued ASU 2025-06, </w:t>
      </w:r>
      <w:r>
        <w:rPr>
          <w:rFonts w:ascii="PMingLiU" w:cs="PMingLiU" w:eastAsia="PMingLiU" w:hAnsi="PMingLiU"/>
          <w:sz w:val="16"/>
          <w:szCs w:val="16"/>
          <w:i w:val="1"/>
          <w:iCs w:val="1"/>
          <w:color w:val="auto"/>
        </w:rPr>
        <w:t>,QWDQJLEOHV²*RRGZLOODQG2WKHU²,QWHUQDO8VH6RIWZDUH7RSLF</w:t>
      </w:r>
      <w:r>
        <w:rPr>
          <w:rFonts w:ascii="Times New Roman" w:cs="Times New Roman" w:eastAsia="Times New Roman" w:hAnsi="Times New Roman"/>
          <w:sz w:val="16"/>
          <w:szCs w:val="16"/>
          <w:color w:val="auto"/>
        </w:rPr>
        <w:t xml:space="preserve"> </w:t>
      </w:r>
      <w:r>
        <w:rPr>
          <w:rFonts w:ascii="PMingLiU" w:cs="PMingLiU" w:eastAsia="PMingLiU" w:hAnsi="PMingLiU"/>
          <w:sz w:val="16"/>
          <w:szCs w:val="16"/>
          <w:i w:val="1"/>
          <w:iCs w:val="1"/>
          <w:color w:val="auto"/>
        </w:rPr>
        <w:t>7DUJHWHG,PSURYHPHQWVWRWKH$FFRXQWLQJIRU,QWHUQDO8VH6RIWZDUH</w:t>
      </w:r>
      <w:r>
        <w:rPr>
          <w:rFonts w:ascii="Times New Roman" w:cs="Times New Roman" w:eastAsia="Times New Roman" w:hAnsi="Times New Roman"/>
          <w:sz w:val="16"/>
          <w:szCs w:val="16"/>
          <w:color w:val="auto"/>
        </w:rPr>
        <w:t>which amends certain aspects of the accounting for and disclosure of software costs under ASC 350-40. ASU 2025-06 is effective for all entities for annual reporting periods beginning after December 15, 2027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financial statements and related disclosures.</w:t>
      </w:r>
    </w:p>
    <w:p>
      <w:pPr>
        <w:spacing w:after="0" w:line="378" w:lineRule="exact"/>
        <w:rPr>
          <w:sz w:val="20"/>
          <w:szCs w:val="20"/>
          <w:color w:val="auto"/>
        </w:rPr>
      </w:pPr>
    </w:p>
    <w:p>
      <w:pPr>
        <w:jc w:val="both"/>
        <w:ind w:left="40" w:right="60" w:firstLine="324"/>
        <w:spacing w:after="0" w:line="219" w:lineRule="exact"/>
        <w:rPr>
          <w:sz w:val="20"/>
          <w:szCs w:val="20"/>
          <w:color w:val="auto"/>
        </w:rPr>
      </w:pPr>
      <w:r>
        <w:rPr>
          <w:rFonts w:ascii="Times New Roman" w:cs="Times New Roman" w:eastAsia="Times New Roman" w:hAnsi="Times New Roman"/>
          <w:sz w:val="17"/>
          <w:szCs w:val="17"/>
          <w:color w:val="auto"/>
        </w:rPr>
        <w:t xml:space="preserve">In December 2025, FASB issued ASU 2025-11, </w:t>
      </w:r>
      <w:r>
        <w:rPr>
          <w:rFonts w:ascii="PMingLiU" w:cs="PMingLiU" w:eastAsia="PMingLiU" w:hAnsi="PMingLiU"/>
          <w:sz w:val="17"/>
          <w:szCs w:val="17"/>
          <w:i w:val="1"/>
          <w:iCs w:val="1"/>
          <w:color w:val="auto"/>
        </w:rPr>
        <w:t>,QWHULP5HSRUWLQJ7RSLF1DUURZ6FRSH,PSURYHPHQWV</w:t>
      </w:r>
      <w:r>
        <w:rPr>
          <w:rFonts w:ascii="Times New Roman" w:cs="Times New Roman" w:eastAsia="Times New Roman" w:hAnsi="Times New Roman"/>
          <w:sz w:val="17"/>
          <w:szCs w:val="17"/>
          <w:color w:val="auto"/>
        </w:rPr>
        <w:t>which improve the guidance in Topic 270, Interim Reporting, by improving the navigability of the required interim disclosures and clarifying when that guidance is applicable. ASU 2025-11 is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The amendments in this Update can be applied either prospectively or retrospectively to any or all prior periods presented in the financial statements. Early adoption is permitted for all entities. We are currently evaluating this pronouncement to determine its impact on our financial statements and related disclosures.</w:t>
      </w:r>
    </w:p>
    <w:p>
      <w:pPr>
        <w:spacing w:after="0" w:line="198" w:lineRule="exact"/>
        <w:rPr>
          <w:sz w:val="20"/>
          <w:szCs w:val="20"/>
          <w:color w:val="auto"/>
        </w:rPr>
      </w:pPr>
    </w:p>
    <w:p>
      <w:pPr>
        <w:jc w:val="both"/>
        <w:ind w:left="40" w:right="6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In December 2025, FASB issued ASU 2025-12, </w:t>
      </w:r>
      <w:r>
        <w:rPr>
          <w:rFonts w:ascii="PMingLiU" w:cs="PMingLiU" w:eastAsia="PMingLiU" w:hAnsi="PMingLiU"/>
          <w:sz w:val="18"/>
          <w:szCs w:val="18"/>
          <w:i w:val="1"/>
          <w:iCs w:val="1"/>
          <w:color w:val="auto"/>
        </w:rPr>
        <w:t>&amp;RGLILFDWLRQ ,PSURYHPHQWV</w:t>
      </w:r>
      <w:r>
        <w:rPr>
          <w:rFonts w:ascii="Times New Roman" w:cs="Times New Roman" w:eastAsia="Times New Roman" w:hAnsi="Times New Roman"/>
          <w:sz w:val="18"/>
          <w:szCs w:val="18"/>
          <w:color w:val="auto"/>
        </w:rPr>
        <w:t>, which represent changes to the codification that clarify, correct errors, or make minor improvements. The amendments make the codification easier to understand and apply. ASU 2025-12 is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financial statements and related disclosures.</w:t>
      </w:r>
    </w:p>
    <w:p>
      <w:pPr>
        <w:spacing w:after="0" w:line="199" w:lineRule="exact"/>
        <w:rPr>
          <w:sz w:val="20"/>
          <w:szCs w:val="20"/>
          <w:color w:val="auto"/>
        </w:rPr>
      </w:pPr>
    </w:p>
    <w:p>
      <w:pPr>
        <w:ind w:left="680" w:hanging="648"/>
        <w:spacing w:after="0"/>
        <w:tabs>
          <w:tab w:leader="none" w:pos="6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178" w:lineRule="exact"/>
        <w:rPr>
          <w:sz w:val="20"/>
          <w:szCs w:val="20"/>
          <w:color w:val="auto"/>
        </w:rPr>
      </w:pPr>
    </w:p>
    <w:p>
      <w:pPr>
        <w:ind w:left="580" w:right="560" w:firstLine="551"/>
        <w:spacing w:after="0" w:line="226" w:lineRule="exact"/>
        <w:rPr>
          <w:sz w:val="20"/>
          <w:szCs w:val="20"/>
          <w:color w:val="auto"/>
        </w:rPr>
      </w:pPr>
      <w:r>
        <w:rPr>
          <w:rFonts w:ascii="PMingLiU" w:cs="PMingLiU" w:eastAsia="PMingLiU" w:hAnsi="PMingLiU"/>
          <w:sz w:val="18"/>
          <w:szCs w:val="18"/>
          <w:i w:val="1"/>
          <w:iCs w:val="1"/>
          <w:color w:val="auto"/>
        </w:rPr>
        <w:t>/HYHO</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89" w:lineRule="exact"/>
        <w:rPr>
          <w:sz w:val="20"/>
          <w:szCs w:val="20"/>
          <w:color w:val="auto"/>
        </w:rPr>
      </w:pPr>
    </w:p>
    <w:p>
      <w:pPr>
        <w:jc w:val="both"/>
        <w:ind w:left="580" w:right="240" w:firstLine="551"/>
        <w:spacing w:after="0" w:line="221" w:lineRule="exact"/>
        <w:rPr>
          <w:sz w:val="20"/>
          <w:szCs w:val="20"/>
          <w:color w:val="auto"/>
        </w:rPr>
      </w:pPr>
      <w:r>
        <w:rPr>
          <w:rFonts w:ascii="PMingLiU" w:cs="PMingLiU" w:eastAsia="PMingLiU" w:hAnsi="PMingLiU"/>
          <w:sz w:val="18"/>
          <w:szCs w:val="18"/>
          <w:i w:val="1"/>
          <w:iCs w:val="1"/>
          <w:color w:val="auto"/>
        </w:rPr>
        <w:t>/HYHO</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90" w:lineRule="exact"/>
        <w:rPr>
          <w:sz w:val="20"/>
          <w:szCs w:val="20"/>
          <w:color w:val="auto"/>
        </w:rPr>
      </w:pPr>
    </w:p>
    <w:p>
      <w:pPr>
        <w:ind w:left="580" w:right="540" w:firstLine="551"/>
        <w:spacing w:after="0" w:line="226" w:lineRule="exact"/>
        <w:rPr>
          <w:sz w:val="20"/>
          <w:szCs w:val="20"/>
          <w:color w:val="auto"/>
        </w:rPr>
      </w:pPr>
      <w:r>
        <w:rPr>
          <w:rFonts w:ascii="PMingLiU" w:cs="PMingLiU" w:eastAsia="PMingLiU" w:hAnsi="PMingLiU"/>
          <w:sz w:val="18"/>
          <w:szCs w:val="18"/>
          <w:i w:val="1"/>
          <w:iCs w:val="1"/>
          <w:color w:val="auto"/>
        </w:rPr>
        <w:t>/HYHO</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 market data.</w:t>
      </w:r>
    </w:p>
    <w:p>
      <w:pPr>
        <w:spacing w:after="0" w:line="19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accrued expenses, other current liabilities and borrowings under the 2025 Credit Agreement. As of December 28, 2025 and December 29, 2024, the carrying values of cash and cash equivalents, accounts payable, accrued expenses and other current liabilities approximate fair value due to their short-term maturities.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000"/>
          </w:cols>
          <w:pgMar w:left="1440" w:top="1265" w:right="1440" w:bottom="0"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On August 14, 2025, the Company and its subsidiaries (collectively, the “Borrowers”) entered the 2025 Credit Agreement which is an asset-based revolving credit facility with a $20.0 million commitment, a $5.0 million uncommitted accordion and a $1.0 million sublimit for letters of credit. The amount that may be borrowed under the 2025 Credit Agreement is based on a borrowing base calculated based on advance rates for various assets serving as collateral for the 2025 Credit Agreement. Borrowings bear interest at a rate equal to the 30-day SOFR rate plus 3.95% and is secured by a first-priority security interest in and lien upon all tangible and intangible personal property of the Borrowers, now owned or acquired in the future. Because the interest rate is variable and reset based on SOFR with a market-based margin, the fair value of amounts outstanding under the 2025 Credit Agreement approximates carrying value.</w:t>
      </w:r>
    </w:p>
    <w:p>
      <w:pPr>
        <w:spacing w:after="0" w:line="192"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As of the annual goodwill and tradename impairment assessment date for fiscal year 2025, the Company performed a qualitative assessment of its goodwill, tradename and intangible assets as of December 28, 2025 and determined that no events or changes in circumstances were identified that would indicate potential impairment related to the goodwill, tradename, and intangible assets recorded during the fifty-two weeks ended December 28, 2025.</w:t>
      </w:r>
    </w:p>
    <w:p>
      <w:pPr>
        <w:spacing w:after="0" w:line="180" w:lineRule="exact"/>
        <w:rPr>
          <w:sz w:val="20"/>
          <w:szCs w:val="20"/>
          <w:color w:val="auto"/>
        </w:rPr>
      </w:pPr>
    </w:p>
    <w:p>
      <w:pPr>
        <w:jc w:val="both"/>
        <w:ind w:left="40" w:right="60" w:firstLine="324"/>
        <w:spacing w:after="0" w:line="267" w:lineRule="auto"/>
        <w:rPr>
          <w:sz w:val="20"/>
          <w:szCs w:val="20"/>
          <w:color w:val="auto"/>
        </w:rPr>
      </w:pPr>
      <w:r>
        <w:rPr>
          <w:rFonts w:ascii="Times New Roman" w:cs="Times New Roman" w:eastAsia="Times New Roman" w:hAnsi="Times New Roman"/>
          <w:sz w:val="17"/>
          <w:szCs w:val="17"/>
          <w:color w:val="auto"/>
        </w:rPr>
        <w:t>As of the annual goodwill and tradename impairment assessment date performed on the first day of the fourth quarter, for fiscal year 2024, the Company performed a qualitative assessment of its goodwill and tradename and determined that it is more likely than not that the fair value of its reporting unit exceeds the carrying value of the reporting unit. However, during the fourth quarter of 2024, due to a sustained decline in its stock price coupled with continuing net losses the Company concluded that they were significant enough factors to warrant a quantitative assessment of its goodwill and tradename. For goodwill assessment, the Company utilized a combination of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 As a result of the goodwill impairment test conducted in the fourth quarter ended December 29, 2024, the Company concluded that the carrying value of the Company’s single reporting unit exceeded the fair value, and a goodwill impairment charge of $28.4 million was recorded. No goodwill impairment was recorded for the year ended December 31, 2023. The carrying values of goodwill is $7.0 million as of December 28, 2025, and December 29, 2024. For fiscal year 2024, for tradename assessment, the Company utilized the income-based relief-from-royalty method to value the trademark intangible assets. Under this method, revenues expected to be generated by the trademark are multiplied by a selected royalty rate. The royalty rate was selected based on consideration of (i) royalty rates received by market participants in industries similar to the Company’s and (ii) the current operating performance of the reporting unit. The estimated after-tax royalty revenue stream is then discounted to present value using the reporting unit’s WACC plus a spread that factors in the risk of the intangible asset. There were no additions to, disposals of, or impairments of the tradename during 2025, 2024 and 2023. There was no accumulated impairment of the tradename as of December 28, 2025, and December 29, 2024.</w:t>
      </w:r>
    </w:p>
    <w:p>
      <w:pPr>
        <w:spacing w:after="0" w:line="200" w:lineRule="exact"/>
        <w:rPr>
          <w:sz w:val="20"/>
          <w:szCs w:val="20"/>
          <w:color w:val="auto"/>
        </w:rPr>
      </w:pPr>
    </w:p>
    <w:p>
      <w:pPr>
        <w:spacing w:after="0" w:line="202"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fair value measurement associated with the quantitative goodwill and tradename tests for fiscal year 2024 is based on significant inputs that are not observable in the market and thus represents a Level 3 measurement.</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000"/>
          </w:cols>
          <w:pgMar w:left="1440" w:top="1265" w:right="1440" w:bottom="0" w:gutter="0" w:footer="0" w:header="0"/>
          <w:type w:val="continuous"/>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80" w:hanging="648"/>
        <w:spacing w:after="0"/>
        <w:tabs>
          <w:tab w:leader="none" w:pos="6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 as of:</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2"/>
        </w:trPr>
        <w:tc>
          <w:tcPr>
            <w:tcW w:w="20" w:type="dxa"/>
            <w:vAlign w:val="bottom"/>
          </w:tcPr>
          <w:p>
            <w:pPr>
              <w:spacing w:after="0"/>
              <w:rPr>
                <w:sz w:val="14"/>
                <w:szCs w:val="14"/>
                <w:color w:val="auto"/>
              </w:rPr>
            </w:pPr>
          </w:p>
        </w:tc>
        <w:tc>
          <w:tcPr>
            <w:tcW w:w="3660" w:type="dxa"/>
            <w:vAlign w:val="bottom"/>
            <w:tcBorders>
              <w:bottom w:val="single" w:sz="8" w:color="DDDDDD"/>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Borders>
              <w:bottom w:val="single" w:sz="8" w:color="DDDDD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6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1 – 6</w:t>
            </w:r>
          </w:p>
        </w:tc>
        <w:tc>
          <w:tcPr>
            <w:tcW w:w="1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5,011</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16"/>
        </w:trPr>
        <w:tc>
          <w:tcPr>
            <w:tcW w:w="20" w:type="dxa"/>
            <w:vAlign w:val="bottom"/>
          </w:tcPr>
          <w:p>
            <w:pPr>
              <w:spacing w:after="0"/>
              <w:rPr>
                <w:sz w:val="18"/>
                <w:szCs w:val="18"/>
                <w:color w:val="auto"/>
              </w:rPr>
            </w:pPr>
          </w:p>
        </w:tc>
        <w:tc>
          <w:tcPr>
            <w:tcW w:w="36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1 – 6</w:t>
            </w:r>
          </w:p>
        </w:tc>
        <w:tc>
          <w:tcPr>
            <w:tcW w:w="14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09"/>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r>
      <w:tr>
        <w:trPr>
          <w:trHeight w:val="199"/>
        </w:trPr>
        <w:tc>
          <w:tcPr>
            <w:tcW w:w="20" w:type="dxa"/>
            <w:vAlign w:val="bottom"/>
          </w:tcPr>
          <w:p>
            <w:pPr>
              <w:spacing w:after="0"/>
              <w:rPr>
                <w:sz w:val="17"/>
                <w:szCs w:val="17"/>
                <w:color w:val="auto"/>
              </w:rPr>
            </w:pPr>
          </w:p>
        </w:tc>
        <w:tc>
          <w:tcPr>
            <w:tcW w:w="3660" w:type="dxa"/>
            <w:vAlign w:val="bottom"/>
            <w:shd w:val="clear" w:color="auto" w:fill="DDDDDD"/>
          </w:tcPr>
          <w:p>
            <w:pPr>
              <w:spacing w:after="0" w:line="199"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14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6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6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10"/>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was $3.2 million, $3.4 million, and $2.9 million for 2025, 2024 and 2023,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net consists of capitalized internal-use software development, which is amortized over a 3-year period.</w:t>
      </w:r>
    </w:p>
    <w:p>
      <w:pPr>
        <w:spacing w:after="0" w:line="162"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gross carrying amount of capitalized software was $17.0 million and $15.1 million as of December 28, 2025 and December 29, 2024, respectively, and accumulated amortization was $14.3 million and $12.3 million, respectively. Intangible asset amortization expense was $1.9 million, $2.1 million and $1.9 million during 2025, 2024 and 2023, respectively.</w:t>
      </w:r>
    </w:p>
    <w:p>
      <w:pPr>
        <w:spacing w:after="0" w:line="180"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estimated future amortization expense related to capitalized software is expected to be approximately $1.5 million in fiscal 2026, $0.9 million in fiscal 2027 and $0.3 million in fiscal 2028.</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 as of:</w:t>
      </w:r>
    </w:p>
    <w:p>
      <w:pPr>
        <w:spacing w:after="0" w:line="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2"/>
        </w:trPr>
        <w:tc>
          <w:tcPr>
            <w:tcW w:w="20" w:type="dxa"/>
            <w:vAlign w:val="bottom"/>
          </w:tcPr>
          <w:p>
            <w:pPr>
              <w:spacing w:after="0"/>
              <w:rPr>
                <w:sz w:val="14"/>
                <w:szCs w:val="14"/>
                <w:color w:val="auto"/>
              </w:rPr>
            </w:pPr>
          </w:p>
        </w:tc>
        <w:tc>
          <w:tcPr>
            <w:tcW w:w="5180" w:type="dxa"/>
            <w:vAlign w:val="bottom"/>
            <w:tcBorders>
              <w:bottom w:val="single" w:sz="8" w:color="DDDDD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5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5,707</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16"/>
        </w:trPr>
        <w:tc>
          <w:tcPr>
            <w:tcW w:w="20" w:type="dxa"/>
            <w:vAlign w:val="bottom"/>
          </w:tcPr>
          <w:p>
            <w:pPr>
              <w:spacing w:after="0"/>
              <w:rPr>
                <w:sz w:val="18"/>
                <w:szCs w:val="18"/>
                <w:color w:val="auto"/>
              </w:rPr>
            </w:pPr>
          </w:p>
        </w:tc>
        <w:tc>
          <w:tcPr>
            <w:tcW w:w="5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18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0" w:type="dxa"/>
            <w:vAlign w:val="bottom"/>
          </w:tcPr>
          <w:p>
            <w:pPr>
              <w:spacing w:after="0"/>
              <w:rPr>
                <w:sz w:val="18"/>
                <w:szCs w:val="18"/>
                <w:color w:val="auto"/>
              </w:rPr>
            </w:pPr>
          </w:p>
        </w:tc>
        <w:tc>
          <w:tcPr>
            <w:tcW w:w="5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09"/>
        </w:trPr>
        <w:tc>
          <w:tcPr>
            <w:tcW w:w="2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80" w:hanging="648"/>
        <w:spacing w:after="0"/>
        <w:tabs>
          <w:tab w:leader="none" w:pos="6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On November 15, 2021, the Company entered into the Prior Credit Agreement with Bank of America (the “lender”) to provide a revolving facility that provided for borrowings up to $50.0 million with a maturity date of November</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000"/>
          </w:cols>
          <w:pgMar w:left="1440" w:top="1265" w:right="1440" w:bottom="0" w:gutter="0" w:footer="0" w:header="0"/>
          <w:type w:val="continuous"/>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54" w:lineRule="auto"/>
        <w:rPr>
          <w:sz w:val="20"/>
          <w:szCs w:val="20"/>
          <w:color w:val="auto"/>
        </w:rPr>
      </w:pPr>
      <w:r>
        <w:rPr>
          <w:rFonts w:ascii="Times New Roman" w:cs="Times New Roman" w:eastAsia="Times New Roman" w:hAnsi="Times New Roman"/>
          <w:sz w:val="18"/>
          <w:szCs w:val="18"/>
          <w:color w:val="auto"/>
        </w:rPr>
        <w:t>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interest rates in effect under the Prior Credit Agreement, during the thirteen and thirty-nine weeks ended September 28, 2025 were as follows: (a) in the case of Base Rate Loans, the Base Rate plus (i) 5% (increased from a margin of 4%), (b) in the case of Term SOFR Loans, Term SOFR (subject to a credit spread adjustment of 10 basis points) plus (i) 6% (increased from a margin of 5%), and (c) the Letter of Credit Fee of (i) 6% (increased from 5%).</w:t>
      </w:r>
    </w:p>
    <w:p>
      <w:pPr>
        <w:spacing w:after="0" w:line="192"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On June 23, 2025, the Company entered into a Forbearance Agreement (the “Forbearance Agreement”) related to the Prior Credit Agreement with the lenders party thereto and Bank of America, N.A., as administrative agent (the “Administrative Agent”), and Swing Line Lender and an L/C Issuer (the “Lenders”). Pursuant to the terms of the Forbearance Agreement, the Administrative Agent and Lenders agreed that they would forbear, during the Forbearance Period as defined in the Forbearance Agreement), from exercising any and all rights and remedies with respect to or arising out of the events of default that occurred as a result of the Company’s failure to comply with certain Refinancing Transaction Milestones (as defined in the Forbearance Agreement) by the specified dates under Sections 6.19(a), (c) and</w:t>
      </w:r>
    </w:p>
    <w:p>
      <w:pPr>
        <w:spacing w:after="0" w:line="3" w:lineRule="exact"/>
        <w:rPr>
          <w:sz w:val="20"/>
          <w:szCs w:val="20"/>
          <w:color w:val="auto"/>
        </w:rPr>
      </w:pPr>
    </w:p>
    <w:p>
      <w:pPr>
        <w:jc w:val="both"/>
        <w:ind w:left="40" w:right="60" w:hanging="8"/>
        <w:spacing w:after="0" w:line="252"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Prior Credit Agreement. On August 11, 2025, the Company entered into an amendment to the Forbearance Agreement and the fifth amendment to the Prior Credit Agreement which extended the Forbearance Period and maturity date to August 22, 2025. Under the terms of the Forbearance Agreement, as amended, the Refinancing Transaction Milestones were due on the maturity date. No fees were paid in connection with the forbearance. The agreement was not entered into as a result of financial distress, but rather to provide additional time to finalize and execute the 2025 Credit Agreement.</w:t>
      </w:r>
    </w:p>
    <w:p>
      <w:pPr>
        <w:spacing w:after="0" w:line="190" w:lineRule="exact"/>
        <w:rPr>
          <w:sz w:val="20"/>
          <w:szCs w:val="20"/>
          <w:color w:val="auto"/>
        </w:rPr>
      </w:pPr>
    </w:p>
    <w:p>
      <w:pPr>
        <w:jc w:val="both"/>
        <w:ind w:left="40" w:right="60" w:firstLine="324"/>
        <w:spacing w:after="0" w:line="252" w:lineRule="auto"/>
        <w:rPr>
          <w:sz w:val="20"/>
          <w:szCs w:val="20"/>
          <w:color w:val="auto"/>
        </w:rPr>
      </w:pPr>
      <w:r>
        <w:rPr>
          <w:rFonts w:ascii="Times New Roman" w:cs="Times New Roman" w:eastAsia="Times New Roman" w:hAnsi="Times New Roman"/>
          <w:sz w:val="18"/>
          <w:szCs w:val="18"/>
          <w:color w:val="auto"/>
        </w:rPr>
        <w:t>On August 14, 2025, the Borrowers entered into the 2025 Credit Agreement. The 2025 Credit Agreement is comprised of an asset-based revolving credit facility with a $20.0 million commitment, a $5.0 million uncommitted accordion and a $1.0 million sublimit for letters of credit. The amount that the Borrowers may borrow under the 2025 Credit Agreement is based on a borrowing base calculated based on advance rates for various assets serving as collateral for the 2025 Credit Agreement.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for minimum excess availability under the 2025 Credit Agreement. It also requires the Company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 On October 28, 2025, the Company entered into an amendment to the 2025 Credit Agreement, which included some clarifying and non-material changes to certain terms in the 2025 Credit Agreement.</w:t>
      </w:r>
    </w:p>
    <w:p>
      <w:pPr>
        <w:spacing w:after="0" w:line="195"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initial funding of the 2025 Credit Agreement occurred on August 14, 2025, and the proceeds were used in part to repay approximately $6.0 million outstanding under the Prior Credit Agreement. In connection with entering into the 2025 Credit Agreement and the repayment in full of all outstanding obligations under the Prior Credit Agreement, the Prior Credit Agreement, along with the related Forbearance Agreement, as amended, were terminated.</w:t>
      </w:r>
    </w:p>
    <w:p>
      <w:pPr>
        <w:spacing w:after="0" w:line="180"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As of December 28, 2025, the outstanding borrowing under the 2025 Credit Agreement was $14.4 million in addition to a $0.3 million letter of credit outstanding. After giving effect to the excess availability covenant and the outstanding letter of credit, the unused availability was $1.3 million. During 2025, the Company borrowed $115.1 million and repaid $100.7 million under the 2025 Credit Agreement and had a weighted average interest rate of 10.7%.</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000"/>
          </w:cols>
          <w:pgMar w:left="1440" w:top="1265" w:right="1440" w:bottom="0" w:gutter="0" w:footer="0" w:header="0"/>
          <w:type w:val="continuous"/>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left="40"/>
        <w:spacing w:after="0" w:line="219" w:lineRule="exact"/>
        <w:rPr>
          <w:sz w:val="20"/>
          <w:szCs w:val="20"/>
          <w:color w:val="auto"/>
        </w:rPr>
      </w:pPr>
      <w:r>
        <w:rPr>
          <w:rFonts w:ascii="Times New Roman" w:cs="Times New Roman" w:eastAsia="Times New Roman" w:hAnsi="Times New Roman"/>
          <w:sz w:val="18"/>
          <w:szCs w:val="18"/>
          <w:i w:val="1"/>
          <w:iCs w:val="1"/>
          <w:color w:val="auto"/>
        </w:rPr>
        <w:t>'</w:t>
      </w:r>
      <w:r>
        <w:rPr>
          <w:rFonts w:ascii="PMingLiU" w:cs="PMingLiU" w:eastAsia="PMingLiU" w:hAnsi="PMingLiU"/>
          <w:sz w:val="18"/>
          <w:szCs w:val="18"/>
          <w:b w:val="1"/>
          <w:bCs w:val="1"/>
          <w:i w:val="1"/>
          <w:iCs w:val="1"/>
          <w:color w:val="auto"/>
        </w:rPr>
        <w:t>HEW'LVFRXQWVDQG,VVXDQFH&amp;RVWV</w:t>
      </w:r>
    </w:p>
    <w:p>
      <w:pPr>
        <w:spacing w:after="0" w:line="215"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Debt discounts and issuance costs are deferred and amortized over the life of the related loan. The associated expense is included in interest expense in the consolidated statements of operations and comprehensive loss. Debt issuance costs related to the 2025 Credit Agreement are included in prepaids and other current assets in the consolidated balance sheets. As of December 28, 2025 and December 29, 2024, unamortized debt issuance costs recorded within prepaids and other current assets were $0.6 million, related to the 2025 Credit Agreement and $0.1 million, related to the Prior Credit Agreement, respectively.</w:t>
      </w:r>
    </w:p>
    <w:p>
      <w:pPr>
        <w:spacing w:after="0" w:line="197" w:lineRule="exact"/>
        <w:rPr>
          <w:sz w:val="20"/>
          <w:szCs w:val="20"/>
          <w:color w:val="auto"/>
        </w:rPr>
      </w:pPr>
    </w:p>
    <w:p>
      <w:pPr>
        <w:ind w:left="680" w:hanging="648"/>
        <w:spacing w:after="0"/>
        <w:tabs>
          <w:tab w:leader="none" w:pos="6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is a lessee under various lease agreements. The determination of whether an arrangement contains a lease, and the lease classification is made at lease commencement (date upon which the Company takes possession of the asset).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consolidated balance sheets.</w:t>
      </w:r>
    </w:p>
    <w:p>
      <w:pPr>
        <w:spacing w:after="0" w:line="192"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primarily leases its distribution facilities, corporate offices and retail stores under operating lease agreements expiring on various dates through 2030, most of which contain options to extend. In addition to payment of base rent, the Company is also required to pay property taxes, insurance, and common area maintenance expenses. The Company records lease expense on a straight-line basis over the term of the lease. In early 2025, the Company consolidated two of its distribution facilities by moving operations from its former distribution facility in Chico, California to its existing distribution facility in Ontario, California. During the fifty-two weeks ended December 28, 2025, the Company modified the terms and discount rate of four of its operating leases. As a result of the modification, the Company derecognized the related right-of-use asset and lease liability of $3.5 million and $3.6 million, respectively. The modification resulted in the recognition of a gain of $0.1 million. During the fifty-two weeks ended December 28, 2025, the Company terminated the lease agreement for one of its leases located in Chico, California. As a result of the termination, the Company derecognized the remaining lease liability of $0.4 million, resulting in a gain of $0.2 million. Termination penalties of $0.2 million, net of deposits, were included in accrued expenses and other current liabilities and subsequently paid before the period ended December 28, 2025.</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also leases equipment under finance lease agreements expiring on various dates through April 2029.</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000"/>
          </w:cols>
          <w:pgMar w:left="1440" w:top="1265" w:right="1440" w:bottom="0" w:gutter="0" w:footer="0" w:header="0"/>
          <w:type w:val="continuous"/>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the future minimum lease payments for the Company’s operating and finance leases for each of the next five fiscal years, and thereafter, were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1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6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Borders>
              <w:top w:val="single" w:sz="8" w:color="DDDDDD"/>
            </w:tcBorders>
            <w:shd w:val="clear" w:color="auto" w:fill="DDDDDD"/>
          </w:tcPr>
          <w:p>
            <w:pPr>
              <w:spacing w:after="0"/>
              <w:rPr>
                <w:sz w:val="18"/>
                <w:szCs w:val="18"/>
                <w:color w:val="auto"/>
              </w:rPr>
            </w:pPr>
          </w:p>
        </w:tc>
        <w:tc>
          <w:tcPr>
            <w:tcW w:w="340" w:type="dxa"/>
            <w:vAlign w:val="bottom"/>
            <w:tcBorders>
              <w:top w:val="single" w:sz="8" w:color="auto"/>
            </w:tcBorders>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41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1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DDDDDD"/>
          </w:tcPr>
          <w:p>
            <w:pPr>
              <w:spacing w:after="0"/>
              <w:rPr>
                <w:sz w:val="18"/>
                <w:szCs w:val="18"/>
                <w:color w:val="auto"/>
              </w:rPr>
            </w:pPr>
          </w:p>
        </w:tc>
        <w:tc>
          <w:tcPr>
            <w:tcW w:w="154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DDDDD"/>
          </w:tcPr>
          <w:p>
            <w:pPr>
              <w:spacing w:after="0"/>
              <w:rPr>
                <w:sz w:val="18"/>
                <w:szCs w:val="18"/>
                <w:color w:val="auto"/>
              </w:rPr>
            </w:pPr>
          </w:p>
        </w:tc>
        <w:tc>
          <w:tcPr>
            <w:tcW w:w="1500" w:type="dxa"/>
            <w:vAlign w:val="bottom"/>
            <w:gridSpan w:val="2"/>
            <w:shd w:val="clear" w:color="auto" w:fill="DDDDDD"/>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00" w:type="dxa"/>
            <w:vAlign w:val="bottom"/>
            <w:tcBorders>
              <w:top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0" w:type="dxa"/>
            <w:vAlign w:val="bottom"/>
            <w:tcBorders>
              <w:top w:val="single" w:sz="8" w:color="auto"/>
            </w:tcBorders>
            <w:shd w:val="clear" w:color="auto" w:fill="DDDDDD"/>
          </w:tcPr>
          <w:p>
            <w:pPr>
              <w:spacing w:after="0"/>
              <w:rPr>
                <w:sz w:val="18"/>
                <w:szCs w:val="18"/>
                <w:color w:val="auto"/>
              </w:rPr>
            </w:pPr>
          </w:p>
        </w:tc>
        <w:tc>
          <w:tcPr>
            <w:tcW w:w="13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6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spacing w:after="0"/>
              <w:rPr>
                <w:sz w:val="18"/>
                <w:szCs w:val="18"/>
                <w:color w:val="auto"/>
              </w:rPr>
            </w:pPr>
          </w:p>
        </w:tc>
        <w:tc>
          <w:tcPr>
            <w:tcW w:w="13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Borders>
              <w:top w:val="single" w:sz="8" w:color="DDDDDD"/>
            </w:tcBorders>
            <w:shd w:val="clear" w:color="auto" w:fill="DDDDDD"/>
          </w:tcPr>
          <w:p>
            <w:pPr>
              <w:spacing w:after="0"/>
              <w:rPr>
                <w:sz w:val="18"/>
                <w:szCs w:val="18"/>
                <w:color w:val="auto"/>
              </w:rPr>
            </w:pPr>
          </w:p>
        </w:tc>
        <w:tc>
          <w:tcPr>
            <w:tcW w:w="340" w:type="dxa"/>
            <w:vAlign w:val="bottom"/>
            <w:tcBorders>
              <w:top w:val="single" w:sz="8" w:color="auto"/>
            </w:tcBorders>
            <w:shd w:val="clear" w:color="auto" w:fill="DDDDDD"/>
          </w:tcPr>
          <w:p>
            <w:pPr>
              <w:spacing w:after="0"/>
              <w:rPr>
                <w:sz w:val="18"/>
                <w:szCs w:val="18"/>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18,215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10"/>
        </w:trPr>
        <w:tc>
          <w:tcPr>
            <w:tcW w:w="4100" w:type="dxa"/>
            <w:vAlign w:val="bottom"/>
            <w:tcBorders>
              <w:top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top w:val="single" w:sz="8" w:color="auto"/>
            </w:tcBorders>
            <w:shd w:val="clear" w:color="auto" w:fill="DDDDDD"/>
          </w:tcPr>
          <w:p>
            <w:pPr>
              <w:spacing w:after="0"/>
              <w:rPr>
                <w:sz w:val="18"/>
                <w:szCs w:val="18"/>
                <w:color w:val="auto"/>
              </w:rPr>
            </w:pPr>
          </w:p>
        </w:tc>
        <w:tc>
          <w:tcPr>
            <w:tcW w:w="13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6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spacing w:after="0"/>
              <w:rPr>
                <w:sz w:val="18"/>
                <w:szCs w:val="18"/>
                <w:color w:val="auto"/>
              </w:rPr>
            </w:pPr>
          </w:p>
        </w:tc>
        <w:tc>
          <w:tcPr>
            <w:tcW w:w="13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tcBorders>
              <w:top w:val="single" w:sz="8" w:color="DDDDDD"/>
            </w:tcBorders>
            <w:shd w:val="clear" w:color="auto" w:fill="DDDDDD"/>
          </w:tcPr>
          <w:p>
            <w:pPr>
              <w:spacing w:after="0"/>
              <w:rPr>
                <w:sz w:val="18"/>
                <w:szCs w:val="18"/>
                <w:color w:val="auto"/>
              </w:rPr>
            </w:pPr>
          </w:p>
        </w:tc>
        <w:tc>
          <w:tcPr>
            <w:tcW w:w="340" w:type="dxa"/>
            <w:vAlign w:val="bottom"/>
            <w:tcBorders>
              <w:top w:val="single" w:sz="8" w:color="auto"/>
            </w:tcBorders>
            <w:shd w:val="clear" w:color="auto" w:fill="DDDDDD"/>
          </w:tcPr>
          <w:p>
            <w:pPr>
              <w:spacing w:after="0"/>
              <w:rPr>
                <w:sz w:val="18"/>
                <w:szCs w:val="18"/>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16,791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(5,647)</w:t>
            </w: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r>
      <w:tr>
        <w:trPr>
          <w:trHeight w:val="209"/>
        </w:trPr>
        <w:tc>
          <w:tcPr>
            <w:tcW w:w="410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60" w:type="dxa"/>
            <w:vAlign w:val="bottom"/>
            <w:tcBorders>
              <w:top w:val="single" w:sz="8" w:color="DDDDDD"/>
              <w:bottom w:val="single" w:sz="8" w:color="DDDDDD"/>
            </w:tcBorders>
            <w:shd w:val="clear" w:color="auto" w:fill="DDDDDD"/>
          </w:tcPr>
          <w:p>
            <w:pPr>
              <w:spacing w:after="0"/>
              <w:rPr>
                <w:sz w:val="18"/>
                <w:szCs w:val="18"/>
                <w:color w:val="auto"/>
              </w:rPr>
            </w:pP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top w:val="single" w:sz="8" w:color="DDDDDD"/>
              <w:bottom w:val="single" w:sz="8" w:color="DDDDDD"/>
            </w:tcBorders>
            <w:shd w:val="clear" w:color="auto" w:fill="DDDDDD"/>
          </w:tcPr>
          <w:p>
            <w:pPr>
              <w:spacing w:after="0"/>
              <w:rPr>
                <w:sz w:val="18"/>
                <w:szCs w:val="18"/>
                <w:color w:val="auto"/>
              </w:rPr>
            </w:pPr>
          </w:p>
        </w:tc>
        <w:tc>
          <w:tcPr>
            <w:tcW w:w="340" w:type="dxa"/>
            <w:vAlign w:val="bottom"/>
            <w:tcBorders>
              <w:top w:val="single" w:sz="8" w:color="auto"/>
              <w:bottom w:val="single" w:sz="8" w:color="auto"/>
            </w:tcBorders>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176"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represents supplemental disclosure of lease costs, components of the statement of cash flows related to operating and finance leases and components of right-of-use assets (in thousands):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-128905</wp:posOffset>
            </wp:positionV>
            <wp:extent cx="564896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4445</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4445</wp:posOffset>
            </wp:positionV>
            <wp:extent cx="56489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4445</wp:posOffset>
            </wp:positionV>
            <wp:extent cx="564896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cost included 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-120015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Lease cost included in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12065</wp:posOffset>
            </wp:positionV>
            <wp:extent cx="56489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16510</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4445</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p>
      <w:pPr>
        <w:spacing w:after="0" w:line="230" w:lineRule="exact"/>
        <w:rPr>
          <w:sz w:val="20"/>
          <w:szCs w:val="20"/>
          <w:color w:val="auto"/>
        </w:rPr>
      </w:pPr>
    </w:p>
    <w:p>
      <w:pPr>
        <w:ind w:left="680" w:hanging="648"/>
        <w:spacing w:after="0"/>
        <w:tabs>
          <w:tab w:leader="none" w:pos="6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1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40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r>
      <w:tr>
        <w:trPr>
          <w:trHeight w:val="216"/>
        </w:trPr>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3"/>
        </w:trPr>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0"/>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96"/>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r>
      <w:tr>
        <w:trPr>
          <w:trHeight w:val="234"/>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bl>
    <w:p>
      <w:pPr>
        <w:spacing w:after="0" w:line="19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11 months</w:t>
      </w:r>
    </w:p>
    <w:p>
      <w:pPr>
        <w:spacing w:after="0" w:line="2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35 months</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4.40%</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6.13%</w:t>
      </w:r>
    </w:p>
    <w:p>
      <w:pPr>
        <w:spacing w:after="0" w:line="1068" w:lineRule="exact"/>
        <w:rPr>
          <w:sz w:val="20"/>
          <w:szCs w:val="20"/>
          <w:color w:val="auto"/>
        </w:rPr>
      </w:pPr>
    </w:p>
    <w:p>
      <w:pPr>
        <w:sectPr>
          <w:pgSz w:w="11880" w:h="15480" w:orient="portrait"/>
          <w:cols w:equalWidth="0" w:num="2">
            <w:col w:w="6300" w:space="720"/>
            <w:col w:w="1980"/>
          </w:cols>
          <w:pgMar w:left="1440" w:top="1265" w:right="1440" w:bottom="0" w:gutter="0" w:footer="0" w:header="0"/>
          <w:type w:val="continuous"/>
        </w:sectPr>
      </w:pPr>
    </w:p>
    <w:p>
      <w:pPr>
        <w:spacing w:after="0" w:line="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consolidated financial statements indicates it is probable a loss has been incurred as of the date</w:t>
      </w:r>
    </w:p>
    <w:p>
      <w:pPr>
        <w:sectPr>
          <w:pgSz w:w="11880" w:h="15480" w:orient="portrait"/>
          <w:cols w:equalWidth="0" w:num="1">
            <w:col w:w="9000"/>
          </w:cols>
          <w:pgMar w:left="1440" w:top="126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000"/>
          </w:cols>
          <w:pgMar w:left="1440" w:top="1265" w:right="1440" w:bottom="0" w:gutter="0" w:footer="0" w:header="0"/>
          <w:type w:val="continuous"/>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58" w:lineRule="auto"/>
        <w:rPr>
          <w:sz w:val="20"/>
          <w:szCs w:val="20"/>
          <w:color w:val="auto"/>
        </w:rPr>
      </w:pPr>
      <w:r>
        <w:rPr>
          <w:rFonts w:ascii="Times New Roman" w:cs="Times New Roman" w:eastAsia="Times New Roman" w:hAnsi="Times New Roman"/>
          <w:sz w:val="18"/>
          <w:szCs w:val="18"/>
          <w:color w:val="auto"/>
        </w:rPr>
        <w:t>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However, an immaterial reserve was recorded for contingencies.</w:t>
      </w:r>
    </w:p>
    <w:p>
      <w:pPr>
        <w:spacing w:after="0" w:line="183" w:lineRule="exact"/>
        <w:rPr>
          <w:sz w:val="20"/>
          <w:szCs w:val="20"/>
          <w:color w:val="auto"/>
        </w:rPr>
      </w:pPr>
    </w:p>
    <w:p>
      <w:pPr>
        <w:jc w:val="both"/>
        <w:ind w:left="40" w:right="60" w:firstLine="324"/>
        <w:spacing w:after="0" w:line="277" w:lineRule="auto"/>
        <w:rPr>
          <w:sz w:val="20"/>
          <w:szCs w:val="20"/>
          <w:color w:val="auto"/>
        </w:rPr>
      </w:pPr>
      <w:r>
        <w:rPr>
          <w:rFonts w:ascii="Times New Roman" w:cs="Times New Roman" w:eastAsia="Times New Roman" w:hAnsi="Times New Roman"/>
          <w:sz w:val="17"/>
          <w:szCs w:val="17"/>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consolidated financial statements. As of December 28, 2025, the Company was not aware of any currently pending legal matters or claims, individually or in the aggregate, that are expected to have a material adverse impact on its consolidated financial statements.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spacing w:after="0" w:line="172" w:lineRule="exact"/>
        <w:rPr>
          <w:sz w:val="20"/>
          <w:szCs w:val="20"/>
          <w:color w:val="auto"/>
        </w:rPr>
      </w:pPr>
    </w:p>
    <w:p>
      <w:pPr>
        <w:ind w:left="40" w:right="6700" w:hanging="8"/>
        <w:spacing w:after="0" w:line="503" w:lineRule="auto"/>
        <w:tabs>
          <w:tab w:leader="none" w:pos="68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left="40" w:right="80"/>
        <w:spacing w:after="0" w:line="254" w:lineRule="auto"/>
        <w:rPr>
          <w:sz w:val="20"/>
          <w:szCs w:val="20"/>
          <w:color w:val="auto"/>
        </w:rPr>
      </w:pPr>
      <w:r>
        <w:rPr>
          <w:rFonts w:ascii="Times New Roman" w:cs="Times New Roman" w:eastAsia="Times New Roman" w:hAnsi="Times New Roman"/>
          <w:sz w:val="18"/>
          <w:szCs w:val="18"/>
          <w:color w:val="auto"/>
        </w:rPr>
        <w:t>The Company has authorized the issuance of 250,000,000 shares of common stock, $0.001 par value ("common stock") as of December 28, 2025.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December 28, 2025, the Company has reserved 10,760 shares of</w:t>
      </w:r>
    </w:p>
    <w:p>
      <w:pPr>
        <w:spacing w:after="0" w:line="3" w:lineRule="exact"/>
        <w:rPr>
          <w:sz w:val="20"/>
          <w:szCs w:val="20"/>
          <w:color w:val="auto"/>
        </w:rPr>
      </w:pPr>
    </w:p>
    <w:p>
      <w:pPr>
        <w:ind w:left="40" w:right="160"/>
        <w:spacing w:after="0" w:line="216" w:lineRule="exact"/>
        <w:rPr>
          <w:sz w:val="20"/>
          <w:szCs w:val="20"/>
          <w:color w:val="auto"/>
        </w:rPr>
      </w:pPr>
      <w:r>
        <w:rPr>
          <w:rFonts w:ascii="Times New Roman" w:cs="Times New Roman" w:eastAsia="Times New Roman" w:hAnsi="Times New Roman"/>
          <w:sz w:val="18"/>
          <w:szCs w:val="18"/>
          <w:color w:val="auto"/>
        </w:rPr>
        <w:t xml:space="preserve">common stock for issuance upon the exercise of stock options, and 244,449 shares of common stock available for future issuance under the Omnibus Equity Plan, and 74,764 shares of common stock available for future issuance under the 2021 Employee Stock Purchase Plan (the “ESPP”), as adjusted on a retroactive basis for the Reverse Stock Split. Refer to "Reverse Stock Split" within this Note 8, </w:t>
      </w:r>
      <w:r>
        <w:rPr>
          <w:rFonts w:ascii="PMingLiU" w:cs="PMingLiU" w:eastAsia="PMingLiU" w:hAnsi="PMingLiU"/>
          <w:sz w:val="18"/>
          <w:szCs w:val="18"/>
          <w:i w:val="1"/>
          <w:iCs w:val="1"/>
          <w:color w:val="auto"/>
        </w:rPr>
        <w:t>6WRFNKROGHU¶V(TXLW\</w:t>
      </w:r>
      <w:r>
        <w:rPr>
          <w:rFonts w:ascii="Times New Roman" w:cs="Times New Roman" w:eastAsia="Times New Roman" w:hAnsi="Times New Roman"/>
          <w:sz w:val="18"/>
          <w:szCs w:val="18"/>
          <w:color w:val="auto"/>
        </w:rPr>
        <w:t xml:space="preserve"> for additional details. Both equity plans are further described below.</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December 28, 2025, no shares of preferred stock were issued and outstanding.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Plan and Employee Stock Purchase Plan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the closing of the IPO, the Company adopted the Omnibus Equity Plan and the ESPP.</w:t>
      </w:r>
    </w:p>
    <w:p>
      <w:pPr>
        <w:spacing w:after="0" w:line="225"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Under the Company’s Omnibus Equity Plan, incentive awards may be granted to employees, directors, and consultants of the Company. The Company initially reserved 247,933 shares of common stock, for future issuance under the Omnibus Equity Plan, including any shares subject to awards under the 2021 Equity Incentive Plan (the “2021 Equity Plan”) that</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000"/>
          </w:cols>
          <w:pgMar w:left="1440" w:top="1265" w:right="1440" w:bottom="0" w:gutter="0" w:footer="0" w:header="0"/>
          <w:type w:val="continuous"/>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56" w:lineRule="auto"/>
        <w:rPr>
          <w:sz w:val="20"/>
          <w:szCs w:val="20"/>
          <w:color w:val="auto"/>
        </w:rPr>
      </w:pPr>
      <w:r>
        <w:rPr>
          <w:rFonts w:ascii="Times New Roman" w:cs="Times New Roman" w:eastAsia="Times New Roman" w:hAnsi="Times New Roman"/>
          <w:sz w:val="18"/>
          <w:szCs w:val="18"/>
          <w:color w:val="auto"/>
        </w:rPr>
        <w:t>are forfeited or lapse unexercised. The number of shares reserved for issuance under the Omnibus Equity Plan automatically increases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The Company has registered shares issuable under the Omnibus Equity Plan pursuant to various Registration Statements on Form S-8.</w:t>
      </w:r>
    </w:p>
    <w:p>
      <w:pPr>
        <w:spacing w:after="0" w:line="187"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Under the ESPP, the Company initially reserved 49,587 shares of common stock, for future issuance. The number of shares of common stock reserved for issuance automatically increases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The Company has registered shares issuable under the ESPP pursuant to various Registration Statements on Form S-8.</w:t>
      </w:r>
    </w:p>
    <w:p>
      <w:pPr>
        <w:spacing w:after="0" w:line="187"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28, 2025, the Company had 244,449 and 74,764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w:t>
      </w:r>
    </w:p>
    <w:p>
      <w:pPr>
        <w:spacing w:after="0" w:line="187"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w:t>
      </w:r>
    </w:p>
    <w:p>
      <w:pPr>
        <w:spacing w:after="0" w:line="192"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equity-based compensation expense related to shares issued pursuant to the ESPP on a graded vesting approach over each offering period. During 2025, equity-based compensation expense related to the ESPP was immaterial. During 2025 and 2024, the Company issued 12,609 shares and 7,315 shares, respectively, pursuant to the ESPP six-month purchase periods.</w:t>
      </w:r>
    </w:p>
    <w:p>
      <w:pPr>
        <w:spacing w:after="0" w:line="180" w:lineRule="exact"/>
        <w:rPr>
          <w:sz w:val="20"/>
          <w:szCs w:val="20"/>
          <w:color w:val="auto"/>
        </w:rPr>
      </w:pPr>
    </w:p>
    <w:p>
      <w:pPr>
        <w:ind w:left="40"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model to estimate the fair value of the purchase rights under the ESPP. During 2025, the Company utilized the following assumptions: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shd w:val="clear" w:color="auto" w:fill="DDDDDD"/>
          </w:tcPr>
          <w:p>
            <w:pPr>
              <w:spacing w:after="0"/>
              <w:rPr>
                <w:sz w:val="18"/>
                <w:szCs w:val="18"/>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0.50 to 1.00</w:t>
            </w:r>
          </w:p>
        </w:tc>
        <w:tc>
          <w:tcPr>
            <w:tcW w:w="240" w:type="dxa"/>
            <w:vAlign w:val="bottom"/>
            <w:shd w:val="clear" w:color="auto" w:fill="DDDDDD"/>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102.85 to 117.46 %</w:t>
            </w:r>
          </w:p>
        </w:tc>
      </w:tr>
      <w:tr>
        <w:trPr>
          <w:trHeight w:val="216"/>
        </w:trPr>
        <w:tc>
          <w:tcPr>
            <w:tcW w:w="58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DDDDDD"/>
          </w:tcPr>
          <w:p>
            <w:pPr>
              <w:spacing w:after="0"/>
              <w:rPr>
                <w:sz w:val="18"/>
                <w:szCs w:val="18"/>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3.85 to 4.06</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6"/>
        </w:trPr>
        <w:tc>
          <w:tcPr>
            <w:tcW w:w="58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Weighted-average fair value per share of ESPP awards granted</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0.86 to 2.01</w:t>
            </w:r>
          </w:p>
        </w:tc>
        <w:tc>
          <w:tcPr>
            <w:tcW w:w="240" w:type="dxa"/>
            <w:vAlign w:val="bottom"/>
            <w:shd w:val="clear" w:color="auto" w:fill="DDDDDD"/>
          </w:tcPr>
          <w:p>
            <w:pPr>
              <w:spacing w:after="0"/>
              <w:rPr>
                <w:sz w:val="18"/>
                <w:szCs w:val="18"/>
                <w:color w:val="auto"/>
              </w:rPr>
            </w:pPr>
          </w:p>
        </w:tc>
      </w:tr>
    </w:tbl>
    <w:p>
      <w:pPr>
        <w:spacing w:after="0" w:line="200" w:lineRule="exact"/>
        <w:rPr>
          <w:sz w:val="20"/>
          <w:szCs w:val="20"/>
          <w:color w:val="auto"/>
        </w:rPr>
      </w:pP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000"/>
          </w:cols>
          <w:pgMar w:left="1440" w:top="1265" w:right="1440" w:bottom="0" w:gutter="0" w:footer="0" w:header="0"/>
          <w:type w:val="continuous"/>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80" w:firstLine="324"/>
        <w:spacing w:after="0" w:line="282" w:lineRule="auto"/>
        <w:rPr>
          <w:sz w:val="20"/>
          <w:szCs w:val="20"/>
          <w:color w:val="auto"/>
        </w:rPr>
      </w:pPr>
      <w:r>
        <w:rPr>
          <w:rFonts w:ascii="Times New Roman" w:cs="Times New Roman" w:eastAsia="Times New Roman" w:hAnsi="Times New Roman"/>
          <w:sz w:val="18"/>
          <w:szCs w:val="18"/>
          <w:color w:val="auto"/>
        </w:rPr>
        <w:t>Equity-based compensation expense is included in general and administrative expenses in the consolidated statements of operations and comprehensive loss.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2024 Stock Repurchase Program</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On May 3, 2024, the Company's Board of Directors authorized the 2024 Repurchase Program. The actual timing, number, and value of shares repurchased in the future will be determined by the Company in its discretion and will continue to depend on a number of factors, including market conditions, applicable legal requirements, our capital needs, and whether there is a better alternative use of capital.</w:t>
      </w:r>
    </w:p>
    <w:p>
      <w:pPr>
        <w:spacing w:after="0" w:line="180"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summarizes the share repurchase activity for the fifty-two weeks ended December 28, 2025 under our 2024 Repurchase Program. As of December 28, 2025, $1.1 million remained available under the 2024 Repurchase Program authorization.</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3"/>
                <w:szCs w:val="13"/>
                <w:color w:val="auto"/>
              </w:rPr>
            </w:pPr>
          </w:p>
        </w:tc>
        <w:tc>
          <w:tcPr>
            <w:tcW w:w="8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Shares that May Yet</w:t>
            </w:r>
          </w:p>
        </w:tc>
        <w:tc>
          <w:tcPr>
            <w:tcW w:w="0" w:type="dxa"/>
            <w:vAlign w:val="bottom"/>
          </w:tcPr>
          <w:p>
            <w:pPr>
              <w:spacing w:after="0"/>
              <w:rPr>
                <w:sz w:val="1"/>
                <w:szCs w:val="1"/>
                <w:color w:val="auto"/>
              </w:rPr>
            </w:pPr>
          </w:p>
        </w:tc>
      </w:tr>
      <w:tr>
        <w:trPr>
          <w:trHeight w:val="172"/>
        </w:trPr>
        <w:tc>
          <w:tcPr>
            <w:tcW w:w="332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60" w:type="dxa"/>
            <w:vAlign w:val="bottom"/>
          </w:tcPr>
          <w:p>
            <w:pPr>
              <w:spacing w:after="0"/>
              <w:rPr>
                <w:sz w:val="14"/>
                <w:szCs w:val="14"/>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4"/>
        </w:trPr>
        <w:tc>
          <w:tcPr>
            <w:tcW w:w="3320" w:type="dxa"/>
            <w:vAlign w:val="bottom"/>
            <w:gridSpan w:val="2"/>
            <w:vMerge w:val="continue"/>
          </w:tcPr>
          <w:p>
            <w:pPr>
              <w:spacing w:after="0"/>
              <w:rPr>
                <w:sz w:val="15"/>
                <w:szCs w:val="15"/>
                <w:color w:val="auto"/>
              </w:rPr>
            </w:pPr>
          </w:p>
        </w:tc>
        <w:tc>
          <w:tcPr>
            <w:tcW w:w="1040" w:type="dxa"/>
            <w:vAlign w:val="bottom"/>
            <w:gridSpan w:val="2"/>
          </w:tcPr>
          <w:p>
            <w:pPr>
              <w:jc w:val="center"/>
              <w:ind w:right="160"/>
              <w:spacing w:after="0" w:line="174"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20"/>
                <w:szCs w:val="20"/>
                <w:b w:val="1"/>
                <w:bCs w:val="1"/>
                <w:color w:val="auto"/>
                <w:w w:val="97"/>
                <w:vertAlign w:val="superscript"/>
              </w:rPr>
              <w:t>(1)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60" w:type="dxa"/>
            <w:vAlign w:val="bottom"/>
          </w:tcPr>
          <w:p>
            <w:pPr>
              <w:spacing w:after="0"/>
              <w:rPr>
                <w:sz w:val="15"/>
                <w:szCs w:val="15"/>
                <w:color w:val="auto"/>
              </w:rPr>
            </w:pPr>
          </w:p>
        </w:tc>
        <w:tc>
          <w:tcPr>
            <w:tcW w:w="1220" w:type="dxa"/>
            <w:vAlign w:val="bottom"/>
          </w:tcPr>
          <w:p>
            <w:pPr>
              <w:jc w:val="center"/>
              <w:ind w:right="184"/>
              <w:spacing w:after="0" w:line="174" w:lineRule="exact"/>
              <w:rPr>
                <w:sz w:val="20"/>
                <w:szCs w:val="20"/>
                <w:color w:val="auto"/>
              </w:rPr>
            </w:pPr>
            <w:r>
              <w:rPr>
                <w:rFonts w:ascii="Times New Roman" w:cs="Times New Roman" w:eastAsia="Times New Roman" w:hAnsi="Times New Roman"/>
                <w:sz w:val="14"/>
                <w:szCs w:val="14"/>
                <w:b w:val="1"/>
                <w:bCs w:val="1"/>
                <w:color w:val="auto"/>
                <w:w w:val="95"/>
              </w:rPr>
              <w:t xml:space="preserve">Price </w:t>
            </w:r>
            <w:r>
              <w:rPr>
                <w:rFonts w:ascii="Times New Roman" w:cs="Times New Roman" w:eastAsia="Times New Roman" w:hAnsi="Times New Roman"/>
                <w:sz w:val="20"/>
                <w:szCs w:val="20"/>
                <w:b w:val="1"/>
                <w:bCs w:val="1"/>
                <w:color w:val="auto"/>
                <w:w w:val="95"/>
                <w:vertAlign w:val="superscript"/>
              </w:rPr>
              <w:t>(2)</w:t>
            </w: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2024 Repurchase Program</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Fifty-two weeks ended December 28, 2025</w:t>
            </w:r>
          </w:p>
        </w:tc>
        <w:tc>
          <w:tcPr>
            <w:tcW w:w="160" w:type="dxa"/>
            <w:vAlign w:val="bottom"/>
            <w:tcBorders>
              <w:top w:val="single" w:sz="8" w:color="DDDDDD"/>
            </w:tcBorders>
            <w:shd w:val="clear" w:color="auto" w:fill="DDDDDD"/>
          </w:tcPr>
          <w:p>
            <w:pPr>
              <w:spacing w:after="0"/>
              <w:rPr>
                <w:sz w:val="18"/>
                <w:szCs w:val="18"/>
                <w:color w:val="auto"/>
              </w:rPr>
            </w:pPr>
          </w:p>
        </w:tc>
        <w:tc>
          <w:tcPr>
            <w:tcW w:w="880" w:type="dxa"/>
            <w:vAlign w:val="bottom"/>
            <w:tcBorders>
              <w:top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123,934</w:t>
            </w:r>
          </w:p>
        </w:tc>
        <w:tc>
          <w:tcPr>
            <w:tcW w:w="16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DDDDDD"/>
          </w:tcPr>
          <w:p>
            <w:pPr>
              <w:jc w:val="right"/>
              <w:ind w:right="159"/>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tcBorders>
              <w:top w:val="single" w:sz="8" w:color="auto"/>
            </w:tcBorders>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DDDDDD"/>
          </w:tcPr>
          <w:p>
            <w:pPr>
              <w:jc w:val="right"/>
              <w:ind w:right="324"/>
              <w:spacing w:after="0"/>
              <w:rPr>
                <w:sz w:val="20"/>
                <w:szCs w:val="20"/>
                <w:color w:val="auto"/>
              </w:rPr>
            </w:pPr>
            <w:r>
              <w:rPr>
                <w:rFonts w:ascii="Times New Roman" w:cs="Times New Roman" w:eastAsia="Times New Roman" w:hAnsi="Times New Roman"/>
                <w:sz w:val="18"/>
                <w:szCs w:val="18"/>
                <w:color w:val="auto"/>
              </w:rPr>
              <w:t>886,264</w:t>
            </w: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7"/>
              </w:rPr>
              <w:t>1,117,998</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700" w:right="80" w:hanging="317"/>
        <w:spacing w:after="0" w:line="261"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were purchased in open market transactions pursuant to 10b5-1 purchase plans entered into by the Company.</w:t>
      </w:r>
    </w:p>
    <w:p>
      <w:pPr>
        <w:ind w:left="700" w:hanging="317"/>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broker commissions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On June 11, 2025, the Company’s Board of Directors approved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one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presented herein have been retroactively adjusted to reflect this Reverse Stock Split, as applicable. The Reverse Stock Split was effective for purposes of trading on the Nasdaq Capital Market as of the opening of business on July 7, 2025.</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229" w:lineRule="exact"/>
        <w:rPr>
          <w:sz w:val="20"/>
          <w:szCs w:val="20"/>
          <w:color w:val="auto"/>
        </w:rPr>
      </w:pPr>
    </w:p>
    <w:p>
      <w:pPr>
        <w:jc w:val="both"/>
        <w:ind w:left="40" w:right="60" w:firstLine="324"/>
        <w:spacing w:after="0" w:line="256" w:lineRule="auto"/>
        <w:rPr>
          <w:sz w:val="20"/>
          <w:szCs w:val="20"/>
          <w:color w:val="auto"/>
        </w:rPr>
      </w:pPr>
      <w:r>
        <w:rPr>
          <w:rFonts w:ascii="Times New Roman" w:cs="Times New Roman" w:eastAsia="Times New Roman" w:hAnsi="Times New Roman"/>
          <w:sz w:val="18"/>
          <w:szCs w:val="18"/>
          <w:color w:val="auto"/>
        </w:rPr>
        <w:t>During April 2021, the Company’s Board of Directors adopted the 2021 Equity Plan. The 2021 Equity Plan provided for the issuance of incentive stock options, restricted stock, RSUs and other equity-based and cash-based awards to the Company’s employees, directors, and consultants. The maximum aggregate number of shares reserved for issuance under the 2021 Equity Plan was 61,667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Former CEO Stock Options and Special Compensation Awards</w:t>
      </w:r>
    </w:p>
    <w:p>
      <w:pPr>
        <w:spacing w:after="0" w:line="229" w:lineRule="exact"/>
        <w:rPr>
          <w:sz w:val="20"/>
          <w:szCs w:val="20"/>
          <w:color w:val="auto"/>
        </w:rPr>
      </w:pPr>
    </w:p>
    <w:p>
      <w:pPr>
        <w:jc w:val="both"/>
        <w:ind w:left="40" w:right="80" w:firstLine="324"/>
        <w:spacing w:after="0" w:line="282" w:lineRule="auto"/>
        <w:rPr>
          <w:sz w:val="20"/>
          <w:szCs w:val="20"/>
          <w:color w:val="auto"/>
        </w:rPr>
      </w:pPr>
      <w:r>
        <w:rPr>
          <w:rFonts w:ascii="Times New Roman" w:cs="Times New Roman" w:eastAsia="Times New Roman" w:hAnsi="Times New Roman"/>
          <w:sz w:val="18"/>
          <w:szCs w:val="18"/>
          <w:color w:val="auto"/>
        </w:rPr>
        <w:t>In April 2021, the Company entered into an Employment Agreement (the “McCreight IPO Employment Agreement”) with the former CEO, David McCreight, and granted stock options under the 2021 Equity Plan to purchase 21,520 shares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000"/>
          </w:cols>
          <w:pgMar w:left="1440" w:top="1265" w:right="1440" w:bottom="0" w:gutter="0" w:footer="0" w:header="0"/>
          <w:type w:val="continuous"/>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53" w:lineRule="auto"/>
        <w:rPr>
          <w:sz w:val="20"/>
          <w:szCs w:val="20"/>
          <w:color w:val="auto"/>
        </w:rPr>
      </w:pPr>
      <w:r>
        <w:rPr>
          <w:rFonts w:ascii="Times New Roman" w:cs="Times New Roman" w:eastAsia="Times New Roman" w:hAnsi="Times New Roman"/>
          <w:sz w:val="18"/>
          <w:szCs w:val="18"/>
          <w:color w:val="auto"/>
        </w:rPr>
        <w:t>of common stock with an exercise price of $170.25 per share, which vest based on service and performance conditions. 18,342 of these stock options have only service vesting conditions, and 3,177 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2023 8-K”), Mr. McCreight voluntarily forfeited 10,760 unvested stock options of the Company. During the thirteen weeks ended April 2, 2023, the forfeiture of 10,760 unvested stock options resulted in immediate acceleration of the remaining $1.2 million of compensation expense which was recorded to general and administrative expense. As previously disclosed in the February 2023 8-K, the Company and David McCreight also entered into the First Amendment to Lulu’s Fashion Lounge Holdings, Inc. 2021 Equity Incentive Plan Stock Option Agreement that extended the post-termination exercise period of 10,760 vested stock options from 90 days to three (3) years from a termination of service other than for cause, death or disability.</w:t>
      </w:r>
    </w:p>
    <w:p>
      <w:pPr>
        <w:spacing w:after="0" w:line="192"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Under the McCreight IPO Employment Agreement, Mr. McCreight received two bonuses in the form of 13,928 fully-vested shares of the Company’s common stock. The Company recognized the final $0.4 million of equity-based compensation expense related to this award in the thirteen weeks ended April 2, 2023.</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stock option activity in 2025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8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8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Borders>
              <w:top w:val="single" w:sz="8" w:color="DDDDDD"/>
            </w:tcBorders>
            <w:shd w:val="clear" w:color="auto" w:fill="DDDDDD"/>
          </w:tcPr>
          <w:p>
            <w:pPr>
              <w:spacing w:after="0"/>
              <w:rPr>
                <w:sz w:val="18"/>
                <w:szCs w:val="18"/>
                <w:color w:val="auto"/>
              </w:rPr>
            </w:pPr>
          </w:p>
        </w:tc>
        <w:tc>
          <w:tcPr>
            <w:tcW w:w="880" w:type="dxa"/>
            <w:vAlign w:val="bottom"/>
            <w:tcBorders>
              <w:top w:val="single" w:sz="8" w:color="auto"/>
            </w:tcBorders>
            <w:shd w:val="clear" w:color="auto" w:fill="DDDDDD"/>
          </w:tcPr>
          <w:p>
            <w:pPr>
              <w:jc w:val="right"/>
              <w:ind w:right="98"/>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top w:val="single" w:sz="8" w:color="DDDDDD"/>
            </w:tcBorders>
            <w:shd w:val="clear" w:color="auto" w:fill="DDDDDD"/>
          </w:tcPr>
          <w:p>
            <w:pPr>
              <w:spacing w:after="0"/>
              <w:rPr>
                <w:sz w:val="18"/>
                <w:szCs w:val="18"/>
                <w:color w:val="auto"/>
              </w:rPr>
            </w:pPr>
          </w:p>
        </w:tc>
        <w:tc>
          <w:tcPr>
            <w:tcW w:w="140" w:type="dxa"/>
            <w:vAlign w:val="bottom"/>
            <w:tcBorders>
              <w:top w:val="single" w:sz="8" w:color="auto"/>
            </w:tcBorders>
            <w:shd w:val="clear" w:color="auto" w:fill="DDDDDD"/>
          </w:tcPr>
          <w:p>
            <w:pPr>
              <w:spacing w:after="0"/>
              <w:rPr>
                <w:sz w:val="18"/>
                <w:szCs w:val="18"/>
                <w:color w:val="auto"/>
              </w:rPr>
            </w:pPr>
          </w:p>
        </w:tc>
        <w:tc>
          <w:tcPr>
            <w:tcW w:w="84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20" w:type="dxa"/>
            <w:vAlign w:val="bottom"/>
            <w:gridSpan w:val="2"/>
            <w:shd w:val="clear" w:color="auto" w:fill="DDDDDD"/>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Outstanding as of December 28, 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3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Borders>
              <w:bottom w:val="single" w:sz="8" w:color="DDDDDD"/>
            </w:tcBorders>
          </w:tcPr>
          <w:p>
            <w:pPr>
              <w:spacing w:after="0"/>
              <w:rPr>
                <w:sz w:val="18"/>
                <w:szCs w:val="18"/>
                <w:color w:val="auto"/>
              </w:rPr>
            </w:pPr>
          </w:p>
        </w:tc>
        <w:tc>
          <w:tcPr>
            <w:tcW w:w="880" w:type="dxa"/>
            <w:vAlign w:val="bottom"/>
            <w:tcBorders>
              <w:bottom w:val="single" w:sz="8" w:color="DDDDDD"/>
            </w:tcBorders>
          </w:tcPr>
          <w:p>
            <w:pPr>
              <w:jc w:val="right"/>
              <w:ind w:right="98"/>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Borders>
              <w:bottom w:val="single" w:sz="8" w:color="DDDDDD"/>
            </w:tcBorders>
          </w:tcPr>
          <w:p>
            <w:pPr>
              <w:spacing w:after="0"/>
              <w:rPr>
                <w:sz w:val="18"/>
                <w:szCs w:val="18"/>
                <w:color w:val="auto"/>
              </w:rPr>
            </w:pPr>
          </w:p>
        </w:tc>
        <w:tc>
          <w:tcPr>
            <w:tcW w:w="140" w:type="dxa"/>
            <w:vAlign w:val="bottom"/>
            <w:tcBorders>
              <w:bottom w:val="single" w:sz="8" w:color="DDDDDD"/>
            </w:tcBorders>
          </w:tcPr>
          <w:p>
            <w:pPr>
              <w:spacing w:after="0"/>
              <w:rPr>
                <w:sz w:val="18"/>
                <w:szCs w:val="18"/>
                <w:color w:val="auto"/>
              </w:rPr>
            </w:pPr>
          </w:p>
        </w:tc>
        <w:tc>
          <w:tcPr>
            <w:tcW w:w="84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Exercisable as of December 28, 2025</w:t>
            </w: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30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shd w:val="clear" w:color="auto" w:fill="DDDDDD"/>
          </w:tcPr>
          <w:p>
            <w:pPr>
              <w:jc w:val="right"/>
              <w:ind w:right="98"/>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tcBorders>
              <w:bottom w:val="single" w:sz="8" w:color="DDDDDD"/>
            </w:tcBorders>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DDDDD"/>
            </w:tcBorders>
            <w:shd w:val="clear" w:color="auto" w:fill="DDDDDD"/>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28, 2025</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60" w:type="dxa"/>
            <w:vAlign w:val="bottom"/>
          </w:tcPr>
          <w:p>
            <w:pPr>
              <w:spacing w:after="0" w:line="20" w:lineRule="exact"/>
              <w:rPr>
                <w:sz w:val="1"/>
                <w:szCs w:val="1"/>
                <w:color w:val="auto"/>
              </w:rPr>
            </w:pPr>
          </w:p>
        </w:tc>
        <w:tc>
          <w:tcPr>
            <w:tcW w:w="88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10,760</w:t>
            </w:r>
          </w:p>
        </w:tc>
        <w:tc>
          <w:tcPr>
            <w:tcW w:w="3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2025 and 2024. The Company had no equity-based compensation expense or unrecognized compensation cost related to stock options during 2025 and 2024.</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RSUs</w:t>
      </w:r>
    </w:p>
    <w:p>
      <w:pPr>
        <w:spacing w:after="0" w:line="229"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Immediately before the completion of the IPO, the LP was liquidated and the unit holders of the LP received shares of the Company’s common stock in exchange for their units of the LP. The Class P unit holders received approximately 130,940 shares of common stock, comprised of approximately 102,420 shares of vested common stock and approximately 28,520 shares of unvested restricted stock. Any such shares of restricted stock received in respect of unvested Class P units of the LP were subject to vesting and a risk of forfeiture to the same extent as the corresponding Class P units. The Company recognized the final $0.3 million of equity-based compensation expense related to exchanged restricted stock during 2024. As of December 29, 2024, the exchanged restricted stock was settled in fully-vested shares of the Company. The fair value of restricted stock vested during 2024 was $0.04 million.</w:t>
      </w:r>
    </w:p>
    <w:p>
      <w:pPr>
        <w:spacing w:after="0" w:line="192"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On March 20, 2025, Mark Vos, the Company’s President and Chief Information Officer, and Ms. Holt, the Company’s Former Chief Merchandising Officer, received grants of 24,000 RSUs and 3,333 RSUs, respectively, pursuant to their respective employment agreements and RSU Award Agreements, which vest (or were scheduled to vest) in equal, quarterly installments on the last day of each calendar quarter, starting on March 31, 2025, subject to continued service requirements. On March 20, 2025, the Company granted a total of 3,649 RSUs, to certain employees, which vest in</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000"/>
          </w:cols>
          <w:pgMar w:left="1440" w:top="1265" w:right="1440" w:bottom="0" w:gutter="0" w:footer="0" w:header="0"/>
          <w:type w:val="continuous"/>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53" w:lineRule="auto"/>
        <w:rPr>
          <w:sz w:val="20"/>
          <w:szCs w:val="20"/>
          <w:color w:val="auto"/>
        </w:rPr>
      </w:pPr>
      <w:r>
        <w:rPr>
          <w:rFonts w:ascii="Times New Roman" w:cs="Times New Roman" w:eastAsia="Times New Roman" w:hAnsi="Times New Roman"/>
          <w:sz w:val="18"/>
          <w:szCs w:val="18"/>
          <w:color w:val="auto"/>
        </w:rPr>
        <w:t>equal installments over a three-year service period. On November 6, 2025, the Board approved a plan to streamline the Company’s merchandising and buying function, including a reduction in force of those teams, to better align with the Company’s strategic and financial needs. In conjunction with this reduction in force, Ms. Holt, who held the role of Chief Merchandising Officer, elected to resign from the Company, effective November 7, 2025. Subject to the execution of a release of claims by Ms. Holt, the Company treated her departure as a resignation for good reason and is paying Ms. Holt severance benefits equivalent to those set forth in Section 3.4 of the CMO Employment Agreement entered into on December 21, 2023, which was filed as Exhibit 10.37 to the Company’s Annual Report on Form 10-K filed on March 6, 2024. Pursuant to the terms of the CMO Employment Agreement and the Lulu's Fashion Lounge Holdings, Inc. Omnibus Equity Plan (the “the Omnibus Equity Plan”), 100% of Ms. Holt’s unvested RSUs were forfeited on the effective date of her resignation.</w:t>
      </w:r>
    </w:p>
    <w:p>
      <w:pPr>
        <w:spacing w:after="0" w:line="194"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On April 28, 2025, the Compensation Committee of the Company approved an amendment to the Company's Non-Employee Director Compensation Program to (i) eliminate the additional annual RSU award for the Non-Employee Board Chair and increase the applicable cash retainer to $75,000 for the Non-Employee Board Chair, (ii) provide that each award of RSUs under the Omnibus Equity Plan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 Compensation Program entirely or for a specific period, and (v) permit for cash to be paid in lieu of any RSU grant or portion of any RSU grant under the Non-Employee Director Compensation Program and provide for flexibility relating to the timing of any cash payment or award of RSUs as the Compensation Committee may deem appropriate.</w:t>
      </w:r>
    </w:p>
    <w:p>
      <w:pPr>
        <w:spacing w:after="0" w:line="194" w:lineRule="exact"/>
        <w:rPr>
          <w:sz w:val="20"/>
          <w:szCs w:val="20"/>
          <w:color w:val="auto"/>
        </w:rPr>
      </w:pPr>
    </w:p>
    <w:p>
      <w:pPr>
        <w:jc w:val="both"/>
        <w:ind w:left="40" w:right="60" w:firstLine="324"/>
        <w:spacing w:after="0" w:line="255" w:lineRule="auto"/>
        <w:rPr>
          <w:sz w:val="20"/>
          <w:szCs w:val="20"/>
          <w:color w:val="auto"/>
        </w:rPr>
      </w:pPr>
      <w:r>
        <w:rPr>
          <w:rFonts w:ascii="Times New Roman" w:cs="Times New Roman" w:eastAsia="Times New Roman" w:hAnsi="Times New Roman"/>
          <w:sz w:val="18"/>
          <w:szCs w:val="18"/>
          <w:color w:val="auto"/>
        </w:rPr>
        <w:t>After evaluating the potential dilutive impact of the non-employee director RSU awards pursuant to the Company’s Amended Non-Employee Director Compensation Program, on May 1, 2025, the Board approved a one-time, cash payment of $50,000 to each eligible non-employee director in lieu of his or her $100,000 fiscal year 2025 annual RSU award. This cash payment will be payable on the date of the 2026 annual meeting of stockholders, subject to each non-employee director’s continued service on the Board through such payment date. On May 30, 2025, Tiffany R. Smith notified us of her decision to resign as Chief Financial Officer, effective June 30, 2025. Ms. Smith’s unvested RSUs were forfeited on the effective date of her resignation.</w:t>
      </w:r>
    </w:p>
    <w:p>
      <w:pPr>
        <w:spacing w:after="0" w:line="18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$3.9 million and $6.3 million during the years ended 2025 and 2024, respectively, related to the RSUs. As of December 28, 2025, the unrecognized equity-based compensation expense is $2.4 million and will be recognized over a weighted-average period of 1.01 years.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roll forward of unvested RSUs in 2025:</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23"/>
        </w:trPr>
        <w:tc>
          <w:tcPr>
            <w:tcW w:w="6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5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r>
      <w:tr>
        <w:trPr>
          <w:trHeight w:val="237"/>
        </w:trPr>
        <w:tc>
          <w:tcPr>
            <w:tcW w:w="65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per Share</w:t>
            </w:r>
          </w:p>
        </w:tc>
      </w:tr>
      <w:tr>
        <w:trPr>
          <w:trHeight w:val="210"/>
        </w:trPr>
        <w:tc>
          <w:tcPr>
            <w:tcW w:w="65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14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16"/>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65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RSUs vested</w:t>
            </w:r>
          </w:p>
        </w:tc>
        <w:tc>
          <w:tcPr>
            <w:tcW w:w="104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8"/>
                <w:szCs w:val="18"/>
                <w:color w:val="auto"/>
              </w:rPr>
              <w:t>(143,214)</w:t>
            </w:r>
          </w:p>
        </w:tc>
        <w:tc>
          <w:tcPr>
            <w:tcW w:w="12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16"/>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forfeited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(27,563)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10"/>
        </w:trPr>
        <w:tc>
          <w:tcPr>
            <w:tcW w:w="656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28, 2025</w:t>
            </w:r>
          </w:p>
        </w:tc>
        <w:tc>
          <w:tcPr>
            <w:tcW w:w="9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40" w:type="dxa"/>
            <w:vAlign w:val="bottom"/>
            <w:tcBorders>
              <w:top w:val="single" w:sz="8" w:color="DDDDDD"/>
              <w:bottom w:val="single" w:sz="8" w:color="DDDDDD"/>
            </w:tcBorders>
            <w:shd w:val="clear" w:color="auto" w:fill="DDDDDD"/>
          </w:tcPr>
          <w:p>
            <w:pPr>
              <w:spacing w:after="0"/>
              <w:rPr>
                <w:sz w:val="18"/>
                <w:szCs w:val="18"/>
                <w:color w:val="auto"/>
              </w:rPr>
            </w:pPr>
          </w:p>
        </w:tc>
        <w:tc>
          <w:tcPr>
            <w:tcW w:w="1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35.09</w:t>
            </w: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fair value of RSUs vested during 2025 was $1.1 million.</w:t>
      </w:r>
    </w:p>
    <w:p>
      <w:pPr>
        <w:spacing w:after="0" w:line="225"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 tax benefit of $1.3 million, $1.5 million and $1.5 million related to equity-based compensation expense in 2025, 2024 and 2023, respectively.</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000"/>
          </w:cols>
          <w:pgMar w:left="1440" w:top="1265" w:right="1440" w:bottom="0" w:gutter="0" w:footer="0" w:header="0"/>
          <w:type w:val="continuous"/>
        </w:sectPr>
      </w:pPr>
    </w:p>
    <w:bookmarkStart w:id="95" w:name="page96"/>
    <w:bookmarkEnd w:id="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(“PSUs”)</w:t>
      </w:r>
    </w:p>
    <w:p>
      <w:pPr>
        <w:spacing w:after="0" w:line="229"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On March 20, 2025, Mark Vos received a grant of 20,000 PSUs, which vest on the date when both of the following have occurred: (i) Performance Achievement: the Volume-Weighted-Average Price of the Company’s common stock over trailing 10 trading days equals or exceeds $150.00, as adjusted for the Reverse Stock Split, on a date when Mr. Vos remains employed by the Company or within 90 days following termination of Mr. Vos' employment; and (ii) Service Achievement: Mr. Vos remains employed with the Company through December 31, 2025. On March 20, 2025, Ms. Holt received a grant of 3,333 PSUs, which would have vested on the date when both of the following occurred, provided that Ms. Holt had remained employed with the Company through such date: (i) the Company filed a Form 10-Q or Form 10-K with the SEC indicating that the Company had trailing twelve months’ net revenue that was at least $150 million more than the Company’s net revenue in the fiscal year ended December 31, 2023 and (ii) the second anniversary of Ms. Holt's start date had occurred. As discussed above, in conjunction with the reduction in force of the Company's merchandising and buying function teams, Ms. Holt elected to resign from the Company, effective November 7, 2025. 100% of Ms. Holt’s unvested PSUs were forfeited on the effective date of her resignation.</w:t>
      </w:r>
    </w:p>
    <w:p>
      <w:pPr>
        <w:spacing w:after="0" w:line="190"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$0.6 million and $2.0 million during 2025 and 2024, respectively, related to the PSUs. As of December 28, 2025, the unrecognized equity-based compensation expense is $0.1 million for the financial milestones that were considered probable of achievement, which will be recognized over a weighted-average period of 1.05 years.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roll forward of unvested PSUs during 2025:</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23"/>
        </w:trPr>
        <w:tc>
          <w:tcPr>
            <w:tcW w:w="6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5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r>
      <w:tr>
        <w:trPr>
          <w:trHeight w:val="237"/>
        </w:trPr>
        <w:tc>
          <w:tcPr>
            <w:tcW w:w="65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per Share</w:t>
            </w:r>
          </w:p>
        </w:tc>
      </w:tr>
      <w:tr>
        <w:trPr>
          <w:trHeight w:val="210"/>
        </w:trPr>
        <w:tc>
          <w:tcPr>
            <w:tcW w:w="65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9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144,105</w:t>
            </w:r>
          </w:p>
        </w:tc>
        <w:tc>
          <w:tcPr>
            <w:tcW w:w="14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16"/>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PSUs 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65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PSUs vested</w:t>
            </w:r>
          </w:p>
        </w:tc>
        <w:tc>
          <w:tcPr>
            <w:tcW w:w="1040" w:type="dxa"/>
            <w:vAlign w:val="bottom"/>
            <w:gridSpan w:val="2"/>
            <w:shd w:val="clear" w:color="auto" w:fill="DDDDDD"/>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PSUs forfeited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10"/>
        </w:trPr>
        <w:tc>
          <w:tcPr>
            <w:tcW w:w="656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28, 2025</w:t>
            </w:r>
          </w:p>
        </w:tc>
        <w:tc>
          <w:tcPr>
            <w:tcW w:w="9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160,771</w:t>
            </w:r>
          </w:p>
        </w:tc>
        <w:tc>
          <w:tcPr>
            <w:tcW w:w="140" w:type="dxa"/>
            <w:vAlign w:val="bottom"/>
            <w:tcBorders>
              <w:top w:val="single" w:sz="8" w:color="DDDDDD"/>
              <w:bottom w:val="single" w:sz="8" w:color="DDDDDD"/>
            </w:tcBorders>
            <w:shd w:val="clear" w:color="auto" w:fill="DDDDDD"/>
          </w:tcPr>
          <w:p>
            <w:pPr>
              <w:spacing w:after="0"/>
              <w:rPr>
                <w:sz w:val="18"/>
                <w:szCs w:val="18"/>
                <w:color w:val="auto"/>
              </w:rPr>
            </w:pPr>
          </w:p>
        </w:tc>
        <w:tc>
          <w:tcPr>
            <w:tcW w:w="1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000"/>
          </w:cols>
          <w:pgMar w:left="1440" w:top="1265" w:right="1440" w:bottom="0" w:gutter="0" w:footer="0" w:header="0"/>
          <w:type w:val="continuous"/>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80" w:hanging="648"/>
        <w:spacing w:after="0"/>
        <w:tabs>
          <w:tab w:leader="none" w:pos="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40" w:right="80"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loss before income taxes is from the U.S. The following table presents the components of the income tax benefit (provision)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920" w:type="dxa"/>
            <w:vAlign w:val="bottom"/>
            <w:tcBorders>
              <w:bottom w:val="single" w:sz="8" w:color="DDDDDD"/>
            </w:tcBorders>
          </w:tcPr>
          <w:p>
            <w:pPr>
              <w:spacing w:after="0"/>
              <w:rPr>
                <w:sz w:val="14"/>
                <w:szCs w:val="14"/>
                <w:color w:val="auto"/>
              </w:rPr>
            </w:pPr>
          </w:p>
        </w:tc>
        <w:tc>
          <w:tcPr>
            <w:tcW w:w="110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DDDDD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DDDDD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9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49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82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DDDDDD"/>
            </w:tcBorders>
          </w:tcPr>
          <w:p>
            <w:pPr>
              <w:ind w:left="320"/>
              <w:spacing w:after="0"/>
              <w:rPr>
                <w:sz w:val="20"/>
                <w:szCs w:val="20"/>
                <w:color w:val="auto"/>
              </w:rPr>
            </w:pPr>
            <w:r>
              <w:rPr>
                <w:rFonts w:ascii="Times New Roman" w:cs="Times New Roman" w:eastAsia="Times New Roman" w:hAnsi="Times New Roman"/>
                <w:sz w:val="18"/>
                <w:szCs w:val="18"/>
                <w:color w:val="auto"/>
              </w:rPr>
              <w:t>Total current benefit (provision)</w:t>
            </w:r>
          </w:p>
        </w:tc>
        <w:tc>
          <w:tcPr>
            <w:tcW w:w="110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DDDDDD"/>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tcBorders>
              <w:bottom w:val="single" w:sz="8" w:color="DDDDDD"/>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0"/>
        </w:trPr>
        <w:tc>
          <w:tcPr>
            <w:tcW w:w="49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16"/>
        </w:trPr>
        <w:tc>
          <w:tcPr>
            <w:tcW w:w="49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82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DDDDDD"/>
          </w:tcPr>
          <w:p>
            <w:pPr>
              <w:spacing w:after="0"/>
              <w:rPr>
                <w:sz w:val="18"/>
                <w:szCs w:val="18"/>
                <w:color w:val="auto"/>
              </w:rPr>
            </w:pPr>
          </w:p>
        </w:tc>
        <w:tc>
          <w:tcPr>
            <w:tcW w:w="8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DDDDDD"/>
            </w:tcBorders>
          </w:tcPr>
          <w:p>
            <w:pPr>
              <w:ind w:left="320"/>
              <w:spacing w:after="0"/>
              <w:rPr>
                <w:sz w:val="20"/>
                <w:szCs w:val="20"/>
                <w:color w:val="auto"/>
              </w:rPr>
            </w:pPr>
            <w:r>
              <w:rPr>
                <w:rFonts w:ascii="Times New Roman" w:cs="Times New Roman" w:eastAsia="Times New Roman" w:hAnsi="Times New Roman"/>
                <w:sz w:val="18"/>
                <w:szCs w:val="18"/>
                <w:color w:val="auto"/>
              </w:rPr>
              <w:t>Total deferred benefit (provision)</w:t>
            </w:r>
          </w:p>
        </w:tc>
        <w:tc>
          <w:tcPr>
            <w:tcW w:w="110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DDDDDD"/>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tcBorders>
              <w:bottom w:val="single" w:sz="8" w:color="DDDDDD"/>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10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8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U.S. state and local taxes refunded (in thousands):</w:t>
            </w: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9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28, 2025</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California refund</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states refund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000"/>
          </w:cols>
          <w:pgMar w:left="1440" w:top="1265" w:right="1440" w:bottom="0" w:gutter="0" w:footer="0" w:header="0"/>
          <w:type w:val="continuous"/>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 table below is a reconciliation of the components that caused the Company's benefit (provision) for income taxes to differ from amounts computed by applying the U.S. federal statutory rate of 21% for the year ended December 28, 2025 (in thousands except for percentages):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Fiscal Year Ended December 28, 2025</w:t>
            </w:r>
          </w:p>
        </w:tc>
      </w:tr>
      <w:tr>
        <w:trPr>
          <w:trHeight w:val="209"/>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9"/>
        </w:trPr>
        <w:tc>
          <w:tcPr>
            <w:tcW w:w="594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(2,840,267)</w:t>
            </w:r>
          </w:p>
        </w:tc>
        <w:tc>
          <w:tcPr>
            <w:tcW w:w="200" w:type="dxa"/>
            <w:vAlign w:val="bottom"/>
            <w:tcBorders>
              <w:top w:val="single" w:sz="8" w:color="DDDDDD"/>
            </w:tcBorders>
            <w:shd w:val="clear" w:color="auto" w:fill="DDDDDD"/>
          </w:tcPr>
          <w:p>
            <w:pPr>
              <w:spacing w:after="0"/>
              <w:rPr>
                <w:sz w:val="18"/>
                <w:szCs w:val="18"/>
                <w:color w:val="auto"/>
              </w:rPr>
            </w:pPr>
          </w:p>
        </w:tc>
        <w:tc>
          <w:tcPr>
            <w:tcW w:w="13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Domestic state and local income taxes, net of federal effect (1)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211,407</w:t>
            </w:r>
          </w:p>
        </w:tc>
        <w:tc>
          <w:tcPr>
            <w:tcW w:w="20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00" w:type="dxa"/>
            <w:vAlign w:val="bottom"/>
            <w:shd w:val="clear" w:color="auto" w:fill="DDDDDD"/>
          </w:tcPr>
          <w:p>
            <w:pPr>
              <w:spacing w:after="0"/>
              <w:rPr>
                <w:sz w:val="18"/>
                <w:szCs w:val="18"/>
                <w:color w:val="auto"/>
              </w:rPr>
            </w:pPr>
          </w:p>
        </w:tc>
        <w:tc>
          <w:tcPr>
            <w:tcW w:w="128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360" w:type="dxa"/>
            <w:vAlign w:val="bottom"/>
            <w:shd w:val="clear" w:color="auto" w:fill="DDDDDD"/>
          </w:tcPr>
          <w:p>
            <w:pPr>
              <w:spacing w:after="0"/>
              <w:rPr>
                <w:sz w:val="18"/>
                <w:szCs w:val="18"/>
                <w:color w:val="auto"/>
              </w:rPr>
            </w:pPr>
          </w:p>
        </w:tc>
      </w:tr>
      <w:tr>
        <w:trPr>
          <w:trHeight w:val="199"/>
        </w:trPr>
        <w:tc>
          <w:tcPr>
            <w:tcW w:w="594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Excess tax expense on executive compensation limitation [Sec 162(m) officers'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229,230</w:t>
            </w:r>
          </w:p>
        </w:tc>
        <w:tc>
          <w:tcPr>
            <w:tcW w:w="200" w:type="dxa"/>
            <w:vAlign w:val="bottom"/>
          </w:tcPr>
          <w:p>
            <w:pPr>
              <w:spacing w:after="0"/>
              <w:rPr>
                <w:sz w:val="20"/>
                <w:szCs w:val="20"/>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Excess tax expense on equity-based compensation expense</w:t>
            </w:r>
          </w:p>
        </w:tc>
        <w:tc>
          <w:tcPr>
            <w:tcW w:w="100" w:type="dxa"/>
            <w:vAlign w:val="bottom"/>
            <w:shd w:val="clear" w:color="auto" w:fill="DDDDDD"/>
          </w:tcPr>
          <w:p>
            <w:pPr>
              <w:spacing w:after="0"/>
              <w:rPr>
                <w:sz w:val="18"/>
                <w:szCs w:val="18"/>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746,980</w:t>
            </w:r>
          </w:p>
        </w:tc>
        <w:tc>
          <w:tcPr>
            <w:tcW w:w="200" w:type="dxa"/>
            <w:vAlign w:val="bottom"/>
            <w:shd w:val="clear" w:color="auto" w:fill="DDDDDD"/>
          </w:tcPr>
          <w:p>
            <w:pPr>
              <w:spacing w:after="0"/>
              <w:rPr>
                <w:sz w:val="18"/>
                <w:szCs w:val="18"/>
                <w:color w:val="auto"/>
              </w:rPr>
            </w:pPr>
          </w:p>
        </w:tc>
        <w:tc>
          <w:tcPr>
            <w:tcW w:w="1360" w:type="dxa"/>
            <w:vAlign w:val="bottom"/>
            <w:shd w:val="clear" w:color="auto" w:fill="DDDDDD"/>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Meals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20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0" w:type="dxa"/>
            <w:vAlign w:val="bottom"/>
            <w:shd w:val="clear" w:color="auto" w:fill="DDDDDD"/>
          </w:tcPr>
          <w:p>
            <w:pPr>
              <w:spacing w:after="0"/>
              <w:rPr>
                <w:sz w:val="18"/>
                <w:szCs w:val="18"/>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36,488</w:t>
            </w:r>
          </w:p>
        </w:tc>
        <w:tc>
          <w:tcPr>
            <w:tcW w:w="200" w:type="dxa"/>
            <w:vAlign w:val="bottom"/>
            <w:shd w:val="clear" w:color="auto" w:fill="DDDDDD"/>
          </w:tcPr>
          <w:p>
            <w:pPr>
              <w:spacing w:after="0"/>
              <w:rPr>
                <w:sz w:val="18"/>
                <w:szCs w:val="18"/>
                <w:color w:val="auto"/>
              </w:rPr>
            </w:pPr>
          </w:p>
        </w:tc>
        <w:tc>
          <w:tcPr>
            <w:tcW w:w="1360" w:type="dxa"/>
            <w:vAlign w:val="bottom"/>
            <w:shd w:val="clear" w:color="auto" w:fill="DDDDDD"/>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1,787,396</w:t>
            </w:r>
          </w:p>
        </w:tc>
        <w:tc>
          <w:tcPr>
            <w:tcW w:w="20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Changes in prior years unrecognized tax benefit</w:t>
            </w:r>
          </w:p>
        </w:tc>
        <w:tc>
          <w:tcPr>
            <w:tcW w:w="100" w:type="dxa"/>
            <w:vAlign w:val="bottom"/>
            <w:shd w:val="clear" w:color="auto" w:fill="DDDDDD"/>
          </w:tcPr>
          <w:p>
            <w:pPr>
              <w:spacing w:after="0"/>
              <w:rPr>
                <w:sz w:val="18"/>
                <w:szCs w:val="18"/>
                <w:color w:val="auto"/>
              </w:rPr>
            </w:pPr>
          </w:p>
        </w:tc>
        <w:tc>
          <w:tcPr>
            <w:tcW w:w="1480" w:type="dxa"/>
            <w:vAlign w:val="bottom"/>
            <w:gridSpan w:val="2"/>
            <w:shd w:val="clear" w:color="auto" w:fill="DDDDDD"/>
          </w:tcPr>
          <w:p>
            <w:pPr>
              <w:jc w:val="right"/>
              <w:ind w:right="200"/>
              <w:spacing w:after="0"/>
              <w:rPr>
                <w:sz w:val="20"/>
                <w:szCs w:val="20"/>
                <w:color w:val="auto"/>
              </w:rPr>
            </w:pPr>
            <w:r>
              <w:rPr>
                <w:rFonts w:ascii="Times New Roman" w:cs="Times New Roman" w:eastAsia="Times New Roman" w:hAnsi="Times New Roman"/>
                <w:sz w:val="18"/>
                <w:szCs w:val="18"/>
                <w:color w:val="auto"/>
              </w:rPr>
              <w:t>(37,396)</w:t>
            </w:r>
          </w:p>
        </w:tc>
        <w:tc>
          <w:tcPr>
            <w:tcW w:w="1360" w:type="dxa"/>
            <w:vAlign w:val="bottom"/>
            <w:shd w:val="clear" w:color="auto" w:fill="DDDDDD"/>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9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200" w:type="dxa"/>
            <w:vAlign w:val="bottom"/>
            <w:tcBorders>
              <w:bottom w:val="single" w:sz="8" w:color="DDDDDD"/>
            </w:tcBorders>
          </w:tcPr>
          <w:p>
            <w:pPr>
              <w:spacing w:after="0"/>
              <w:rPr>
                <w:sz w:val="18"/>
                <w:szCs w:val="18"/>
                <w:color w:val="auto"/>
              </w:rPr>
            </w:pPr>
          </w:p>
        </w:tc>
        <w:tc>
          <w:tcPr>
            <w:tcW w:w="1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594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tax provision (benefit) and effective income tax rate</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188,382</w:t>
            </w:r>
          </w:p>
        </w:tc>
        <w:tc>
          <w:tcPr>
            <w:tcW w:w="200" w:type="dxa"/>
            <w:vAlign w:val="bottom"/>
            <w:tcBorders>
              <w:bottom w:val="single" w:sz="8" w:color="DDDDDD"/>
            </w:tcBorders>
            <w:shd w:val="clear" w:color="auto" w:fill="DDDDDD"/>
          </w:tcPr>
          <w:p>
            <w:pPr>
              <w:spacing w:after="0"/>
              <w:rPr>
                <w:sz w:val="18"/>
                <w:szCs w:val="18"/>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700" w:right="80" w:hanging="317"/>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Oregon, and Texas made up the majority (greater than 50%) of the tax effect in this category.</w:t>
      </w:r>
    </w:p>
    <w:p>
      <w:pPr>
        <w:spacing w:after="0" w:line="162"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for the years ended December 29, 2024, and December 31, 2023, prior to the adoption of ASU 2023-09, the table below is a reconciliation of the components that caused the Company's benefit (provision) for income taxes to differ from amounts computed by applying the U.S. federal statutory rate of 21%:</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6700" w:type="dxa"/>
            <w:vAlign w:val="bottom"/>
            <w:tcBorders>
              <w:bottom w:val="single" w:sz="8" w:color="DDDDDD"/>
            </w:tcBorders>
          </w:tcPr>
          <w:p>
            <w:pPr>
              <w:spacing w:after="0"/>
              <w:rPr>
                <w:sz w:val="14"/>
                <w:szCs w:val="14"/>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DDDDDD"/>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Non-deductible equity-based compensation expense</w:t>
            </w:r>
          </w:p>
        </w:tc>
        <w:tc>
          <w:tcPr>
            <w:tcW w:w="98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DDDDDD"/>
          </w:tcPr>
          <w:p>
            <w:pPr>
              <w:spacing w:after="0"/>
              <w:rPr>
                <w:sz w:val="18"/>
                <w:szCs w:val="18"/>
                <w:color w:val="auto"/>
              </w:rPr>
            </w:pPr>
          </w:p>
        </w:tc>
        <w:tc>
          <w:tcPr>
            <w:tcW w:w="1000" w:type="dxa"/>
            <w:vAlign w:val="bottom"/>
            <w:shd w:val="clear" w:color="auto" w:fill="DDDDDD"/>
          </w:tcPr>
          <w:p>
            <w:pPr>
              <w:jc w:val="right"/>
              <w:ind w:right="112"/>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980" w:type="dxa"/>
            <w:vAlign w:val="bottom"/>
            <w:shd w:val="clear" w:color="auto" w:fill="DDDDDD"/>
          </w:tcPr>
          <w:p>
            <w:pPr>
              <w:jc w:val="right"/>
              <w:ind w:right="15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DDDDDD"/>
          </w:tcPr>
          <w:p>
            <w:pPr>
              <w:spacing w:after="0"/>
              <w:rPr>
                <w:sz w:val="18"/>
                <w:szCs w:val="18"/>
                <w:color w:val="auto"/>
              </w:rPr>
            </w:pPr>
          </w:p>
        </w:tc>
        <w:tc>
          <w:tcPr>
            <w:tcW w:w="1000" w:type="dxa"/>
            <w:vAlign w:val="bottom"/>
            <w:shd w:val="clear" w:color="auto" w:fill="DDDDDD"/>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DDDDDD"/>
          </w:tcPr>
          <w:p>
            <w:pPr>
              <w:spacing w:after="0"/>
              <w:rPr>
                <w:sz w:val="18"/>
                <w:szCs w:val="18"/>
                <w:color w:val="auto"/>
              </w:rPr>
            </w:pPr>
          </w:p>
        </w:tc>
        <w:tc>
          <w:tcPr>
            <w:tcW w:w="1000" w:type="dxa"/>
            <w:vAlign w:val="bottom"/>
            <w:shd w:val="clear" w:color="auto" w:fill="DDDDDD"/>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DDDDDD"/>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6700" w:type="dxa"/>
            <w:vAlign w:val="bottom"/>
            <w:tcBorders>
              <w:bottom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DDDDDD"/>
            </w:tcBorders>
            <w:shd w:val="clear" w:color="auto" w:fill="DDDDDD"/>
          </w:tcPr>
          <w:p>
            <w:pPr>
              <w:spacing w:after="0"/>
              <w:rPr>
                <w:sz w:val="18"/>
                <w:szCs w:val="18"/>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0"/>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(a) temporary differences between the carrying amounts of assets and liabilities for financial reporting purposes and the amount used for income tax purposes, and (b) operating losses and tax credit carryforwards.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9000"/>
          </w:cols>
          <w:pgMar w:left="1440" w:top="1265" w:right="1440" w:bottom="0" w:gutter="0" w:footer="0" w:header="0"/>
          <w:type w:val="continuous"/>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components of the Company’s deferred tax assets and liabilities (in thousands) as of:</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7"/>
        </w:trPr>
        <w:tc>
          <w:tcPr>
            <w:tcW w:w="682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 and allowances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16"/>
        </w:trPr>
        <w:tc>
          <w:tcPr>
            <w:tcW w:w="68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Interest disallowance</w:t>
            </w: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capitalization and other adjustments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68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16"/>
        </w:trPr>
        <w:tc>
          <w:tcPr>
            <w:tcW w:w="68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R&amp;D capitalization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16"/>
        </w:trPr>
        <w:tc>
          <w:tcPr>
            <w:tcW w:w="68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6,469</w:t>
            </w:r>
          </w:p>
        </w:tc>
      </w:tr>
      <w:tr>
        <w:trPr>
          <w:trHeight w:val="216"/>
        </w:trPr>
        <w:tc>
          <w:tcPr>
            <w:tcW w:w="6820" w:type="dxa"/>
            <w:vAlign w:val="bottom"/>
            <w:tcBorders>
              <w:bottom w:val="single" w:sz="8" w:color="DDDDDD"/>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Borders>
              <w:bottom w:val="single" w:sz="8" w:color="DDDDDD"/>
            </w:tcBorders>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0" w:type="dxa"/>
            <w:vAlign w:val="bottom"/>
            <w:tcBorders>
              <w:bottom w:val="single" w:sz="8" w:color="auto"/>
            </w:tcBorders>
            <w:shd w:val="clear" w:color="auto" w:fill="DDDDDD"/>
          </w:tcPr>
          <w:p>
            <w:pPr>
              <w:spacing w:after="0"/>
              <w:rPr>
                <w:sz w:val="19"/>
                <w:szCs w:val="19"/>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20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24,438</w:t>
            </w:r>
          </w:p>
        </w:tc>
      </w:tr>
      <w:tr>
        <w:trPr>
          <w:trHeight w:val="190"/>
        </w:trPr>
        <w:tc>
          <w:tcPr>
            <w:tcW w:w="68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68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DDDDDD"/>
          </w:tcPr>
          <w:p>
            <w:pPr>
              <w:spacing w:after="0"/>
              <w:rPr>
                <w:sz w:val="18"/>
                <w:szCs w:val="18"/>
                <w:color w:val="auto"/>
              </w:rPr>
            </w:pPr>
          </w:p>
        </w:tc>
        <w:tc>
          <w:tcPr>
            <w:tcW w:w="940" w:type="dxa"/>
            <w:vAlign w:val="bottom"/>
            <w:gridSpan w:val="2"/>
            <w:shd w:val="clear" w:color="auto" w:fill="DDDDDD"/>
          </w:tcPr>
          <w:p>
            <w:pPr>
              <w:jc w:val="right"/>
              <w:ind w:right="200"/>
              <w:spacing w:after="0"/>
              <w:rPr>
                <w:sz w:val="20"/>
                <w:szCs w:val="20"/>
                <w:color w:val="auto"/>
              </w:rPr>
            </w:pPr>
            <w:r>
              <w:rPr>
                <w:rFonts w:ascii="Times New Roman" w:cs="Times New Roman" w:eastAsia="Times New Roman" w:hAnsi="Times New Roman"/>
                <w:sz w:val="18"/>
                <w:szCs w:val="18"/>
                <w:color w:val="auto"/>
              </w:rPr>
              <w:t>(4,539)</w:t>
            </w: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right-of-use asset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36"/>
        </w:trPr>
        <w:tc>
          <w:tcPr>
            <w:tcW w:w="68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DDDDDD"/>
          </w:tcPr>
          <w:p>
            <w:pPr>
              <w:spacing w:after="0"/>
              <w:rPr>
                <w:sz w:val="20"/>
                <w:szCs w:val="20"/>
                <w:color w:val="auto"/>
              </w:rPr>
            </w:pPr>
          </w:p>
        </w:tc>
        <w:tc>
          <w:tcPr>
            <w:tcW w:w="940" w:type="dxa"/>
            <w:vAlign w:val="bottom"/>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190"/>
        </w:trPr>
        <w:tc>
          <w:tcPr>
            <w:tcW w:w="6820" w:type="dxa"/>
            <w:vAlign w:val="bottom"/>
            <w:tcBorders>
              <w:top w:val="single" w:sz="8" w:color="DDDDDD"/>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Gross deferred tax liabilities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(8,114)</w:t>
            </w:r>
          </w:p>
        </w:tc>
        <w:tc>
          <w:tcPr>
            <w:tcW w:w="200" w:type="dxa"/>
            <w:vAlign w:val="bottom"/>
            <w:tcBorders>
              <w:top w:val="single" w:sz="8" w:color="DDDDDD"/>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(10,340)</w:t>
            </w:r>
          </w:p>
        </w:tc>
      </w:tr>
      <w:tr>
        <w:trPr>
          <w:trHeight w:val="236"/>
        </w:trPr>
        <w:tc>
          <w:tcPr>
            <w:tcW w:w="68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shd w:val="clear" w:color="auto" w:fill="DDDDDD"/>
          </w:tcPr>
          <w:p>
            <w:pPr>
              <w:spacing w:after="0"/>
              <w:rPr>
                <w:sz w:val="20"/>
                <w:szCs w:val="20"/>
                <w:color w:val="auto"/>
              </w:rPr>
            </w:pPr>
          </w:p>
        </w:tc>
        <w:tc>
          <w:tcPr>
            <w:tcW w:w="940" w:type="dxa"/>
            <w:vAlign w:val="bottom"/>
            <w:gridSpan w:val="2"/>
            <w:shd w:val="clear" w:color="auto" w:fill="DDDDDD"/>
          </w:tcPr>
          <w:p>
            <w:pPr>
              <w:jc w:val="right"/>
              <w:ind w:right="200"/>
              <w:spacing w:after="0"/>
              <w:rPr>
                <w:sz w:val="20"/>
                <w:szCs w:val="20"/>
                <w:color w:val="auto"/>
              </w:rPr>
            </w:pPr>
            <w:r>
              <w:rPr>
                <w:rFonts w:ascii="Times New Roman" w:cs="Times New Roman" w:eastAsia="Times New Roman" w:hAnsi="Times New Roman"/>
                <w:sz w:val="18"/>
                <w:szCs w:val="18"/>
                <w:color w:val="auto"/>
              </w:rPr>
              <w:t>(16,700)</w:t>
            </w:r>
          </w:p>
        </w:tc>
        <w:tc>
          <w:tcPr>
            <w:tcW w:w="20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(14,912)</w:t>
            </w:r>
          </w:p>
        </w:tc>
      </w:tr>
      <w:tr>
        <w:trPr>
          <w:trHeight w:val="190"/>
        </w:trPr>
        <w:tc>
          <w:tcPr>
            <w:tcW w:w="6820" w:type="dxa"/>
            <w:vAlign w:val="bottom"/>
            <w:tcBorders>
              <w:top w:val="single" w:sz="8" w:color="DDDDDD"/>
            </w:tcBorders>
          </w:tcPr>
          <w:p>
            <w:pPr>
              <w:spacing w:after="0" w:line="189" w:lineRule="exact"/>
              <w:rPr>
                <w:sz w:val="20"/>
                <w:szCs w:val="20"/>
                <w:color w:val="auto"/>
              </w:rPr>
            </w:pPr>
            <w:r>
              <w:rPr>
                <w:rFonts w:ascii="Times New Roman" w:cs="Times New Roman" w:eastAsia="Times New Roman" w:hAnsi="Times New Roman"/>
                <w:sz w:val="18"/>
                <w:szCs w:val="18"/>
                <w:color w:val="auto"/>
              </w:rPr>
              <w:t>Net deferred tax assets (liabilities)</w:t>
            </w:r>
          </w:p>
        </w:tc>
        <w:tc>
          <w:tcPr>
            <w:tcW w:w="200" w:type="dxa"/>
            <w:vAlign w:val="bottom"/>
            <w:tcBorders>
              <w:top w:val="single" w:sz="8" w:color="auto"/>
              <w:bottom w:val="single" w:sz="8" w:color="auto"/>
            </w:tcBorders>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(898)</w:t>
            </w:r>
          </w:p>
        </w:tc>
        <w:tc>
          <w:tcPr>
            <w:tcW w:w="200" w:type="dxa"/>
            <w:vAlign w:val="bottom"/>
            <w:tcBorders>
              <w:top w:val="single" w:sz="8" w:color="DDDDDD"/>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(814)</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Net DTLs are included in other noncurrent liabilities on the consolidated balance sheets as of December 28, 2025 and December 29, 2024.</w:t>
      </w:r>
    </w:p>
    <w:p>
      <w:pPr>
        <w:spacing w:after="0" w:line="162" w:lineRule="exact"/>
        <w:rPr>
          <w:sz w:val="20"/>
          <w:szCs w:val="20"/>
          <w:color w:val="auto"/>
        </w:rPr>
      </w:pPr>
    </w:p>
    <w:p>
      <w:pPr>
        <w:jc w:val="both"/>
        <w:ind w:left="40" w:right="60" w:firstLine="370"/>
        <w:spacing w:after="0" w:line="254"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is required to be recorded as an asset to the extent that management assesses the realization is “more likely than not.” Realization of the future tax benefit is dependent on the Company’s ability to generate sufficient taxable income within the carryforward period. A valuation allowance is recognized if, based on the weight of available evidence, it is more-likely-than-not that some portion, or all, of the DTA will not be realized. Management must analyze all available positive and negative evidence regarding realization of the DTAs and assess the likelihood of sufficient future taxable income. The Company has provided a valuation allowance on our federal and state DTAs as we have determined that it is more-likely-than-not that they are not realizable based upon the available evidence such as cumulative taxable income and estimated future taxable income.</w:t>
      </w:r>
    </w:p>
    <w:p>
      <w:pPr>
        <w:spacing w:after="0" w:line="192"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As of December 28, 2025, we had approximately $23.9 million in gross DTAs and $8.1 million in gross DTLs, which resulted in a net DTA of $15.8 million. These DTAs include approximately $5.9 million related to net operating loss carryforwards that can be used to offset taxable income in future periods and reduce our income taxes payable in those future periods. Some of these net operating loss carryforwards will expire if they are not used within certain periods. At this time, based on evidence currently available, we consider it more likely than not that we will not have sufficient taxable income in the future that will allow us to realize the DTAs. Due to the weight of objectively verifiable negative evidence, we established a valuation allowance in the prior year of $14.9 million and increased the allowance to $16.7 million as of December 28, 2025, which reduced the tax benefit recognized in the current year, impacting our results of operations.</w:t>
      </w:r>
    </w:p>
    <w:p>
      <w:pPr>
        <w:spacing w:after="0" w:line="192"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On December 28, 2025, the Company has federal and state net operating loss carryforwards of $22.9 million and $17.6 million, respectively. The federal net operating loss can be carried forward indefinitely and the state net operating loss carryforwards will begin to expire in 2028 if unused. The Company also has state tax credit carryforwards of an immaterial amount. The state tax credits will begin to expire in 2026 if unused. Lastly, the Company currently has $9.4</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9000"/>
          </w:cols>
          <w:pgMar w:left="1440" w:top="1265" w:right="1440" w:bottom="0" w:gutter="0" w:footer="0" w:header="0"/>
          <w:type w:val="continuous"/>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left="40" w:right="60"/>
        <w:spacing w:after="0" w:line="282" w:lineRule="auto"/>
        <w:rPr>
          <w:sz w:val="20"/>
          <w:szCs w:val="20"/>
          <w:color w:val="auto"/>
        </w:rPr>
      </w:pPr>
      <w:r>
        <w:rPr>
          <w:rFonts w:ascii="Times New Roman" w:cs="Times New Roman" w:eastAsia="Times New Roman" w:hAnsi="Times New Roman"/>
          <w:sz w:val="18"/>
          <w:szCs w:val="18"/>
          <w:color w:val="auto"/>
        </w:rPr>
        <w:t>million of a Federal disallowed interest expense carryforward under Section 163(j) of the Internal Revenue Code, which can be carried forward indefinitely.</w:t>
      </w:r>
    </w:p>
    <w:p>
      <w:pPr>
        <w:spacing w:after="0" w:line="162"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Utilization of our net operating loss carryforwards, interest expense carryforwards, and tax credits may be subject to an annual limitation due to ownership changes that may have occurred or that could occur in the future, as required by Section 382 of the Internal Revenue Code and similar state provisions. These ownership change limitations may limit the amount of net operating loss carryforwards or interest expense carryforwards and tax credits that can be utilized annually to offset future taxable income and tax, respectively.</w:t>
      </w:r>
    </w:p>
    <w:p>
      <w:pPr>
        <w:spacing w:after="0" w:line="183"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As of December 28, 2025, December 29, 2024, and December 31, 2023, the Company’s uncertain tax positions and related accrued interest and penalties were not material. The Company’s policy is to recognize interest and penalties related to unrecognized tax benefits in the financial statements as a component of income tax expense.</w:t>
      </w:r>
    </w:p>
    <w:p>
      <w:pPr>
        <w:spacing w:after="0" w:line="176"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Company’s federal and state income tax returns are generally not subject to examination by taxing authorities for fiscal years before 2022 and 2021, respectively.</w:t>
      </w:r>
    </w:p>
    <w:p>
      <w:pPr>
        <w:spacing w:after="0" w:line="158" w:lineRule="exact"/>
        <w:rPr>
          <w:sz w:val="20"/>
          <w:szCs w:val="20"/>
          <w:color w:val="auto"/>
        </w:rPr>
      </w:pPr>
    </w:p>
    <w:p>
      <w:pPr>
        <w:ind w:left="680" w:hanging="648"/>
        <w:spacing w:after="0"/>
        <w:tabs>
          <w:tab w:leader="none" w:pos="6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Significant Shareholder Relationships</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79" w:lineRule="exact"/>
        <w:rPr>
          <w:sz w:val="20"/>
          <w:szCs w:val="20"/>
          <w:color w:val="auto"/>
        </w:rPr>
      </w:pPr>
    </w:p>
    <w:p>
      <w:pPr>
        <w:ind w:left="680" w:hanging="648"/>
        <w:spacing w:after="0"/>
        <w:tabs>
          <w:tab w:leader="none" w:pos="6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sponsors a participant-directed 401(k) profit sharing plan for employees who have been working at the Company for at least three months and are at least 18 years of age. Participants may make wage-deferred contributions up to the maximum allowed by law. The Company may make discretionary matching contributions annually. The Company made matching contributions of $0.9 million, $1.0 million, and $1.1 million during 2025, 2024 and 2023, respectively.</w:t>
      </w:r>
    </w:p>
    <w:p>
      <w:pPr>
        <w:spacing w:after="0" w:line="176" w:lineRule="exact"/>
        <w:rPr>
          <w:sz w:val="20"/>
          <w:szCs w:val="20"/>
          <w:color w:val="auto"/>
        </w:rPr>
      </w:pPr>
    </w:p>
    <w:p>
      <w:pPr>
        <w:ind w:left="680" w:hanging="648"/>
        <w:spacing w:after="0"/>
        <w:tabs>
          <w:tab w:leader="none" w:pos="6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40"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identifies operating segments based on whether the Company’s Chief Executive Officer, who is the Chief Operating Decision Maker (“CODM”), regularly reviews operating results of particular components of the Company’s activities and allocates resources and assesses performance based on those results. The Company has one reportable segment related to the sale of merchandise directly to end customers. Sales to wholesale customers are less than 10% of total revenue and therefore do not require separate disclosure as a reportable segment. All long-lived assets are located in the U.S. and substantially all revenue is attributable to customers based in the U.S. International sales are not significant.</w:t>
      </w:r>
    </w:p>
    <w:p>
      <w:pPr>
        <w:spacing w:after="0" w:line="18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of the one reportable segment are the same as those described in the summary of significant accounting policies. The measurement of segment assets is reported on the consolidated balance sheet as total consolidated assets. All assets, liabilities, cash flows, revenue and expenses are reported in the Company’s one reportable segment. When evaluating the Company’s financial performance and making strategic decisions, the CODM focuses their review of expenses incurred by the nature of those expenses.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9000"/>
          </w:cols>
          <w:pgMar w:left="1440" w:top="1265" w:right="1440" w:bottom="0" w:gutter="0" w:footer="0" w:header="0"/>
          <w:type w:val="continuous"/>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228"/>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9"/>
                <w:szCs w:val="19"/>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7"/>
                <w:szCs w:val="17"/>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210"/>
        </w:trPr>
        <w:tc>
          <w:tcPr>
            <w:tcW w:w="5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51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282,284</w:t>
            </w:r>
          </w:p>
        </w:tc>
        <w:tc>
          <w:tcPr>
            <w:tcW w:w="24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315,887</w:t>
            </w:r>
          </w:p>
        </w:tc>
        <w:tc>
          <w:tcPr>
            <w:tcW w:w="220" w:type="dxa"/>
            <w:vAlign w:val="bottom"/>
            <w:shd w:val="clear" w:color="auto" w:fill="DDDDDD"/>
          </w:tcPr>
          <w:p>
            <w:pPr>
              <w:spacing w:after="0"/>
              <w:rPr>
                <w:sz w:val="18"/>
                <w:szCs w:val="18"/>
                <w:color w:val="auto"/>
              </w:rPr>
            </w:pP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355,175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2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185,639</w:t>
            </w:r>
          </w:p>
        </w:tc>
        <w:tc>
          <w:tcPr>
            <w:tcW w:w="2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206,949</w:t>
            </w:r>
          </w:p>
        </w:tc>
      </w:tr>
      <w:tr>
        <w:trPr>
          <w:trHeight w:val="199"/>
        </w:trPr>
        <w:tc>
          <w:tcPr>
            <w:tcW w:w="514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Employee expenses (excluding equity-based compensation</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53,791</w:t>
            </w:r>
          </w:p>
        </w:tc>
      </w:tr>
      <w:tr>
        <w:trPr>
          <w:trHeight w:val="216"/>
        </w:trPr>
        <w:tc>
          <w:tcPr>
            <w:tcW w:w="51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17,694</w:t>
            </w: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expenses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58,481</w:t>
            </w:r>
          </w:p>
        </w:tc>
      </w:tr>
      <w:tr>
        <w:trPr>
          <w:trHeight w:val="216"/>
        </w:trPr>
        <w:tc>
          <w:tcPr>
            <w:tcW w:w="51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DDDDDD"/>
          </w:tcPr>
          <w:p>
            <w:pPr>
              <w:spacing w:after="0"/>
              <w:rPr>
                <w:sz w:val="18"/>
                <w:szCs w:val="18"/>
                <w:color w:val="auto"/>
              </w:rPr>
            </w:pPr>
          </w:p>
        </w:tc>
        <w:tc>
          <w:tcPr>
            <w:tcW w:w="1200" w:type="dxa"/>
            <w:vAlign w:val="bottom"/>
            <w:gridSpan w:val="2"/>
            <w:shd w:val="clear" w:color="auto" w:fill="DDDDDD"/>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2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 costs (1)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w:t>
            </w:r>
          </w:p>
        </w:tc>
      </w:tr>
      <w:tr>
        <w:trPr>
          <w:trHeight w:val="216"/>
        </w:trPr>
        <w:tc>
          <w:tcPr>
            <w:tcW w:w="51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(2)</w:t>
            </w:r>
          </w:p>
        </w:tc>
        <w:tc>
          <w:tcPr>
            <w:tcW w:w="12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6"/>
        </w:trPr>
        <w:tc>
          <w:tcPr>
            <w:tcW w:w="5140" w:type="dxa"/>
            <w:vAlign w:val="bottom"/>
            <w:tcBorders>
              <w:bottom w:val="single" w:sz="8" w:color="DDDDDD"/>
            </w:tcBorders>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shd w:val="clear" w:color="auto" w:fill="DDDDDD"/>
          </w:tcPr>
          <w:p>
            <w:pPr>
              <w:spacing w:after="0"/>
              <w:rPr>
                <w:sz w:val="20"/>
                <w:szCs w:val="20"/>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20" w:type="dxa"/>
            <w:vAlign w:val="bottom"/>
            <w:tcBorders>
              <w:bottom w:val="single" w:sz="8" w:color="DDDDDD"/>
            </w:tcBorders>
            <w:shd w:val="clear" w:color="auto" w:fill="DDDDDD"/>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190"/>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Segment net loss</w:t>
            </w:r>
          </w:p>
        </w:tc>
        <w:tc>
          <w:tcPr>
            <w:tcW w:w="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(13,713)</w:t>
            </w:r>
          </w:p>
        </w:tc>
        <w:tc>
          <w:tcPr>
            <w:tcW w:w="24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(55,286)</w:t>
            </w:r>
          </w:p>
        </w:tc>
        <w:tc>
          <w:tcPr>
            <w:tcW w:w="22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(19,334)</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700" w:right="380" w:hanging="317"/>
        <w:spacing w:after="0" w:line="257" w:lineRule="auto"/>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categories.</w:t>
      </w:r>
    </w:p>
    <w:p>
      <w:pPr>
        <w:spacing w:after="0" w:line="1" w:lineRule="exact"/>
        <w:rPr>
          <w:rFonts w:ascii="Times New Roman" w:cs="Times New Roman" w:eastAsia="Times New Roman" w:hAnsi="Times New Roman"/>
          <w:sz w:val="18"/>
          <w:szCs w:val="18"/>
          <w:color w:val="auto"/>
        </w:rPr>
      </w:pPr>
    </w:p>
    <w:p>
      <w:pPr>
        <w:ind w:left="700" w:hanging="317"/>
        <w:spacing w:after="0"/>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expense related to distribution facilities recorded in cost of revenue.</w:t>
      </w:r>
    </w:p>
    <w:p>
      <w:pPr>
        <w:spacing w:after="0" w:line="202" w:lineRule="exact"/>
        <w:rPr>
          <w:rFonts w:ascii="Times New Roman" w:cs="Times New Roman" w:eastAsia="Times New Roman" w:hAnsi="Times New Roman"/>
          <w:sz w:val="18"/>
          <w:szCs w:val="18"/>
          <w:color w:val="auto"/>
        </w:rPr>
      </w:pPr>
    </w:p>
    <w:p>
      <w:pPr>
        <w:ind w:left="680" w:hanging="648"/>
        <w:spacing w:after="0"/>
        <w:tabs>
          <w:tab w:leader="none" w:pos="6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Permanent Chief Financial Officer</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On February 3, 2026, the Company appointed Heidi Crane as its permanent Chief Financial Officer (“CFO”), effective February 4, 2026 (“CFO Effective Date”). Ms. Crane served as the Company’s fractional CFO beginning in October 2025. Upon the CFO Effective Date, Ms. Crane transitioned to a full-time employee of the Company, as well as its principal financial officer and principal accounting officer.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to U.S. Trade Policy</w:t>
      </w:r>
    </w:p>
    <w:p>
      <w:pPr>
        <w:spacing w:after="0" w:line="229" w:lineRule="exact"/>
        <w:rPr>
          <w:sz w:val="20"/>
          <w:szCs w:val="20"/>
          <w:color w:val="auto"/>
        </w:rPr>
      </w:pPr>
    </w:p>
    <w:p>
      <w:pPr>
        <w:jc w:val="both"/>
        <w:ind w:left="40" w:right="60" w:firstLine="324"/>
        <w:spacing w:after="0" w:line="253" w:lineRule="auto"/>
        <w:rPr>
          <w:sz w:val="20"/>
          <w:szCs w:val="20"/>
          <w:color w:val="auto"/>
        </w:rPr>
      </w:pPr>
      <w:r>
        <w:rPr>
          <w:rFonts w:ascii="Times New Roman" w:cs="Times New Roman" w:eastAsia="Times New Roman" w:hAnsi="Times New Roman"/>
          <w:sz w:val="18"/>
          <w:szCs w:val="18"/>
          <w:color w:val="auto"/>
        </w:rPr>
        <w:t>On February 20, 2026, the U.S. Supreme Court issued a ruling striking down certain tariffs previously imposed under IEEPA. The ultimate availability, timing and amount of any potential refunds of such tariffs remain highly uncertain and are subject to further legal, regulatory and administrative developments. Following the Supreme Court’s decision, the Trump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any potential refunds, tariff levels and whether further additional tariffs or other retaliatory actions may be imposed, modified or suspended, and the impact of such actions on the Company's business or its suppliers. The Company continues to monitor and evaluate these developments and assess their potential impact on the Company’s business, suppliers, financial condition and results of operations.</w:t>
      </w:r>
    </w:p>
    <w:p>
      <w:pPr>
        <w:sectPr>
          <w:pgSz w:w="11880" w:h="15480" w:orient="portrait"/>
          <w:cols w:equalWidth="0" w:num="1">
            <w:col w:w="9000"/>
          </w:cols>
          <w:pgMar w:left="1440" w:top="1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9000"/>
          </w:cols>
          <w:pgMar w:left="1440" w:top="1265" w:right="1440" w:bottom="0" w:gutter="0" w:footer="0" w:header="0"/>
          <w:type w:val="continuous"/>
        </w:sectPr>
      </w:pPr>
    </w:p>
    <w:bookmarkStart w:id="101" w:name="page102"/>
    <w:bookmarkEnd w:id="101"/>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40" w:right="60" w:firstLine="324"/>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13a-15(e) and Rule 15d-15(e) under the Securities Exchange Act of 1934, as amended, as of December 28, 2025. Based on that evaluation, our Chief Executive Officer and Chief Financial Officer concluded that our disclosure controls and procedures were effective as of December 28, 2025, such that the information required to be included in our SEC reports is: (i) recorded, processed, summarized and reported within the time periods specified in SEC rules and forms relating to the Company, including our consolidated subsidiaries; and (ii)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preparation of reliable financial statements in accordance with U.S. GAAP.</w:t>
      </w:r>
    </w:p>
    <w:p>
      <w:pPr>
        <w:spacing w:after="0" w:line="180"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183" w:lineRule="exact"/>
        <w:rPr>
          <w:sz w:val="20"/>
          <w:szCs w:val="20"/>
          <w:color w:val="auto"/>
        </w:rPr>
      </w:pPr>
    </w:p>
    <w:p>
      <w:pPr>
        <w:jc w:val="both"/>
        <w:ind w:left="40" w:right="6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on criteria established in </w:t>
      </w:r>
      <w:r>
        <w:rPr>
          <w:rFonts w:ascii="PMingLiU" w:cs="PMingLiU" w:eastAsia="PMingLiU" w:hAnsi="PMingLiU"/>
          <w:sz w:val="18"/>
          <w:szCs w:val="18"/>
          <w:i w:val="1"/>
          <w:iCs w:val="1"/>
          <w:color w:val="auto"/>
        </w:rPr>
        <w:t>,QWHUQDO &amp;RQWURO  ,QWHJUDWHG )UDPHZRUN </w:t>
      </w:r>
      <w:r>
        <w:rPr>
          <w:rFonts w:ascii="Times New Roman" w:cs="Times New Roman" w:eastAsia="Times New Roman" w:hAnsi="Times New Roman"/>
          <w:sz w:val="18"/>
          <w:szCs w:val="18"/>
          <w:color w:val="auto"/>
        </w:rPr>
        <w:t>issued by the Committee of Sponsoring Organizations of the Treadway Commission (COSO). Based on that evaluation under the COSO criteria, management determined that our internal control over financial reporting was effective as of December 28, 2025.</w:t>
      </w:r>
    </w:p>
    <w:p>
      <w:pPr>
        <w:spacing w:after="0" w:line="201" w:lineRule="exact"/>
        <w:rPr>
          <w:sz w:val="20"/>
          <w:szCs w:val="20"/>
          <w:color w:val="auto"/>
        </w:rPr>
      </w:pPr>
    </w:p>
    <w:p>
      <w:pPr>
        <w:jc w:val="both"/>
        <w:ind w:left="40" w:right="60"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internal controls over financial reporting by our independent registered accounting firm. Our independent registered accounting firm will not be required to opine on the effectiveness of our internal control over financial reporting pursuant to Section 404 until we are no longer an emerging growth company as defined in the JOBS Act.</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9000"/>
          </w:cols>
          <w:pgMar w:left="1440" w:top="1440" w:right="1440" w:bottom="0" w:gutter="0" w:footer="0" w:header="0"/>
          <w:type w:val="continuous"/>
        </w:sectPr>
      </w:pPr>
    </w:p>
    <w:bookmarkStart w:id="102" w:name="page103"/>
    <w:bookmarkEnd w:id="102"/>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40" w:right="6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28, 2025 that have materially affected, or are reasonably likely to materially affect, our internal control over financial reporting.</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jc w:val="both"/>
        <w:ind w:left="40" w:right="80" w:firstLine="324"/>
        <w:spacing w:after="0" w:line="280" w:lineRule="auto"/>
        <w:rPr>
          <w:sz w:val="20"/>
          <w:szCs w:val="20"/>
          <w:color w:val="auto"/>
        </w:rPr>
      </w:pPr>
      <w:r>
        <w:rPr>
          <w:rFonts w:ascii="Times New Roman" w:cs="Times New Roman" w:eastAsia="Times New Roman" w:hAnsi="Times New Roman"/>
          <w:sz w:val="18"/>
          <w:szCs w:val="18"/>
          <w:color w:val="auto"/>
        </w:rPr>
        <w:t>During the fourth quarter of 2024, no director or officer of the Company adopted or terminated a “Rule 10b5-1 trading arrangement” or a “non-Rule 10b5-1 trading arrangement” (in each case, as defined in Item 408 of Regulation S-K)</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9000"/>
          </w:cols>
          <w:pgMar w:left="1440" w:top="1440" w:right="1440" w:bottom="0" w:gutter="0" w:footer="0" w:header="0"/>
          <w:type w:val="continuous"/>
        </w:sectPr>
      </w:pPr>
    </w:p>
    <w:bookmarkStart w:id="103" w:name="page104"/>
    <w:bookmarkEnd w:id="103"/>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40" w:right="6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We have adopted a written code of ethics, titled “Code of Business Conduct and Ethics,” that applies to all of our directors, officers and employees, including our principal executive officer, principal financial officer, principal accounting officer and controller, or persons performing similar functions. Our Code of Business Conduct and Ethics is available on our Investor Relations website, which is located at </w:t>
      </w:r>
      <w:r>
        <w:rPr>
          <w:rFonts w:ascii="PMingLiU" w:cs="PMingLiU" w:eastAsia="PMingLiU" w:hAnsi="PMingLiU"/>
          <w:sz w:val="18"/>
          <w:szCs w:val="18"/>
          <w:i w:val="1"/>
          <w:iCs w:val="1"/>
          <w:color w:val="auto"/>
        </w:rPr>
        <w:t>KWWSVLQYHVWRUVOXOXVFRP</w:t>
      </w:r>
      <w:r>
        <w:rPr>
          <w:rFonts w:ascii="Times New Roman" w:cs="Times New Roman" w:eastAsia="Times New Roman" w:hAnsi="Times New Roman"/>
          <w:sz w:val="18"/>
          <w:szCs w:val="18"/>
          <w:color w:val="auto"/>
        </w:rPr>
        <w:t>. We intend to post on our website all disclosures that are required by law or Nasdaq listing standards concerning any amendments to our Code of Business Conduct and Ethics.</w:t>
      </w:r>
    </w:p>
    <w:p>
      <w:pPr>
        <w:spacing w:after="0" w:line="201" w:lineRule="exact"/>
        <w:rPr>
          <w:sz w:val="20"/>
          <w:szCs w:val="20"/>
          <w:color w:val="auto"/>
        </w:rPr>
      </w:pPr>
    </w:p>
    <w:p>
      <w:pPr>
        <w:jc w:val="both"/>
        <w:ind w:left="40" w:right="60" w:firstLine="324"/>
        <w:spacing w:after="0" w:line="258" w:lineRule="auto"/>
        <w:rPr>
          <w:sz w:val="20"/>
          <w:szCs w:val="20"/>
          <w:color w:val="auto"/>
        </w:rPr>
      </w:pPr>
      <w:r>
        <w:rPr>
          <w:rFonts w:ascii="Times New Roman" w:cs="Times New Roman" w:eastAsia="Times New Roman" w:hAnsi="Times New Roman"/>
          <w:sz w:val="18"/>
          <w:szCs w:val="18"/>
          <w:color w:val="auto"/>
        </w:rPr>
        <w:t>We have also adopted an Insider Trading Compliance Policy, which applies to all of our directors, officers and employees. We believe our Insider Trading Compliance Policy is reasonably designed to promote compliance with insider trading laws, rules, and regulations, and Nasdaq listing standards applicable to the Company. A copy of our Insider Trading Compliance Policy was filed as Exhibit 19 to the Company’s Annual Report on Form 10-K for the fiscal year ended December 29, 2024, which exhibit is incorporated by reference herein.</w:t>
      </w:r>
    </w:p>
    <w:p>
      <w:pPr>
        <w:spacing w:after="0" w:line="183"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Company’s Proxy Statement for its 2026 Annual Meeting of Stockholders.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2026 Annual Meeting of Stockholders.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2026 Annual Meeting of Stockholders.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2026 Annual Meeting of Stockholders.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34), is incorporated herein by reference to the Company’s Proxy Statement for its 2026 Annual Meeting of Stockholders.</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9000"/>
          </w:cols>
          <w:pgMar w:left="1440" w:top="1440" w:right="1440" w:bottom="0" w:gutter="0" w:footer="0" w:header="0"/>
          <w:type w:val="continuous"/>
        </w:sectPr>
      </w:pPr>
    </w:p>
    <w:bookmarkStart w:id="104" w:name="page105"/>
    <w:bookmarkEnd w:id="104"/>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left="360" w:hanging="328"/>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1040" w:right="80" w:hanging="333"/>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are filed as part of this Annual Report on Form 10-K under, Part II, “Item 8. Financial Statements and Supplementary Data.”</w:t>
      </w:r>
    </w:p>
    <w:p>
      <w:pPr>
        <w:spacing w:after="0" w:line="161" w:lineRule="exact"/>
        <w:rPr>
          <w:rFonts w:ascii="Times New Roman" w:cs="Times New Roman" w:eastAsia="Times New Roman" w:hAnsi="Times New Roman"/>
          <w:sz w:val="18"/>
          <w:szCs w:val="18"/>
          <w:color w:val="auto"/>
        </w:rPr>
      </w:pPr>
    </w:p>
    <w:p>
      <w:pPr>
        <w:jc w:val="both"/>
        <w:ind w:left="1040" w:right="80" w:hanging="333"/>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omitted because they are either not applicable, or the required information is included in the consolidated financial statements or notes thereto under Part II, “Item 8. Financial Statements and Supplementary Data” in this Annual Report on Form 10-K</w:t>
      </w:r>
    </w:p>
    <w:p>
      <w:pPr>
        <w:spacing w:after="0" w:line="175" w:lineRule="exact"/>
        <w:rPr>
          <w:rFonts w:ascii="Times New Roman" w:cs="Times New Roman" w:eastAsia="Times New Roman" w:hAnsi="Times New Roman"/>
          <w:sz w:val="18"/>
          <w:szCs w:val="18"/>
          <w:color w:val="auto"/>
        </w:rPr>
      </w:pPr>
    </w:p>
    <w:p>
      <w:pPr>
        <w:ind w:left="1040" w:right="80" w:hanging="333"/>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Annual Report on Form 10-K.</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80" w:type="dxa"/>
            <w:vAlign w:val="bottom"/>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6"/>
                <w:szCs w:val="16"/>
                <w:color w:val="auto"/>
              </w:rPr>
            </w:pPr>
          </w:p>
        </w:tc>
        <w:tc>
          <w:tcPr>
            <w:tcW w:w="34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vMerge w:val="restart"/>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vMerge w:val="restart"/>
          </w:tcPr>
          <w:p>
            <w:pPr>
              <w:spacing w:after="0"/>
              <w:rPr>
                <w:sz w:val="5"/>
                <w:szCs w:val="5"/>
                <w:color w:val="auto"/>
              </w:rPr>
            </w:pPr>
          </w:p>
        </w:tc>
        <w:tc>
          <w:tcPr>
            <w:tcW w:w="34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 of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the Amended and</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06/26/2025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 dated as of June 26, 2025.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Lulu’s</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Fashion Lounge Holdings, Inc.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Rights Agreement, dated as of April</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2018, among the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the Investors listed on Schedule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thereto, Lulu’s Holdings, L.P. and LFL</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Corp.</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the Registrant’s Securities</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Omnibus Equity Plan and Form of Stock</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Agreement and Restricted Stock Unit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Award Agreement (Evidencing</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Received in Respect of Class P</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Equity Incentive Plan</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Agreement and Grant Notice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the Registrant and David W.</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McCreight under the 2021 Equity Incentive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Agreement, dated as of January 7, 2019,</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Chrin-Carson Development, LLC and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9000"/>
          </w:cols>
          <w:pgMar w:left="1440" w:top="1440" w:right="1440" w:bottom="0" w:gutter="0" w:footer="0" w:header="0"/>
          <w:type w:val="continuous"/>
        </w:sectPr>
      </w:pPr>
    </w:p>
    <w:bookmarkStart w:id="105" w:name="page106"/>
    <w:bookmarkEnd w:id="105"/>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80" w:type="dxa"/>
            <w:vAlign w:val="bottom"/>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vMerge w:val="restart"/>
          </w:tcPr>
          <w:p>
            <w:pPr>
              <w:spacing w:after="0"/>
              <w:rPr>
                <w:sz w:val="5"/>
                <w:szCs w:val="5"/>
                <w:color w:val="auto"/>
              </w:rPr>
            </w:pPr>
          </w:p>
        </w:tc>
        <w:tc>
          <w:tcPr>
            <w:tcW w:w="34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Lease, dated as of</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333-260194</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2019, between Chrin-Carson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LLC and the Registrant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Rights Agreement among the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 and certain of its stockholders, dated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Agreement among the Registrant,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 Growth Partners—Lulu’s, L.P., entities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affiliated with IVP and Canada Pension Plan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Board, dated November 10, 2021.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by and among Lulu’s</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Fashion Lounge, LLC,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and Mark Vos, dated May 12,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Master Fulfillment System Acquisition &amp;</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 Agreement, dated as of</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24, 2021, between 6 River Systems,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and Lulu’s Fashion Lounge, LLC</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4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5/17/2022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Lease Agreement, dated as of</w:t>
            </w:r>
          </w:p>
        </w:tc>
        <w:tc>
          <w:tcPr>
            <w:tcW w:w="6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 2021, between Adaya Slover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LLC, and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Lulu's Fashion Lounge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2021 Equity Incentive Plan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Agreement, dated as of February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2023, between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and David W. McCreight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March 5,</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03/06/2023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among Lulu's Fashion Lounge Holdings,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 Lulu's Fashion Lounge, LLC and Crystal</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Landsem</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to Employment Agreement, dated</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03/06/2023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5, 2023, among Lulu's Fashion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Lounge Holdings, Inc,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and Mark Vos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2021 Employee Stock Purchase Plan</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03/14/2023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Lease Agreement, dated as of June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08/08/2023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 2023, between 8303-8315 Melrose Ave,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Melrose Investment Group LLC and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Lulu’s Fashion Lounge, LLC</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06/14/2023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to Lulu's Fashion Lounge</w:t>
            </w:r>
          </w:p>
        </w:tc>
        <w:tc>
          <w:tcPr>
            <w:tcW w:w="680" w:type="dxa"/>
            <w:vAlign w:val="bottom"/>
            <w:gridSpan w:val="2"/>
            <w:vMerge w:val="continue"/>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Omnibus Equity Plan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Amendment to Employment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01/10/2024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dated as of January 9, 2024, among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Lulu's Fashion Lounge Holdings, Inc., Lulu's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Fashion Lounge, LLC and Mark Vos.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-5897245</wp:posOffset>
            </wp:positionV>
            <wp:extent cx="2768600" cy="5897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8600" cy="5897880"/>
                    </a:xfrm>
                    <a:prstGeom prst="rect">
                      <a:avLst/>
                    </a:prstGeom>
                    <a:noFill/>
                  </pic:spPr>
                </pic:pic>
              </a:graphicData>
            </a:graphic>
          </wp:anchor>
        </w:drawing>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9000"/>
          </w:cols>
          <w:pgMar w:left="1440" w:top="1440" w:right="1440" w:bottom="0" w:gutter="0" w:footer="0" w:header="0"/>
          <w:type w:val="continuous"/>
        </w:sectPr>
      </w:pPr>
    </w:p>
    <w:bookmarkStart w:id="106" w:name="page107"/>
    <w:bookmarkEnd w:id="106"/>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80" w:type="dxa"/>
            <w:vAlign w:val="bottom"/>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65"/>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vMerge w:val="restart"/>
          </w:tcPr>
          <w:p>
            <w:pPr>
              <w:spacing w:after="0"/>
              <w:rPr>
                <w:sz w:val="5"/>
                <w:szCs w:val="5"/>
                <w:color w:val="auto"/>
              </w:rPr>
            </w:pPr>
          </w:p>
        </w:tc>
        <w:tc>
          <w:tcPr>
            <w:tcW w:w="34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5"/>
                <w:szCs w:val="5"/>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Performance Stock Unit Award Grant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01/10/2024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and Performance Stock Unit Award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03/06/2024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December</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001-41059</w:t>
            </w: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2023, among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Lulu's Fashion Lounge, 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Ms. Holt.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Amendment to Lulu’s Fashion Lounge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05/14/2025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Non-Employee Director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Program.</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Amendment to Lease, dated as of May</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05/14/2025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2025, between Chrin-Carson Development,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and the Registrant.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and Security Agreement, dated as of</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2025, among Lulu's Fashion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Lounge Holdings, Inc.,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LLC and Lulu's Fashion Lounge, 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borrowers, White Oak Commercial Finance,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as administrative agent, and the lenders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 thereto.***</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11/12/2025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Loan and Security</w:t>
            </w:r>
          </w:p>
        </w:tc>
        <w:tc>
          <w:tcPr>
            <w:tcW w:w="6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dated October 28, 2025, among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Lulu's Fashion Lounge Holdings, Inc., Lulu's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Fashion Lounge Parent, LLC and Lulu's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Fashion Lounge, LLC, as borrowers, White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 Commercial Finance, LLC, as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agent, and the lenders party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thereto.</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Project Details #2 to the Master</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Services Agreement, dated October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2025, between Lulu's Fashion Lounge, 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Business Talent Group, 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1 to Consulting Project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01/22/2026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No. 2 to the Master Consulting Services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dated January 22, 2026, between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Lulu’s Fashion Lounge, LLC and Business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Talent Group, 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February</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02/05/2026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2026, among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Inc., Lulu's Fashion Lounge, 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Heidi Crane.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Master Fulfillment System</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&amp; Software License Agreement,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as of March 1, 2026, between 6 River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Systems, LLC and Lulu’s Fashion Lounge,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Insider Trading Compliance Policy</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001-41059</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03/27/2025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-6583045</wp:posOffset>
            </wp:positionV>
            <wp:extent cx="2768600" cy="6583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68600" cy="6583680"/>
                    </a:xfrm>
                    <a:prstGeom prst="rect">
                      <a:avLst/>
                    </a:prstGeom>
                    <a:noFill/>
                  </pic:spPr>
                </pic:pic>
              </a:graphicData>
            </a:graphic>
          </wp:anchor>
        </w:drawing>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9000"/>
          </w:cols>
          <w:pgMar w:left="1440" w:top="1440" w:right="1440" w:bottom="0" w:gutter="0" w:footer="0" w:header="0"/>
          <w:type w:val="continuous"/>
        </w:sectPr>
      </w:pPr>
    </w:p>
    <w:bookmarkStart w:id="107" w:name="page108"/>
    <w:bookmarkEnd w:id="107"/>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07"/>
        </w:trPr>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Consent of Independent Registered Public</w:t>
            </w: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Firm</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Rule 13a-14(a)/15d-14(a).</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Rule 13a-14(a)/15d-14(a).</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18 U.S.C. Section 1350.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-1370965</wp:posOffset>
            </wp:positionV>
            <wp:extent cx="2768600" cy="3291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8600" cy="3291840"/>
                    </a:xfrm>
                    <a:prstGeom prst="rect">
                      <a:avLst/>
                    </a:prstGeom>
                    <a:noFill/>
                  </pic:spPr>
                </pic:pic>
              </a:graphicData>
            </a:graphic>
          </wp:anchor>
        </w:drawing>
      </w:r>
    </w:p>
    <w:p>
      <w:pPr>
        <w:ind w:left="940" w:right="620" w:hanging="908"/>
        <w:spacing w:after="0" w:line="250"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for the Recovery of Erroneously Awarded Compensation</w:t>
      </w:r>
    </w:p>
    <w:tbl>
      <w:tblPr>
        <w:tblLayout w:type="fixed"/>
        <w:tblInd w:w="40" w:type="dxa"/>
        <w:tblCellMar>
          <w:top w:w="0" w:type="dxa"/>
          <w:left w:w="0" w:type="dxa"/>
          <w:bottom w:w="0" w:type="dxa"/>
          <w:right w:w="0" w:type="dxa"/>
        </w:tblCellMar>
      </w:tblPr>
      <w:tr>
        <w:trPr>
          <w:trHeight w:val="198"/>
        </w:trPr>
        <w:tc>
          <w:tcPr>
            <w:tcW w:w="7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101.INS</w:t>
            </w:r>
          </w:p>
        </w:tc>
        <w:tc>
          <w:tcPr>
            <w:tcW w:w="352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w w:val="99"/>
              </w:rPr>
              <w:t>Inline XBRL Instance Document - the instance</w:t>
            </w:r>
          </w:p>
        </w:tc>
      </w:tr>
      <w:tr>
        <w:trPr>
          <w:trHeight w:val="216"/>
        </w:trPr>
        <w:tc>
          <w:tcPr>
            <w:tcW w:w="78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r>
      <w:tr>
        <w:trPr>
          <w:trHeight w:val="216"/>
        </w:trPr>
        <w:tc>
          <w:tcPr>
            <w:tcW w:w="78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r>
      <w:tr>
        <w:trPr>
          <w:trHeight w:val="216"/>
        </w:trPr>
        <w:tc>
          <w:tcPr>
            <w:tcW w:w="78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78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Calculation</w:t>
            </w:r>
          </w:p>
        </w:tc>
      </w:tr>
      <w:tr>
        <w:trPr>
          <w:trHeight w:val="216"/>
        </w:trPr>
        <w:tc>
          <w:tcPr>
            <w:tcW w:w="78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78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w:t>
            </w:r>
          </w:p>
        </w:tc>
      </w:tr>
      <w:tr>
        <w:trPr>
          <w:trHeight w:val="216"/>
        </w:trPr>
        <w:tc>
          <w:tcPr>
            <w:tcW w:w="78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780" w:type="dxa"/>
            <w:vAlign w:val="bottom"/>
          </w:tcPr>
          <w:p>
            <w:pPr>
              <w:spacing w:after="0"/>
              <w:rPr>
                <w:sz w:val="20"/>
                <w:szCs w:val="20"/>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Presentation Linkbase Document</w:t>
            </w:r>
          </w:p>
        </w:tc>
      </w:tr>
    </w:tbl>
    <w:p>
      <w:pPr>
        <w:jc w:val="both"/>
        <w:ind w:left="940" w:right="100" w:hanging="908"/>
        <w:spacing w:after="0" w:line="260"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(as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53975</wp:posOffset>
                </wp:positionV>
                <wp:extent cx="141414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414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pt,4.25pt" to="112.85pt,4.25pt" o:allowincell="f" strokecolor="#000000" strokeweight="0.67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52"/>
        </w:trPr>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25"/>
        </w:trPr>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3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001-41059</w:t>
            </w:r>
          </w:p>
        </w:tc>
        <w:tc>
          <w:tcPr>
            <w:tcW w:w="14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03/27/2025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p>
    <w:p>
      <w:pPr>
        <w:spacing w:after="0" w:line="400" w:lineRule="exact"/>
        <w:rPr>
          <w:sz w:val="20"/>
          <w:szCs w:val="20"/>
          <w:color w:val="auto"/>
        </w:rPr>
      </w:pPr>
    </w:p>
    <w:p>
      <w:pPr>
        <w:sectPr>
          <w:pgSz w:w="11880" w:h="15480" w:orient="portrait"/>
          <w:cols w:equalWidth="0" w:num="2">
            <w:col w:w="4400" w:space="120"/>
            <w:col w:w="4480"/>
          </w:cols>
          <w:pgMar w:left="1440" w:top="1440" w:right="1440" w:bottom="0" w:gutter="0" w:footer="0" w:header="0"/>
        </w:sectPr>
      </w:pPr>
    </w:p>
    <w:p>
      <w:pPr>
        <w:ind w:left="680" w:hanging="648"/>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80" w:hanging="648"/>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680" w:hanging="648"/>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Certain portions of this exhibit have been omitted in accordance with Regulation S-K Item 601(b)(10)</w:t>
      </w:r>
    </w:p>
    <w:p>
      <w:pPr>
        <w:spacing w:after="0" w:line="9" w:lineRule="exact"/>
        <w:rPr>
          <w:rFonts w:ascii="Times New Roman" w:cs="Times New Roman" w:eastAsia="Times New Roman" w:hAnsi="Times New Roman"/>
          <w:sz w:val="18"/>
          <w:szCs w:val="18"/>
          <w:color w:val="auto"/>
        </w:rPr>
      </w:pPr>
    </w:p>
    <w:p>
      <w:pPr>
        <w:jc w:val="both"/>
        <w:ind w:left="680" w:right="60"/>
        <w:spacing w:after="0" w:line="250" w:lineRule="auto"/>
        <w:tabs>
          <w:tab w:leader="none" w:pos="10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 Additionally, certain schedules and exhibits to this exhibit have been omitted pursuant to Item 601 of Regulation S-K. The Company hereby undertakes to furnish copies of any of the omitted schedules or exhibits to the SEC upon request by the SEC; provided that the Company may request confidential treatment pursuant to Rule 24b-2 of The Securities Exchange Act of 1934, as amended, for any schedules or exhibits so</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furnished.</w:t>
      </w:r>
    </w:p>
    <w:p>
      <w:pPr>
        <w:spacing w:after="0" w:line="6" w:lineRule="exact"/>
        <w:rPr>
          <w:sz w:val="20"/>
          <w:szCs w:val="20"/>
          <w:color w:val="auto"/>
        </w:rPr>
      </w:pPr>
    </w:p>
    <w:p>
      <w:pPr>
        <w:ind w:left="40"/>
        <w:spacing w:after="0" w:line="219" w:lineRule="exact"/>
        <w:tabs>
          <w:tab w:leader="none" w:pos="660" w:val="left"/>
        </w:tabs>
        <w:rPr>
          <w:sz w:val="20"/>
          <w:szCs w:val="20"/>
          <w:color w:val="auto"/>
        </w:rPr>
      </w:pP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
      </w:r>
      <w:r>
        <w:rPr>
          <w:sz w:val="20"/>
          <w:szCs w:val="20"/>
          <w:color w:val="auto"/>
        </w:rPr>
        <w:tab/>
      </w:r>
      <w:r>
        <w:rPr>
          <w:rFonts w:ascii="Times New Roman" w:cs="Times New Roman" w:eastAsia="Times New Roman" w:hAnsi="Times New Roman"/>
          <w:sz w:val="18"/>
          <w:szCs w:val="18"/>
          <w:color w:val="auto"/>
        </w:rPr>
        <w:t>Indicates a management contract or compensatory plan or arrangement</w:t>
      </w:r>
      <w:r>
        <w:rPr>
          <w:rFonts w:ascii="PMingLiU" w:cs="PMingLiU" w:eastAsia="PMingLiU" w:hAnsi="PMingLiU"/>
          <w:sz w:val="18"/>
          <w:szCs w:val="18"/>
          <w:color w:val="auto"/>
        </w:rPr>
        <w:t/>
      </w:r>
    </w:p>
    <w:p>
      <w:pPr>
        <w:sectPr>
          <w:pgSz w:w="11880" w:h="15480" w:orient="portrait"/>
          <w:cols w:equalWidth="0" w:num="1">
            <w:col w:w="9000"/>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9000"/>
          </w:cols>
          <w:pgMar w:left="1440" w:top="1440" w:right="1440" w:bottom="0" w:gutter="0" w:footer="0" w:header="0"/>
          <w:type w:val="continuous"/>
        </w:sectPr>
      </w:pPr>
    </w:p>
    <w:bookmarkStart w:id="108" w:name="page109"/>
    <w:bookmarkEnd w:id="108"/>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ectPr>
          <w:pgSz w:w="11880" w:h="15480" w:orient="portrait"/>
          <w:cols w:equalWidth="0" w:num="1">
            <w:col w:w="9000"/>
          </w:cols>
          <w:pgMar w:left="1440" w:top="1440" w:right="1440" w:bottom="0" w:gutter="0" w:footer="0" w:header="0"/>
        </w:sectPr>
      </w:pP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ectPr>
          <w:pgSz w:w="11880" w:h="15480" w:orient="portrait"/>
          <w:cols w:equalWidth="0" w:num="1">
            <w:col w:w="9000"/>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9000"/>
          </w:cols>
          <w:pgMar w:left="1440" w:top="1440" w:right="1440" w:bottom="0" w:gutter="0" w:footer="0" w:header="0"/>
          <w:type w:val="continuous"/>
        </w:sectPr>
      </w:pPr>
    </w:p>
    <w:bookmarkStart w:id="109" w:name="page110"/>
    <w:bookmarkEnd w:id="109"/>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p>
      <w:pPr>
        <w:spacing w:after="0" w:line="189" w:lineRule="exact"/>
        <w:rPr>
          <w:sz w:val="20"/>
          <w:szCs w:val="20"/>
          <w:color w:val="auto"/>
        </w:rPr>
      </w:pPr>
    </w:p>
    <w:p>
      <w:pPr>
        <w:ind w:left="40"/>
        <w:spacing w:after="0"/>
        <w:tabs>
          <w:tab w:leader="none" w:pos="4480" w:val="left"/>
          <w:tab w:leader="none" w:pos="610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17145</wp:posOffset>
            </wp:positionV>
            <wp:extent cx="2631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780"/>
        <w:spacing w:after="0" w:line="216" w:lineRule="exact"/>
        <w:rPr>
          <w:sz w:val="20"/>
          <w:szCs w:val="20"/>
          <w:color w:val="auto"/>
        </w:rPr>
      </w:pPr>
      <w:r>
        <w:rPr>
          <w:rFonts w:ascii="PMingLiU" w:cs="PMingLiU" w:eastAsia="PMingLiU" w:hAnsi="PMingLiU"/>
          <w:sz w:val="18"/>
          <w:szCs w:val="18"/>
          <w:i w:val="1"/>
          <w:iCs w:val="1"/>
          <w:color w:val="auto"/>
        </w:rPr>
        <w:t>3ULQFLSDO([HFXWLYH2IILFHU</w:t>
      </w:r>
    </w:p>
    <w:p>
      <w:pPr>
        <w:spacing w:after="0" w:line="333" w:lineRule="exact"/>
        <w:rPr>
          <w:sz w:val="20"/>
          <w:szCs w:val="20"/>
          <w:color w:val="auto"/>
        </w:rPr>
      </w:pPr>
    </w:p>
    <w:p>
      <w:pPr>
        <w:ind w:left="40"/>
        <w:spacing w:after="0"/>
        <w:tabs>
          <w:tab w:leader="none" w:pos="4480" w:val="left"/>
          <w:tab w:leader="none" w:pos="628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Heidi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17145</wp:posOffset>
            </wp:positionV>
            <wp:extent cx="2631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b w:val="1"/>
          <w:bCs w:val="1"/>
          <w:color w:val="auto"/>
        </w:rPr>
        <w:t>Heidi Crane</w:t>
      </w:r>
    </w:p>
    <w:p>
      <w:pPr>
        <w:spacing w:after="0" w:line="31"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4700"/>
        <w:spacing w:after="0" w:line="216" w:lineRule="exact"/>
        <w:rPr>
          <w:sz w:val="20"/>
          <w:szCs w:val="20"/>
          <w:color w:val="auto"/>
        </w:rPr>
      </w:pPr>
      <w:r>
        <w:rPr>
          <w:rFonts w:ascii="PMingLiU" w:cs="PMingLiU" w:eastAsia="PMingLiU" w:hAnsi="PMingLiU"/>
          <w:sz w:val="18"/>
          <w:szCs w:val="18"/>
          <w:i w:val="1"/>
          <w:iCs w:val="1"/>
          <w:color w:val="auto"/>
        </w:rPr>
        <w:t>3ULQFLSDO)LQDQFLDODQG$FFRXQWLQJ2IILFHU</w:t>
      </w:r>
    </w:p>
    <w:p>
      <w:pPr>
        <w:spacing w:after="0" w:line="211" w:lineRule="exact"/>
        <w:rPr>
          <w:sz w:val="20"/>
          <w:szCs w:val="20"/>
          <w:color w:val="auto"/>
        </w:rPr>
      </w:pPr>
    </w:p>
    <w:p>
      <w:pPr>
        <w:ind w:left="40" w:right="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38"/>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Crystal Landsem</w:t>
            </w:r>
          </w:p>
        </w:tc>
        <w:tc>
          <w:tcPr>
            <w:tcW w:w="440" w:type="dxa"/>
            <w:vAlign w:val="bottom"/>
            <w:tcBorders>
              <w:bottom w:val="single" w:sz="8" w:color="auto"/>
            </w:tcBorders>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Crystal Landsem</w:t>
            </w:r>
          </w:p>
        </w:tc>
        <w:tc>
          <w:tcPr>
            <w:tcW w:w="44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1600" w:type="dxa"/>
            <w:vAlign w:val="bottom"/>
          </w:tcPr>
          <w:p>
            <w:pPr>
              <w:spacing w:after="0"/>
              <w:rPr>
                <w:sz w:val="19"/>
                <w:szCs w:val="19"/>
                <w:color w:val="auto"/>
              </w:rPr>
            </w:pPr>
          </w:p>
        </w:tc>
      </w:tr>
      <w:tr>
        <w:trPr>
          <w:trHeight w:val="333"/>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Heidi Crane</w:t>
            </w:r>
          </w:p>
        </w:tc>
        <w:tc>
          <w:tcPr>
            <w:tcW w:w="440" w:type="dxa"/>
            <w:vAlign w:val="bottom"/>
            <w:tcBorders>
              <w:bottom w:val="single" w:sz="8" w:color="auto"/>
            </w:tcBorders>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Heidi Crane</w:t>
            </w:r>
          </w:p>
        </w:tc>
        <w:tc>
          <w:tcPr>
            <w:tcW w:w="44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600" w:type="dxa"/>
            <w:vAlign w:val="bottom"/>
          </w:tcPr>
          <w:p>
            <w:pPr>
              <w:spacing w:after="0"/>
              <w:rPr>
                <w:sz w:val="19"/>
                <w:szCs w:val="19"/>
                <w:color w:val="auto"/>
              </w:rPr>
            </w:pPr>
          </w:p>
        </w:tc>
      </w:tr>
      <w:tr>
        <w:trPr>
          <w:trHeight w:val="33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/s/John Black</w:t>
            </w:r>
          </w:p>
        </w:tc>
        <w:tc>
          <w:tcPr>
            <w:tcW w:w="47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Black</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3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 Dara Bazzano</w:t>
            </w:r>
          </w:p>
        </w:tc>
        <w:tc>
          <w:tcPr>
            <w:tcW w:w="4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Board Chair</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Dara Bazzano</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3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Karp</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Evan Karp</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2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 Anisa Kumar</w:t>
            </w:r>
          </w:p>
        </w:tc>
        <w:tc>
          <w:tcPr>
            <w:tcW w:w="47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Anisa Kumar</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3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 Kelly McCarthy</w:t>
            </w:r>
          </w:p>
        </w:tc>
        <w:tc>
          <w:tcPr>
            <w:tcW w:w="44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Kelly McCarthy</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32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9000"/>
          </w:cols>
          <w:pgMar w:left="1440" w:top="1440" w:right="1440" w:bottom="0" w:gutter="0" w:footer="0" w:header="0"/>
          <w:type w:val="continuous"/>
        </w:sectPr>
      </w:pPr>
    </w:p>
    <w:bookmarkStart w:id="110" w:name="page111"/>
    <w:bookmarkEnd w:id="110"/>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480"/>
        <w:spacing w:after="0"/>
        <w:rPr>
          <w:sz w:val="20"/>
          <w:szCs w:val="20"/>
          <w:color w:val="auto"/>
        </w:rPr>
      </w:pPr>
      <w:r>
        <w:rPr>
          <w:rFonts w:ascii="Arial" w:cs="Arial" w:eastAsia="Arial" w:hAnsi="Arial"/>
          <w:sz w:val="15"/>
          <w:szCs w:val="15"/>
          <w:color w:val="auto"/>
        </w:rPr>
        <w:t>BR55003A-0426-10K</w:t>
      </w:r>
    </w:p>
    <w:sectPr>
      <w:pgSz w:w="11880" w:h="15480" w:orient="portrait"/>
      <w:cols w:equalWidth="0" w:num="1">
        <w:col w:w="1000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30"/>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2"/>
    </w:lvl>
  </w:abstractNum>
  <w:abstractNum w:abstractNumId="34">
    <w:nsid w:val="57E4CCAF"/>
    <w:multiLevelType w:val="hybridMultilevel"/>
    <w:lvl w:ilvl="0">
      <w:lvlJc w:val="left"/>
      <w:lvlText w:val="%1."/>
      <w:numFmt w:val="decimal"/>
      <w:start w:val="3"/>
    </w:lvl>
  </w:abstractNum>
  <w:abstractNum w:abstractNumId="35">
    <w:nsid w:val="7A6D8D3C"/>
    <w:multiLevelType w:val="hybridMultilevel"/>
    <w:lvl w:ilvl="0">
      <w:lvlJc w:val="left"/>
      <w:lvlText w:val="%1."/>
      <w:numFmt w:val="decimal"/>
      <w:start w:val="4"/>
    </w:lvl>
  </w:abstractNum>
  <w:abstractNum w:abstractNumId="36">
    <w:nsid w:val="4B588F54"/>
    <w:multiLevelType w:val="hybridMultilevel"/>
    <w:lvl w:ilvl="0">
      <w:lvlJc w:val="left"/>
      <w:lvlText w:val="%1."/>
      <w:numFmt w:val="decimal"/>
      <w:start w:val="5"/>
    </w:lvl>
  </w:abstractNum>
  <w:abstractNum w:abstractNumId="37">
    <w:nsid w:val="542289EC"/>
    <w:multiLevelType w:val="hybridMultilevel"/>
    <w:lvl w:ilvl="0">
      <w:lvlJc w:val="left"/>
      <w:lvlText w:val="(%1)"/>
      <w:numFmt w:val="lowerLetter"/>
      <w:start w:val="4"/>
    </w:lvl>
  </w:abstractNum>
  <w:abstractNum w:abstractNumId="38">
    <w:nsid w:val="6DE91B18"/>
    <w:multiLevelType w:val="hybridMultilevel"/>
    <w:lvl w:ilvl="0">
      <w:lvlJc w:val="left"/>
      <w:lvlText w:val="%1."/>
      <w:numFmt w:val="decimal"/>
      <w:start w:val="6"/>
    </w:lvl>
  </w:abstractNum>
  <w:abstractNum w:abstractNumId="39">
    <w:nsid w:val="38437FDB"/>
    <w:multiLevelType w:val="hybridMultilevel"/>
    <w:lvl w:ilvl="0">
      <w:lvlJc w:val="left"/>
      <w:lvlText w:val="%1."/>
      <w:numFmt w:val="decimal"/>
      <w:start w:val="7"/>
    </w:lvl>
  </w:abstractNum>
  <w:abstractNum w:abstractNumId="40">
    <w:nsid w:val="7644A45C"/>
    <w:multiLevelType w:val="hybridMultilevel"/>
    <w:lvl w:ilvl="0">
      <w:lvlJc w:val="left"/>
      <w:lvlText w:val="%1."/>
      <w:numFmt w:val="decimal"/>
      <w:start w:val="8"/>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9"/>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0"/>
    </w:lvl>
  </w:abstractNum>
  <w:abstractNum w:abstractNumId="45">
    <w:nsid w:val="3DC240FB"/>
    <w:multiLevelType w:val="hybridMultilevel"/>
    <w:lvl w:ilvl="0">
      <w:lvlJc w:val="left"/>
      <w:lvlText w:val="%1."/>
      <w:numFmt w:val="decimal"/>
      <w:start w:val="11"/>
    </w:lvl>
  </w:abstractNum>
  <w:abstractNum w:abstractNumId="46">
    <w:nsid w:val="1BA026FA"/>
    <w:multiLevelType w:val="hybridMultilevel"/>
    <w:lvl w:ilvl="0">
      <w:lvlJc w:val="left"/>
      <w:lvlText w:val="%1."/>
      <w:numFmt w:val="decimal"/>
      <w:start w:val="12"/>
    </w:lvl>
  </w:abstractNum>
  <w:abstractNum w:abstractNumId="47">
    <w:nsid w:val="79A1DEAA"/>
    <w:multiLevelType w:val="hybridMultilevel"/>
    <w:lvl w:ilvl="0">
      <w:lvlJc w:val="left"/>
      <w:lvlText w:val="%1"/>
      <w:numFmt w:val="decimal"/>
      <w:start w:val="1"/>
    </w:lvl>
    <w:lvl w:ilvl="1">
      <w:lvlJc w:val="left"/>
      <w:lvlText w:val="(%2)"/>
      <w:numFmt w:val="decimal"/>
      <w:start w:val="1"/>
    </w:lvl>
  </w:abstractNum>
  <w:abstractNum w:abstractNumId="48">
    <w:nsid w:val="75C6C33A"/>
    <w:multiLevelType w:val="hybridMultilevel"/>
    <w:lvl w:ilvl="0">
      <w:lvlJc w:val="left"/>
      <w:lvlText w:val="%1."/>
      <w:numFmt w:val="decimal"/>
      <w:start w:val="13"/>
    </w:lvl>
    <w:lvl w:ilvl="1">
      <w:lvlJc w:val="left"/>
      <w:lvlText w:val="%2"/>
      <w:numFmt w:val="decimal"/>
      <w:start w:val="1"/>
    </w:lvl>
  </w:abstractNum>
  <w:abstractNum w:abstractNumId="49">
    <w:nsid w:val="12E685FB"/>
    <w:multiLevelType w:val="hybridMultilevel"/>
    <w:lvl w:ilvl="0">
      <w:lvlJc w:val="left"/>
      <w:lvlText w:val="(%1)"/>
      <w:numFmt w:val="lowerLetter"/>
      <w:start w:val="1"/>
    </w:lvl>
    <w:lvl w:ilvl="1">
      <w:lvlJc w:val="left"/>
      <w:lvlText w:val="(%2)"/>
      <w:numFmt w:val="decimal"/>
      <w:start w:val="1"/>
    </w:lvl>
  </w:abstractNum>
  <w:abstractNum w:abstractNumId="50">
    <w:nsid w:val="70C6A529"/>
    <w:multiLevelType w:val="hybridMultilevel"/>
    <w:lvl w:ilvl="0">
      <w:lvlJc w:val="left"/>
      <w:lvlText w:val="%1"/>
      <w:numFmt w:val="decimal"/>
      <w:start w:val="97"/>
    </w:lvl>
  </w:abstractNum>
  <w:abstractNum w:abstractNumId="51">
    <w:nsid w:val="520EEDD1"/>
    <w:multiLevelType w:val="hybridMultilevel"/>
    <w:lvl w:ilvl="0">
      <w:lvlJc w:val="left"/>
      <w:lvlText w:val="%1"/>
      <w:numFmt w:val="decimal"/>
      <w:start w:val="104"/>
    </w:lvl>
  </w:abstractNum>
  <w:abstractNum w:abstractNumId="52">
    <w:nsid w:val="374A3FE6"/>
    <w:multiLevelType w:val="hybridMultilevel"/>
    <w:lvl w:ilvl="0">
      <w:lvlJc w:val="left"/>
      <w:lvlText w:val="*"/>
      <w:numFmt w:val="bullet"/>
      <w:start w:val="1"/>
    </w:lvl>
    <w:lvl w:ilvl="1">
      <w:lvlJc w:val="left"/>
      <w:lvlText w:val="%2"/>
      <w:numFmt w:val="lowerRoman"/>
      <w:start w:val="1"/>
    </w:lvl>
  </w:abstractNum>
  <w:abstractNum w:abstractNumId="53">
    <w:nsid w:val="4F4EF005"/>
    <w:multiLevelType w:val="hybridMultilevel"/>
    <w:lvl w:ilvl="0">
      <w:lvlJc w:val="left"/>
      <w:lvlText w:val="**"/>
      <w:numFmt w:val="bullet"/>
      <w:start w:val="1"/>
    </w:lvl>
    <w:lvl w:ilvl="1">
      <w:lvlJc w:val="left"/>
      <w:lvlText w:val="%2"/>
      <w:numFmt w:val="lowerRoman"/>
      <w:start w:val="1"/>
    </w:lvl>
  </w:abstractNum>
  <w:abstractNum w:abstractNumId="54">
    <w:nsid w:val="23F9C13C"/>
    <w:multiLevelType w:val="hybridMultilevel"/>
    <w:lvl w:ilvl="0">
      <w:lvlJc w:val="left"/>
      <w:lvlText w:val="***"/>
      <w:numFmt w:val="bullet"/>
      <w:start w:val="1"/>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2026-04-23T15:55:21Z</dcterms:created>
  <dcterms:modified xsi:type="dcterms:W3CDTF">2026-04-23T15:55:21Z</dcterms:modified>
</cp:coreProperties>
</file>