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4"/>
          <w:szCs w:val="24"/>
          <w:color w:val="auto"/>
        </w:rPr>
      </w:pPr>
    </w:p>
    <w:p>
      <w:pPr>
        <w:spacing w:after="0" w:line="329"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6497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2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2" w:lineRule="exact"/>
        <w:rPr>
          <w:sz w:val="24"/>
          <w:szCs w:val="24"/>
          <w:color w:val="auto"/>
        </w:rPr>
      </w:pPr>
    </w:p>
    <w:p>
      <w:pPr>
        <w:ind w:left="500" w:right="80" w:hanging="490"/>
        <w:spacing w:after="0" w:line="262" w:lineRule="auto"/>
        <w:tabs>
          <w:tab w:leader="none" w:pos="50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October 2, 2022</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71" w:lineRule="exact"/>
        <w:rPr>
          <w:sz w:val="24"/>
          <w:szCs w:val="24"/>
          <w:color w:val="auto"/>
        </w:rPr>
      </w:pPr>
    </w:p>
    <w:p>
      <w:pPr>
        <w:ind w:left="520" w:right="60" w:hanging="510"/>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___________________ to ___________________</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001-41059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6497955" cy="402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402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Lulu’s Fashion Lounge Holdings,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25" w:lineRule="exact"/>
        <w:rPr>
          <w:sz w:val="24"/>
          <w:szCs w:val="24"/>
          <w:color w:val="auto"/>
        </w:rPr>
      </w:pPr>
    </w:p>
    <w:tbl>
      <w:tblPr>
        <w:tblLayout w:type="fixed"/>
        <w:tblInd w:w="1380" w:type="dxa"/>
        <w:tblCellMar>
          <w:top w:w="0" w:type="dxa"/>
          <w:left w:w="0" w:type="dxa"/>
          <w:bottom w:w="0" w:type="dxa"/>
          <w:right w:w="0" w:type="dxa"/>
        </w:tblCellMar>
      </w:tblPr>
      <w:tr>
        <w:trPr>
          <w:trHeight w:val="161"/>
        </w:trPr>
        <w:tc>
          <w:tcPr>
            <w:tcW w:w="4060" w:type="dxa"/>
            <w:vAlign w:val="bottom"/>
          </w:tcPr>
          <w:p>
            <w:pPr>
              <w:jc w:val="center"/>
              <w:ind w:right="16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8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20-8442468</w:t>
            </w:r>
          </w:p>
        </w:tc>
        <w:tc>
          <w:tcPr>
            <w:tcW w:w="0" w:type="dxa"/>
            <w:vAlign w:val="bottom"/>
          </w:tcPr>
          <w:p>
            <w:pPr>
              <w:spacing w:after="0"/>
              <w:rPr>
                <w:sz w:val="1"/>
                <w:szCs w:val="1"/>
                <w:color w:val="auto"/>
              </w:rPr>
            </w:pPr>
          </w:p>
        </w:tc>
      </w:tr>
      <w:tr>
        <w:trPr>
          <w:trHeight w:val="148"/>
        </w:trPr>
        <w:tc>
          <w:tcPr>
            <w:tcW w:w="4060" w:type="dxa"/>
            <w:vAlign w:val="bottom"/>
          </w:tcPr>
          <w:p>
            <w:pPr>
              <w:jc w:val="center"/>
              <w:ind w:right="162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00" w:type="dxa"/>
            <w:vAlign w:val="bottom"/>
          </w:tcPr>
          <w:p>
            <w:pPr>
              <w:jc w:val="center"/>
              <w:ind w:left="160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49"/>
        </w:trPr>
        <w:tc>
          <w:tcPr>
            <w:tcW w:w="4060" w:type="dxa"/>
            <w:vAlign w:val="bottom"/>
          </w:tcPr>
          <w:p>
            <w:pPr>
              <w:jc w:val="center"/>
              <w:ind w:right="1628"/>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00" w:type="dxa"/>
            <w:vAlign w:val="bottom"/>
          </w:tcPr>
          <w:p>
            <w:pPr>
              <w:jc w:val="center"/>
              <w:ind w:left="1608"/>
              <w:spacing w:after="0" w:line="149" w:lineRule="exact"/>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48"/>
        </w:trPr>
        <w:tc>
          <w:tcPr>
            <w:tcW w:w="4060" w:type="dxa"/>
            <w:vAlign w:val="bottom"/>
          </w:tcPr>
          <w:p>
            <w:pPr>
              <w:jc w:val="center"/>
              <w:ind w:right="1608"/>
              <w:spacing w:after="0" w:line="149" w:lineRule="exact"/>
              <w:rPr>
                <w:sz w:val="20"/>
                <w:szCs w:val="20"/>
                <w:color w:val="auto"/>
              </w:rPr>
            </w:pPr>
            <w:r>
              <w:rPr>
                <w:rFonts w:ascii="Times New Roman" w:cs="Times New Roman" w:eastAsia="Times New Roman" w:hAnsi="Times New Roman"/>
                <w:sz w:val="14"/>
                <w:szCs w:val="14"/>
                <w:b w:val="1"/>
                <w:bCs w:val="1"/>
                <w:color w:val="auto"/>
              </w:rPr>
              <w:t>195 Humboldt Avenue</w:t>
            </w:r>
          </w:p>
        </w:tc>
        <w:tc>
          <w:tcPr>
            <w:tcW w:w="28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95928</w:t>
            </w:r>
          </w:p>
        </w:tc>
        <w:tc>
          <w:tcPr>
            <w:tcW w:w="0" w:type="dxa"/>
            <w:vAlign w:val="bottom"/>
          </w:tcPr>
          <w:p>
            <w:pPr>
              <w:spacing w:after="0"/>
              <w:rPr>
                <w:sz w:val="1"/>
                <w:szCs w:val="1"/>
                <w:color w:val="auto"/>
              </w:rPr>
            </w:pPr>
          </w:p>
        </w:tc>
      </w:tr>
      <w:tr>
        <w:trPr>
          <w:trHeight w:val="148"/>
        </w:trPr>
        <w:tc>
          <w:tcPr>
            <w:tcW w:w="4060" w:type="dxa"/>
            <w:vAlign w:val="bottom"/>
          </w:tcPr>
          <w:p>
            <w:pPr>
              <w:jc w:val="center"/>
              <w:ind w:right="1608"/>
              <w:spacing w:after="0" w:line="149" w:lineRule="exact"/>
              <w:rPr>
                <w:sz w:val="20"/>
                <w:szCs w:val="20"/>
                <w:color w:val="auto"/>
              </w:rPr>
            </w:pPr>
            <w:r>
              <w:rPr>
                <w:rFonts w:ascii="Times New Roman" w:cs="Times New Roman" w:eastAsia="Times New Roman" w:hAnsi="Times New Roman"/>
                <w:sz w:val="14"/>
                <w:szCs w:val="14"/>
                <w:b w:val="1"/>
                <w:bCs w:val="1"/>
                <w:color w:val="auto"/>
              </w:rPr>
              <w:t>Chico, California</w:t>
            </w:r>
          </w:p>
        </w:tc>
        <w:tc>
          <w:tcPr>
            <w:tcW w:w="2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060" w:type="dxa"/>
            <w:vAlign w:val="bottom"/>
          </w:tcPr>
          <w:p>
            <w:pPr>
              <w:jc w:val="center"/>
              <w:ind w:right="160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0" w:type="dxa"/>
            <w:vAlign w:val="bottom"/>
          </w:tcPr>
          <w:p>
            <w:pPr>
              <w:jc w:val="center"/>
              <w:ind w:left="160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(530) 343-3545</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16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0"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9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LVLU</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r>
    </w:tbl>
    <w:p>
      <w:pPr>
        <w:spacing w:after="0" w:line="67" w:lineRule="exact"/>
        <w:rPr>
          <w:sz w:val="24"/>
          <w:szCs w:val="24"/>
          <w:color w:val="auto"/>
        </w:rPr>
      </w:pPr>
    </w:p>
    <w:p>
      <w:pPr>
        <w:ind w:left="20" w:right="36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3" w:lineRule="exact"/>
        <w:rPr>
          <w:sz w:val="24"/>
          <w:szCs w:val="24"/>
          <w:color w:val="auto"/>
        </w:rPr>
      </w:pPr>
    </w:p>
    <w:p>
      <w:pPr>
        <w:ind w:left="20" w:right="420"/>
        <w:spacing w:after="0" w:line="23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21"/>
          <w:szCs w:val="21"/>
          <w:color w:val="auto"/>
        </w:rPr>
        <w:t>☐</w:t>
      </w:r>
    </w:p>
    <w:p>
      <w:pPr>
        <w:spacing w:after="0" w:line="21" w:lineRule="exact"/>
        <w:rPr>
          <w:sz w:val="24"/>
          <w:szCs w:val="24"/>
          <w:color w:val="auto"/>
        </w:rPr>
      </w:pPr>
    </w:p>
    <w:p>
      <w:pPr>
        <w:ind w:left="20" w:right="3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20" w:top="661" w:right="859" w:bottom="1440" w:gutter="0" w:footer="0" w:header="0"/>
        </w:sectPr>
      </w:pPr>
    </w:p>
    <w:p>
      <w:pPr>
        <w:spacing w:after="0" w:line="9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1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84" w:lineRule="exact"/>
        <w:tabs>
          <w:tab w:leader="none" w:pos="4700" w:val="left"/>
          <w:tab w:leader="none" w:pos="726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57" w:lineRule="exact"/>
        <w:rPr>
          <w:sz w:val="24"/>
          <w:szCs w:val="24"/>
          <w:color w:val="auto"/>
        </w:rPr>
      </w:pPr>
    </w:p>
    <w:p>
      <w:pPr>
        <w:spacing w:after="0" w:line="184" w:lineRule="exact"/>
        <w:tabs>
          <w:tab w:leader="none" w:pos="4700" w:val="left"/>
          <w:tab w:leader="none" w:pos="72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2">
            <w:col w:w="1780" w:space="680"/>
            <w:col w:w="7760"/>
          </w:cols>
          <w:pgMar w:left="820" w:top="661" w:right="859" w:bottom="1440" w:gutter="0" w:footer="0" w:header="0"/>
          <w:type w:val="continuous"/>
        </w:sectPr>
      </w:pPr>
    </w:p>
    <w:p>
      <w:pPr>
        <w:ind w:left="20" w:right="6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 w:lineRule="exact"/>
        <w:rPr>
          <w:sz w:val="24"/>
          <w:szCs w:val="24"/>
          <w:color w:val="auto"/>
        </w:rPr>
      </w:pPr>
    </w:p>
    <w:p>
      <w:pPr>
        <w:ind w:left="20" w:right="1600"/>
        <w:spacing w:after="0" w:line="25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11, 2022, there were 39,099,462 shares of the registrant’s common stock, par value $0.001,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467360</wp:posOffset>
            </wp:positionV>
            <wp:extent cx="6497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47625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90170</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1" w:right="8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40" w:type="dxa"/>
            <w:vAlign w:val="bottom"/>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499"/>
        </w:trPr>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0000EE"/>
                <w:w w:val="94"/>
              </w:rPr>
              <w:t>PART I</w:t>
            </w:r>
          </w:p>
        </w:tc>
        <w:tc>
          <w:tcPr>
            <w:tcW w:w="320" w:type="dxa"/>
            <w:vAlign w:val="bottom"/>
            <w:gridSpan w:val="3"/>
            <w:vMerge w:val="restart"/>
          </w:tcPr>
          <w:p>
            <w:pPr>
              <w:spacing w:after="0"/>
              <w:rPr>
                <w:sz w:val="24"/>
                <w:szCs w:val="24"/>
                <w:color w:val="auto"/>
              </w:rPr>
            </w:pPr>
          </w:p>
        </w:tc>
        <w:tc>
          <w:tcPr>
            <w:tcW w:w="2880" w:type="dxa"/>
            <w:vAlign w:val="bottom"/>
            <w:gridSpan w:val="10"/>
            <w:vMerge w:val="restart"/>
          </w:tcPr>
          <w:p>
            <w:pPr>
              <w:spacing w:after="0"/>
              <w:rPr>
                <w:sz w:val="20"/>
                <w:szCs w:val="20"/>
                <w:color w:val="auto"/>
              </w:rPr>
            </w:pPr>
            <w:r>
              <w:rPr>
                <w:rFonts w:ascii="Times New Roman" w:cs="Times New Roman" w:eastAsia="Times New Roman" w:hAnsi="Times New Roman"/>
                <w:sz w:val="22"/>
                <w:szCs w:val="22"/>
                <w:b w:val="1"/>
                <w:bCs w:val="1"/>
                <w:color w:val="0000EE"/>
                <w:w w:val="97"/>
              </w:rPr>
              <w:t>FINANCIAL INFORMATION</w:t>
            </w:r>
          </w:p>
        </w:tc>
        <w:tc>
          <w:tcPr>
            <w:tcW w:w="5460" w:type="dxa"/>
            <w:vAlign w:val="bottom"/>
            <w:gridSpan w:val="10"/>
            <w:vMerge w:val="restart"/>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7"/>
              </w:rPr>
              <w:t>Page</w:t>
            </w:r>
          </w:p>
        </w:tc>
        <w:tc>
          <w:tcPr>
            <w:tcW w:w="0" w:type="dxa"/>
            <w:vAlign w:val="bottom"/>
          </w:tcPr>
          <w:p>
            <w:pPr>
              <w:spacing w:after="0"/>
              <w:rPr>
                <w:sz w:val="1"/>
                <w:szCs w:val="1"/>
                <w:color w:val="auto"/>
              </w:rPr>
            </w:pPr>
          </w:p>
        </w:tc>
      </w:tr>
      <w:tr>
        <w:trPr>
          <w:trHeight w:val="201"/>
        </w:trPr>
        <w:tc>
          <w:tcPr>
            <w:tcW w:w="740" w:type="dxa"/>
            <w:vAlign w:val="bottom"/>
            <w:tcBorders>
              <w:bottom w:val="single" w:sz="8" w:color="0000EE"/>
            </w:tcBorders>
            <w:gridSpan w:val="2"/>
            <w:vMerge w:val="continue"/>
          </w:tcPr>
          <w:p>
            <w:pPr>
              <w:spacing w:after="0"/>
              <w:rPr>
                <w:sz w:val="17"/>
                <w:szCs w:val="17"/>
                <w:color w:val="auto"/>
              </w:rPr>
            </w:pPr>
          </w:p>
        </w:tc>
        <w:tc>
          <w:tcPr>
            <w:tcW w:w="320" w:type="dxa"/>
            <w:vAlign w:val="bottom"/>
            <w:gridSpan w:val="3"/>
            <w:vMerge w:val="continue"/>
          </w:tcPr>
          <w:p>
            <w:pPr>
              <w:spacing w:after="0"/>
              <w:rPr>
                <w:sz w:val="17"/>
                <w:szCs w:val="17"/>
                <w:color w:val="auto"/>
              </w:rPr>
            </w:pPr>
          </w:p>
        </w:tc>
        <w:tc>
          <w:tcPr>
            <w:tcW w:w="2880" w:type="dxa"/>
            <w:vAlign w:val="bottom"/>
            <w:tcBorders>
              <w:bottom w:val="single" w:sz="8" w:color="0000EE"/>
            </w:tcBorders>
            <w:gridSpan w:val="10"/>
            <w:vMerge w:val="continue"/>
          </w:tcPr>
          <w:p>
            <w:pPr>
              <w:spacing w:after="0"/>
              <w:rPr>
                <w:sz w:val="17"/>
                <w:szCs w:val="17"/>
                <w:color w:val="auto"/>
              </w:rPr>
            </w:pPr>
          </w:p>
        </w:tc>
        <w:tc>
          <w:tcPr>
            <w:tcW w:w="5460" w:type="dxa"/>
            <w:vAlign w:val="bottom"/>
            <w:gridSpan w:val="10"/>
            <w:vMerge w:val="continue"/>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92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EE"/>
              </w:rPr>
              <w:t>Item 1.</w:t>
            </w:r>
          </w:p>
        </w:tc>
        <w:tc>
          <w:tcPr>
            <w:tcW w:w="8340" w:type="dxa"/>
            <w:vAlign w:val="bottom"/>
            <w:gridSpan w:val="20"/>
          </w:tcPr>
          <w:p>
            <w:pPr>
              <w:spacing w:after="0" w:line="237" w:lineRule="exact"/>
              <w:rPr>
                <w:sz w:val="20"/>
                <w:szCs w:val="20"/>
                <w:color w:val="auto"/>
              </w:rPr>
            </w:pPr>
            <w:r>
              <w:rPr>
                <w:rFonts w:ascii="Times New Roman" w:cs="Times New Roman" w:eastAsia="Times New Roman" w:hAnsi="Times New Roman"/>
                <w:sz w:val="22"/>
                <w:szCs w:val="22"/>
                <w:color w:val="0000EE"/>
              </w:rPr>
              <w:t>Financial Statements (unaudited)</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0" w:type="dxa"/>
            <w:vAlign w:val="bottom"/>
            <w:tcBorders>
              <w:left w:val="single" w:sz="8" w:color="0000EE"/>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40" w:type="dxa"/>
            <w:vAlign w:val="bottom"/>
            <w:tcBorders>
              <w:bottom w:val="single" w:sz="8" w:color="0000EE"/>
            </w:tcBorders>
            <w:gridSpan w:val="14"/>
          </w:tcPr>
          <w:p>
            <w:pPr>
              <w:spacing w:after="0" w:line="237" w:lineRule="exact"/>
              <w:rPr>
                <w:sz w:val="20"/>
                <w:szCs w:val="20"/>
                <w:color w:val="auto"/>
              </w:rPr>
            </w:pPr>
            <w:r>
              <w:rPr>
                <w:rFonts w:ascii="Times New Roman" w:cs="Times New Roman" w:eastAsia="Times New Roman" w:hAnsi="Times New Roman"/>
                <w:sz w:val="22"/>
                <w:szCs w:val="22"/>
                <w:color w:val="0000EE"/>
                <w:w w:val="97"/>
              </w:rPr>
              <w:t>Condensed Consolidated Balance Sheets as of October 2, 2022 and January 2, 2022</w:t>
            </w:r>
          </w:p>
        </w:tc>
        <w:tc>
          <w:tcPr>
            <w:tcW w:w="1100" w:type="dxa"/>
            <w:vAlign w:val="bottom"/>
            <w:gridSpan w:val="6"/>
          </w:tcPr>
          <w:p>
            <w:pPr>
              <w:spacing w:after="0"/>
              <w:rPr>
                <w:sz w:val="20"/>
                <w:szCs w:val="20"/>
                <w:color w:val="auto"/>
              </w:rPr>
            </w:pP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36"/>
        </w:trPr>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340" w:type="dxa"/>
            <w:vAlign w:val="bottom"/>
            <w:gridSpan w:val="20"/>
          </w:tcPr>
          <w:p>
            <w:pPr>
              <w:spacing w:after="0" w:line="237" w:lineRule="exact"/>
              <w:rPr>
                <w:sz w:val="20"/>
                <w:szCs w:val="20"/>
                <w:color w:val="auto"/>
              </w:rPr>
            </w:pPr>
            <w:r>
              <w:rPr>
                <w:rFonts w:ascii="Times New Roman" w:cs="Times New Roman" w:eastAsia="Times New Roman" w:hAnsi="Times New Roman"/>
                <w:sz w:val="22"/>
                <w:szCs w:val="22"/>
                <w:color w:val="0000EE"/>
                <w:w w:val="99"/>
              </w:rPr>
              <w:t>Condensed Consolidated Statements of Operations and Comprehensive Income for the thirteen</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720" w:type="dxa"/>
            <w:vAlign w:val="bottom"/>
            <w:tcBorders>
              <w:top w:val="single" w:sz="8" w:color="0000EE"/>
              <w:bottom w:val="single" w:sz="8" w:color="0000EE"/>
            </w:tcBorders>
            <w:gridSpan w:val="13"/>
          </w:tcPr>
          <w:p>
            <w:pPr>
              <w:spacing w:after="0" w:line="223" w:lineRule="exact"/>
              <w:rPr>
                <w:sz w:val="20"/>
                <w:szCs w:val="20"/>
                <w:color w:val="auto"/>
              </w:rPr>
            </w:pPr>
            <w:r>
              <w:rPr>
                <w:rFonts w:ascii="Times New Roman" w:cs="Times New Roman" w:eastAsia="Times New Roman" w:hAnsi="Times New Roman"/>
                <w:sz w:val="22"/>
                <w:szCs w:val="22"/>
                <w:color w:val="0000EE"/>
                <w:w w:val="97"/>
              </w:rPr>
              <w:t>and thirty-nine weeks ended October 2, 2022 and October 3, 2021</w:t>
            </w:r>
          </w:p>
        </w:tc>
        <w:tc>
          <w:tcPr>
            <w:tcW w:w="2480" w:type="dxa"/>
            <w:vAlign w:val="bottom"/>
            <w:tcBorders>
              <w:top w:val="single" w:sz="8" w:color="0000EE"/>
            </w:tcBorders>
            <w:gridSpan w:val="6"/>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340" w:type="dxa"/>
            <w:vAlign w:val="bottom"/>
            <w:gridSpan w:val="20"/>
          </w:tcPr>
          <w:p>
            <w:pPr>
              <w:spacing w:after="0" w:line="237" w:lineRule="exact"/>
              <w:rPr>
                <w:sz w:val="20"/>
                <w:szCs w:val="20"/>
                <w:color w:val="auto"/>
              </w:rPr>
            </w:pPr>
            <w:r>
              <w:rPr>
                <w:rFonts w:ascii="Times New Roman" w:cs="Times New Roman" w:eastAsia="Times New Roman" w:hAnsi="Times New Roman"/>
                <w:sz w:val="22"/>
                <w:szCs w:val="22"/>
                <w:color w:val="0000EE"/>
              </w:rPr>
              <w:t>Condensed Consolidated Statements of Redeemable Preferred Stock, Convertible Preferred</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4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340" w:type="dxa"/>
            <w:vAlign w:val="bottom"/>
            <w:gridSpan w:val="20"/>
          </w:tcPr>
          <w:p>
            <w:pPr>
              <w:spacing w:after="0" w:line="223" w:lineRule="exact"/>
              <w:rPr>
                <w:sz w:val="20"/>
                <w:szCs w:val="20"/>
                <w:color w:val="auto"/>
              </w:rPr>
            </w:pPr>
            <w:r>
              <w:rPr>
                <w:rFonts w:ascii="Times New Roman" w:cs="Times New Roman" w:eastAsia="Times New Roman" w:hAnsi="Times New Roman"/>
                <w:sz w:val="22"/>
                <w:szCs w:val="22"/>
                <w:color w:val="0000EE"/>
              </w:rPr>
              <w:t>Stock and Stockholders’ Equity (Deficit) for the thirty-nine weeks ended October 2, 2022 and</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Borders>
              <w:top w:val="single" w:sz="8" w:color="0000EE"/>
              <w:bottom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color w:val="0000EE"/>
                <w:w w:val="96"/>
              </w:rPr>
              <w:t>October 3, 2021</w:t>
            </w:r>
          </w:p>
        </w:tc>
        <w:tc>
          <w:tcPr>
            <w:tcW w:w="6720" w:type="dxa"/>
            <w:vAlign w:val="bottom"/>
            <w:tcBorders>
              <w:top w:val="single" w:sz="8" w:color="0000EE"/>
            </w:tcBorders>
            <w:gridSpan w:val="13"/>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340" w:type="dxa"/>
            <w:vAlign w:val="bottom"/>
            <w:gridSpan w:val="20"/>
          </w:tcPr>
          <w:p>
            <w:pPr>
              <w:spacing w:after="0" w:line="237" w:lineRule="exact"/>
              <w:rPr>
                <w:sz w:val="20"/>
                <w:szCs w:val="20"/>
                <w:color w:val="auto"/>
              </w:rPr>
            </w:pPr>
            <w:r>
              <w:rPr>
                <w:rFonts w:ascii="Times New Roman" w:cs="Times New Roman" w:eastAsia="Times New Roman" w:hAnsi="Times New Roman"/>
                <w:sz w:val="22"/>
                <w:szCs w:val="22"/>
                <w:color w:val="0000EE"/>
                <w:w w:val="99"/>
              </w:rPr>
              <w:t>Condensed Consolidated Statements of Cash Flows for the thirty-nine weeks ended October 2,</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Borders>
              <w:top w:val="single" w:sz="8" w:color="0000EE"/>
              <w:bottom w:val="single" w:sz="8" w:color="0000EE"/>
            </w:tcBorders>
            <w:gridSpan w:val="7"/>
          </w:tcPr>
          <w:p>
            <w:pPr>
              <w:spacing w:after="0" w:line="223" w:lineRule="exact"/>
              <w:rPr>
                <w:sz w:val="20"/>
                <w:szCs w:val="20"/>
                <w:color w:val="auto"/>
              </w:rPr>
            </w:pPr>
            <w:r>
              <w:rPr>
                <w:rFonts w:ascii="Times New Roman" w:cs="Times New Roman" w:eastAsia="Times New Roman" w:hAnsi="Times New Roman"/>
                <w:sz w:val="22"/>
                <w:szCs w:val="22"/>
                <w:color w:val="0000EE"/>
                <w:w w:val="97"/>
              </w:rPr>
              <w:t>2022 and October 3, 2021</w:t>
            </w:r>
          </w:p>
        </w:tc>
        <w:tc>
          <w:tcPr>
            <w:tcW w:w="5920" w:type="dxa"/>
            <w:vAlign w:val="bottom"/>
            <w:tcBorders>
              <w:top w:val="single" w:sz="8" w:color="0000EE"/>
            </w:tcBorders>
            <w:gridSpan w:val="11"/>
          </w:tcPr>
          <w:p>
            <w:pPr>
              <w:spacing w:after="0"/>
              <w:rPr>
                <w:sz w:val="19"/>
                <w:szCs w:val="19"/>
                <w:color w:val="auto"/>
              </w:rPr>
            </w:pPr>
          </w:p>
        </w:tc>
        <w:tc>
          <w:tcPr>
            <w:tcW w:w="160" w:type="dxa"/>
            <w:vAlign w:val="bottom"/>
            <w:gridSpan w:val="2"/>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0" w:type="dxa"/>
            <w:vAlign w:val="bottom"/>
            <w:tcBorders>
              <w:bottom w:val="single" w:sz="8" w:color="0000EE"/>
            </w:tcBorders>
            <w:gridSpan w:val="11"/>
          </w:tcPr>
          <w:p>
            <w:pPr>
              <w:spacing w:after="0" w:line="237" w:lineRule="exact"/>
              <w:rPr>
                <w:sz w:val="20"/>
                <w:szCs w:val="20"/>
                <w:color w:val="auto"/>
              </w:rPr>
            </w:pPr>
            <w:r>
              <w:rPr>
                <w:rFonts w:ascii="Times New Roman" w:cs="Times New Roman" w:eastAsia="Times New Roman" w:hAnsi="Times New Roman"/>
                <w:sz w:val="22"/>
                <w:szCs w:val="22"/>
                <w:color w:val="0000EE"/>
                <w:w w:val="97"/>
              </w:rPr>
              <w:t>Notes to Condensed Consolidated Financial Statements</w:t>
            </w:r>
          </w:p>
        </w:tc>
        <w:tc>
          <w:tcPr>
            <w:tcW w:w="3540" w:type="dxa"/>
            <w:vAlign w:val="bottom"/>
            <w:gridSpan w:val="9"/>
          </w:tcPr>
          <w:p>
            <w:pPr>
              <w:spacing w:after="0"/>
              <w:rPr>
                <w:sz w:val="20"/>
                <w:szCs w:val="20"/>
                <w:color w:val="auto"/>
              </w:rPr>
            </w:pP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92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EE"/>
              </w:rPr>
              <w:t>Item 2.</w:t>
            </w:r>
          </w:p>
        </w:tc>
        <w:tc>
          <w:tcPr>
            <w:tcW w:w="8340" w:type="dxa"/>
            <w:vAlign w:val="bottom"/>
            <w:gridSpan w:val="20"/>
          </w:tcPr>
          <w:p>
            <w:pPr>
              <w:spacing w:after="0" w:line="237" w:lineRule="exact"/>
              <w:rPr>
                <w:sz w:val="20"/>
                <w:szCs w:val="20"/>
                <w:color w:val="auto"/>
              </w:rPr>
            </w:pPr>
            <w:r>
              <w:rPr>
                <w:rFonts w:ascii="Times New Roman" w:cs="Times New Roman" w:eastAsia="Times New Roman" w:hAnsi="Times New Roman"/>
                <w:sz w:val="22"/>
                <w:szCs w:val="22"/>
                <w:color w:val="0000EE"/>
              </w:rPr>
              <w:t>Management’s Discussion and Analysis of Financial Condition and Results of Operations</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20" w:type="dxa"/>
            <w:vAlign w:val="bottom"/>
            <w:tcBorders>
              <w:left w:val="single" w:sz="8" w:color="0000EE"/>
            </w:tcBorders>
            <w:gridSpan w:val="3"/>
            <w:shd w:val="clear" w:color="auto" w:fill="0000EE"/>
          </w:tcPr>
          <w:p>
            <w:pPr>
              <w:spacing w:after="0" w:line="20" w:lineRule="exact"/>
              <w:rPr>
                <w:sz w:val="1"/>
                <w:szCs w:val="1"/>
                <w:color w:val="auto"/>
              </w:rPr>
            </w:pPr>
          </w:p>
        </w:tc>
        <w:tc>
          <w:tcPr>
            <w:tcW w:w="254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92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EE"/>
              </w:rPr>
              <w:t>Item 3.</w:t>
            </w:r>
          </w:p>
        </w:tc>
        <w:tc>
          <w:tcPr>
            <w:tcW w:w="8340" w:type="dxa"/>
            <w:vAlign w:val="bottom"/>
            <w:gridSpan w:val="20"/>
          </w:tcPr>
          <w:p>
            <w:pPr>
              <w:spacing w:after="0" w:line="237" w:lineRule="exact"/>
              <w:rPr>
                <w:sz w:val="20"/>
                <w:szCs w:val="20"/>
                <w:color w:val="auto"/>
              </w:rPr>
            </w:pPr>
            <w:r>
              <w:rPr>
                <w:rFonts w:ascii="Times New Roman" w:cs="Times New Roman" w:eastAsia="Times New Roman" w:hAnsi="Times New Roman"/>
                <w:sz w:val="22"/>
                <w:szCs w:val="22"/>
                <w:color w:val="0000EE"/>
              </w:rPr>
              <w:t>Quantitative and Qualitative Disclosures About Market Risk</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20" w:type="dxa"/>
            <w:vAlign w:val="bottom"/>
            <w:tcBorders>
              <w:left w:val="single" w:sz="8" w:color="0000EE"/>
            </w:tcBorders>
            <w:gridSpan w:val="3"/>
            <w:shd w:val="clear" w:color="auto" w:fill="0000EE"/>
          </w:tcPr>
          <w:p>
            <w:pPr>
              <w:spacing w:after="0" w:line="20" w:lineRule="exact"/>
              <w:rPr>
                <w:sz w:val="1"/>
                <w:szCs w:val="1"/>
                <w:color w:val="auto"/>
              </w:rPr>
            </w:pPr>
          </w:p>
        </w:tc>
        <w:tc>
          <w:tcPr>
            <w:tcW w:w="3120" w:type="dxa"/>
            <w:vAlign w:val="bottom"/>
            <w:tcBorders>
              <w:left w:val="single" w:sz="8" w:color="0000EE"/>
            </w:tcBorders>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0" w:type="dxa"/>
            <w:vAlign w:val="bottom"/>
          </w:tcPr>
          <w:p>
            <w:pPr>
              <w:spacing w:after="0"/>
              <w:rPr>
                <w:sz w:val="20"/>
                <w:szCs w:val="20"/>
                <w:color w:val="auto"/>
              </w:rPr>
            </w:pPr>
          </w:p>
        </w:tc>
        <w:tc>
          <w:tcPr>
            <w:tcW w:w="92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EE"/>
              </w:rPr>
              <w:t>Item 4.</w:t>
            </w:r>
          </w:p>
        </w:tc>
        <w:tc>
          <w:tcPr>
            <w:tcW w:w="8340" w:type="dxa"/>
            <w:vAlign w:val="bottom"/>
            <w:gridSpan w:val="20"/>
          </w:tcPr>
          <w:p>
            <w:pPr>
              <w:spacing w:after="0" w:line="237" w:lineRule="exact"/>
              <w:rPr>
                <w:sz w:val="20"/>
                <w:szCs w:val="20"/>
                <w:color w:val="auto"/>
              </w:rPr>
            </w:pPr>
            <w:r>
              <w:rPr>
                <w:rFonts w:ascii="Times New Roman" w:cs="Times New Roman" w:eastAsia="Times New Roman" w:hAnsi="Times New Roman"/>
                <w:sz w:val="22"/>
                <w:szCs w:val="22"/>
                <w:color w:val="0000EE"/>
              </w:rPr>
              <w:t>Controls and Procedures</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8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0000EE"/>
                <w:w w:val="94"/>
              </w:rPr>
              <w:t>PART II</w:t>
            </w:r>
          </w:p>
        </w:tc>
        <w:tc>
          <w:tcPr>
            <w:tcW w:w="260" w:type="dxa"/>
            <w:vAlign w:val="bottom"/>
            <w:gridSpan w:val="2"/>
          </w:tcPr>
          <w:p>
            <w:pPr>
              <w:spacing w:after="0"/>
              <w:rPr>
                <w:sz w:val="24"/>
                <w:szCs w:val="24"/>
                <w:color w:val="auto"/>
              </w:rPr>
            </w:pPr>
          </w:p>
        </w:tc>
        <w:tc>
          <w:tcPr>
            <w:tcW w:w="8340" w:type="dxa"/>
            <w:vAlign w:val="bottom"/>
            <w:gridSpan w:val="20"/>
          </w:tcPr>
          <w:p>
            <w:pPr>
              <w:ind w:left="60"/>
              <w:spacing w:after="0"/>
              <w:rPr>
                <w:sz w:val="20"/>
                <w:szCs w:val="20"/>
                <w:color w:val="auto"/>
              </w:rPr>
            </w:pPr>
            <w:r>
              <w:rPr>
                <w:rFonts w:ascii="Times New Roman" w:cs="Times New Roman" w:eastAsia="Times New Roman" w:hAnsi="Times New Roman"/>
                <w:sz w:val="22"/>
                <w:szCs w:val="22"/>
                <w:b w:val="1"/>
                <w:bCs w:val="1"/>
                <w:color w:val="0000EE"/>
              </w:rPr>
              <w:t>OTHER INFORMATION</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gridSpan w:val="2"/>
          </w:tcPr>
          <w:p>
            <w:pPr>
              <w:spacing w:after="0" w:line="237" w:lineRule="exact"/>
              <w:rPr>
                <w:sz w:val="20"/>
                <w:szCs w:val="20"/>
                <w:color w:val="auto"/>
              </w:rPr>
            </w:pPr>
            <w:r>
              <w:rPr>
                <w:rFonts w:ascii="Times New Roman" w:cs="Times New Roman" w:eastAsia="Times New Roman" w:hAnsi="Times New Roman"/>
                <w:sz w:val="22"/>
                <w:szCs w:val="22"/>
                <w:color w:val="0000EE"/>
              </w:rPr>
              <w:t>Item 1.</w:t>
            </w:r>
          </w:p>
        </w:tc>
        <w:tc>
          <w:tcPr>
            <w:tcW w:w="260" w:type="dxa"/>
            <w:vAlign w:val="bottom"/>
            <w:gridSpan w:val="2"/>
          </w:tcPr>
          <w:p>
            <w:pPr>
              <w:spacing w:after="0"/>
              <w:rPr>
                <w:sz w:val="20"/>
                <w:szCs w:val="20"/>
                <w:color w:val="auto"/>
              </w:rPr>
            </w:pPr>
          </w:p>
        </w:tc>
        <w:tc>
          <w:tcPr>
            <w:tcW w:w="2480" w:type="dxa"/>
            <w:vAlign w:val="bottom"/>
            <w:tcBorders>
              <w:top w:val="single" w:sz="8" w:color="0000EE"/>
            </w:tcBorders>
            <w:gridSpan w:val="8"/>
          </w:tcPr>
          <w:p>
            <w:pPr>
              <w:spacing w:after="0" w:line="237" w:lineRule="exact"/>
              <w:rPr>
                <w:sz w:val="20"/>
                <w:szCs w:val="20"/>
                <w:color w:val="auto"/>
              </w:rPr>
            </w:pPr>
            <w:r>
              <w:rPr>
                <w:rFonts w:ascii="Times New Roman" w:cs="Times New Roman" w:eastAsia="Times New Roman" w:hAnsi="Times New Roman"/>
                <w:sz w:val="22"/>
                <w:szCs w:val="22"/>
                <w:color w:val="0000EE"/>
              </w:rPr>
              <w:t>Legal Proceedings</w:t>
            </w:r>
          </w:p>
        </w:tc>
        <w:tc>
          <w:tcPr>
            <w:tcW w:w="5860" w:type="dxa"/>
            <w:vAlign w:val="bottom"/>
            <w:gridSpan w:val="12"/>
          </w:tcPr>
          <w:p>
            <w:pPr>
              <w:spacing w:after="0"/>
              <w:rPr>
                <w:sz w:val="20"/>
                <w:szCs w:val="20"/>
                <w:color w:val="auto"/>
              </w:rPr>
            </w:pP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20" w:type="dxa"/>
            <w:vAlign w:val="bottom"/>
            <w:tcBorders>
              <w:left w:val="single" w:sz="8" w:color="0000EE"/>
            </w:tcBorders>
            <w:gridSpan w:val="4"/>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0" w:type="dxa"/>
            <w:vAlign w:val="bottom"/>
          </w:tcPr>
          <w:p>
            <w:pPr>
              <w:spacing w:after="0"/>
              <w:rPr>
                <w:sz w:val="20"/>
                <w:szCs w:val="20"/>
                <w:color w:val="auto"/>
              </w:rPr>
            </w:pPr>
          </w:p>
        </w:tc>
        <w:tc>
          <w:tcPr>
            <w:tcW w:w="76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0000EE"/>
                <w:w w:val="91"/>
              </w:rPr>
              <w:t>Item 1A.</w:t>
            </w:r>
          </w:p>
        </w:tc>
        <w:tc>
          <w:tcPr>
            <w:tcW w:w="160" w:type="dxa"/>
            <w:vAlign w:val="bottom"/>
          </w:tcPr>
          <w:p>
            <w:pPr>
              <w:spacing w:after="0"/>
              <w:rPr>
                <w:sz w:val="20"/>
                <w:szCs w:val="20"/>
                <w:color w:val="auto"/>
              </w:rPr>
            </w:pPr>
          </w:p>
        </w:tc>
        <w:tc>
          <w:tcPr>
            <w:tcW w:w="8340" w:type="dxa"/>
            <w:vAlign w:val="bottom"/>
            <w:gridSpan w:val="20"/>
          </w:tcPr>
          <w:p>
            <w:pPr>
              <w:spacing w:after="0" w:line="237" w:lineRule="exact"/>
              <w:rPr>
                <w:sz w:val="20"/>
                <w:szCs w:val="20"/>
                <w:color w:val="auto"/>
              </w:rPr>
            </w:pPr>
            <w:r>
              <w:rPr>
                <w:rFonts w:ascii="Times New Roman" w:cs="Times New Roman" w:eastAsia="Times New Roman" w:hAnsi="Times New Roman"/>
                <w:sz w:val="22"/>
                <w:szCs w:val="22"/>
                <w:color w:val="0000EE"/>
              </w:rPr>
              <w:t>Risk Factors</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76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0000EE"/>
              </w:rPr>
              <w:t>Item 2.</w:t>
            </w:r>
          </w:p>
        </w:tc>
        <w:tc>
          <w:tcPr>
            <w:tcW w:w="160" w:type="dxa"/>
            <w:vAlign w:val="bottom"/>
          </w:tcPr>
          <w:p>
            <w:pPr>
              <w:spacing w:after="0"/>
              <w:rPr>
                <w:sz w:val="20"/>
                <w:szCs w:val="20"/>
                <w:color w:val="auto"/>
              </w:rPr>
            </w:pPr>
          </w:p>
        </w:tc>
        <w:tc>
          <w:tcPr>
            <w:tcW w:w="8340" w:type="dxa"/>
            <w:vAlign w:val="bottom"/>
            <w:gridSpan w:val="20"/>
          </w:tcPr>
          <w:p>
            <w:pPr>
              <w:spacing w:after="0" w:line="237" w:lineRule="exact"/>
              <w:rPr>
                <w:sz w:val="20"/>
                <w:szCs w:val="20"/>
                <w:color w:val="auto"/>
              </w:rPr>
            </w:pPr>
            <w:r>
              <w:rPr>
                <w:rFonts w:ascii="Times New Roman" w:cs="Times New Roman" w:eastAsia="Times New Roman" w:hAnsi="Times New Roman"/>
                <w:sz w:val="22"/>
                <w:szCs w:val="22"/>
                <w:color w:val="0000EE"/>
              </w:rPr>
              <w:t>Unregistered Sales of Equity Securities and Use of Proceeds</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4"/>
            <w:shd w:val="clear" w:color="auto" w:fill="0000EE"/>
          </w:tcPr>
          <w:p>
            <w:pPr>
              <w:spacing w:after="0" w:line="20" w:lineRule="exact"/>
              <w:rPr>
                <w:sz w:val="1"/>
                <w:szCs w:val="1"/>
                <w:color w:val="auto"/>
              </w:rPr>
            </w:pPr>
          </w:p>
        </w:tc>
        <w:tc>
          <w:tcPr>
            <w:tcW w:w="2420" w:type="dxa"/>
            <w:vAlign w:val="bottom"/>
            <w:tcBorders>
              <w:left w:val="single" w:sz="8" w:color="0000EE"/>
            </w:tcBorders>
            <w:gridSpan w:val="3"/>
            <w:shd w:val="clear" w:color="auto" w:fill="0000EE"/>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92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EE"/>
              </w:rPr>
              <w:t>Item 3.</w:t>
            </w:r>
          </w:p>
        </w:tc>
        <w:tc>
          <w:tcPr>
            <w:tcW w:w="8340" w:type="dxa"/>
            <w:vAlign w:val="bottom"/>
            <w:gridSpan w:val="20"/>
          </w:tcPr>
          <w:p>
            <w:pPr>
              <w:spacing w:after="0" w:line="237" w:lineRule="exact"/>
              <w:rPr>
                <w:sz w:val="20"/>
                <w:szCs w:val="20"/>
                <w:color w:val="auto"/>
              </w:rPr>
            </w:pPr>
            <w:r>
              <w:rPr>
                <w:rFonts w:ascii="Times New Roman" w:cs="Times New Roman" w:eastAsia="Times New Roman" w:hAnsi="Times New Roman"/>
                <w:sz w:val="22"/>
                <w:szCs w:val="22"/>
                <w:color w:val="0000EE"/>
              </w:rPr>
              <w:t>Defaults Upon Senior Securities</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4"/>
            <w:shd w:val="clear" w:color="auto" w:fill="0000EE"/>
          </w:tcPr>
          <w:p>
            <w:pPr>
              <w:spacing w:after="0" w:line="20" w:lineRule="exact"/>
              <w:rPr>
                <w:sz w:val="1"/>
                <w:szCs w:val="1"/>
                <w:color w:val="auto"/>
              </w:rPr>
            </w:pPr>
          </w:p>
        </w:tc>
        <w:tc>
          <w:tcPr>
            <w:tcW w:w="5540" w:type="dxa"/>
            <w:vAlign w:val="bottom"/>
            <w:gridSpan w:val="1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0" w:type="dxa"/>
            <w:vAlign w:val="bottom"/>
          </w:tcPr>
          <w:p>
            <w:pPr>
              <w:spacing w:after="0"/>
              <w:rPr>
                <w:sz w:val="20"/>
                <w:szCs w:val="20"/>
                <w:color w:val="auto"/>
              </w:rPr>
            </w:pPr>
          </w:p>
        </w:tc>
        <w:tc>
          <w:tcPr>
            <w:tcW w:w="92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EE"/>
              </w:rPr>
              <w:t>Item 4.</w:t>
            </w:r>
          </w:p>
        </w:tc>
        <w:tc>
          <w:tcPr>
            <w:tcW w:w="8340" w:type="dxa"/>
            <w:vAlign w:val="bottom"/>
            <w:gridSpan w:val="20"/>
          </w:tcPr>
          <w:p>
            <w:pPr>
              <w:spacing w:after="0" w:line="237" w:lineRule="exact"/>
              <w:rPr>
                <w:sz w:val="20"/>
                <w:szCs w:val="20"/>
                <w:color w:val="auto"/>
              </w:rPr>
            </w:pPr>
            <w:r>
              <w:rPr>
                <w:rFonts w:ascii="Times New Roman" w:cs="Times New Roman" w:eastAsia="Times New Roman" w:hAnsi="Times New Roman"/>
                <w:sz w:val="22"/>
                <w:szCs w:val="22"/>
                <w:color w:val="0000EE"/>
              </w:rPr>
              <w:t>Mine Safety Disclosures</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6220" w:type="dxa"/>
            <w:vAlign w:val="bottom"/>
            <w:gridSpan w:val="1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92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EE"/>
              </w:rPr>
              <w:t>Item 5.</w:t>
            </w:r>
          </w:p>
        </w:tc>
        <w:tc>
          <w:tcPr>
            <w:tcW w:w="8340" w:type="dxa"/>
            <w:vAlign w:val="bottom"/>
            <w:gridSpan w:val="20"/>
          </w:tcPr>
          <w:p>
            <w:pPr>
              <w:spacing w:after="0" w:line="237" w:lineRule="exact"/>
              <w:rPr>
                <w:sz w:val="20"/>
                <w:szCs w:val="20"/>
                <w:color w:val="auto"/>
              </w:rPr>
            </w:pPr>
            <w:r>
              <w:rPr>
                <w:rFonts w:ascii="Times New Roman" w:cs="Times New Roman" w:eastAsia="Times New Roman" w:hAnsi="Times New Roman"/>
                <w:sz w:val="22"/>
                <w:szCs w:val="22"/>
                <w:color w:val="0000EE"/>
              </w:rPr>
              <w:t>Other Information</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676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92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EE"/>
              </w:rPr>
              <w:t>Item 6.</w:t>
            </w:r>
          </w:p>
        </w:tc>
        <w:tc>
          <w:tcPr>
            <w:tcW w:w="8340" w:type="dxa"/>
            <w:vAlign w:val="bottom"/>
            <w:gridSpan w:val="20"/>
          </w:tcPr>
          <w:p>
            <w:pPr>
              <w:spacing w:after="0" w:line="237" w:lineRule="exact"/>
              <w:rPr>
                <w:sz w:val="20"/>
                <w:szCs w:val="20"/>
                <w:color w:val="auto"/>
              </w:rPr>
            </w:pPr>
            <w:r>
              <w:rPr>
                <w:rFonts w:ascii="Times New Roman" w:cs="Times New Roman" w:eastAsia="Times New Roman" w:hAnsi="Times New Roman"/>
                <w:sz w:val="22"/>
                <w:szCs w:val="22"/>
                <w:color w:val="0000EE"/>
              </w:rPr>
              <w:t>Exhibits</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6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0000EE"/>
              </w:rPr>
              <w:t>Signatures</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45</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spacing w:after="0" w:line="188"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successfully maintain our desired merchandise assortment or manage our inventory effectively and attract a sufficient number of customers or sell sufficient quantities of our merchandise; the unpredictability and adverse effects of the COVID-19 pandemic; our ability to anticipate, identify, measure, and respond quickly to new and rapidly changing fashion trends, customer preferences and demands, and other factors; our efforts to acquire or retain customers; our ability to maintain a high level of engagement with our customers and increase their spending with us; our ability to provide high-quality customer support; our ability to maintain a strong community around the Lulus brand with engaged customers and influencers; our ability to operate in the highly competitive retail apparel industry; our ability to successfully implement our growth strategy; our reliance on third parties to drive traffic to our platform; our use of social media, influencers, affiliate marketing, email, text messages, and direct mail; our exposure to international business uncertainties, including inflation, interest rates and fuel prices; our reliance on consumer discretionary spending; system security risk issues, including any real or perceived failure to protect confidential or personal information against security breaches and disruption of our internal operations or information technology systems; any disruption caused by continual updates, augmentation and additions to our technology systems; our reliance on email and other messaging services; risks associated with sourcing, manufacturing, and warehousing; any disruptions to our three distribution facilities; our reliance on independent third-party transportation providers for substantially all of our merchandise shipments and any disruptions or increased transportation costs; risks associated with infringement upon the trademarks, copyrights or other intellectual property rights of third parties, including the risk that we could acquire merchandise from our suppliers without the full right to sell it; and the other important factors discussed in Part I, Item 1A, “Risk Factors” in our Annual Report on Form 10-K and our other filings with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28, 2017, we executed a reorganization of our corporate structure. Our original parent company was called Lulu’s Holdings, LLC. This entity was converted to Lulu’s Holdings, L.P. (the “LP”). We formed two new subsidiaries, Lulu’s Fashion Lounge Holdings, Inc. and Lulu’s Fashion Lounge Parent, LLC, to sit between the LP and our operating company. Our operating company, previously known as Lulu’s Fashion Lounge, Inc., was converted from a California corporation to a Delaware limited liability company, Lulu’s Fashion Lounge, LLC, an indirect wholly-owned subsidiary of Lulu’s Fashion Lounge Holdings, Inc. In connection with our initial public offering, the LP was liquidated. Unless otherwise indicated or the context otherwise requires, references in this Quarterly Report on Form 10-Q to the terms “Lulus,” “we,” “us,” “our,” or the “Company” refer to Lulu’s Fashion Lounge Holdings, Inc. and its consolidated subsidiaries.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fiscal year is a “52-53 week” year ending on the Sunday closest in proximity to December 31, such that each quarterly period will be 13 weeks in length, except during a 53-week year when the fourth quarter will be 14 weeks. References herein to “fiscal 2022” and/or “2022” relate to the year ending January 1, 2023 and “fiscal 2021” and/or “2021” relate to the year ended January 2, 2022.</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Throughout this Quarterly Report on Form 10-Q, we provide a number of key performance indicators used by management and typically used by our competitors in our industry. These and other key performance indicators are discussed in more detail in the section titled “Management’s Discussion and Analysis of Financial Condition and Results of Operations—Key Operating and Financial Metrics.” In this Quarterly Report on Form 10-Q, we also reference Adjusted EBITDA, Adjusted EBITDA Margin and Net Debt which are non-GAAP (accounting principles generally accepted in the United States of America) financial measures. See “Management’s Discussion and Analysis of Financial Condition and Results of Operations—Non-GAAP Financial Measures” for a discussion of Adjusted EBITDA, Adjusted EBITDA Margin and Net Debt, as well as a reconciliation of net income to Adjusted EBITDA and a reconciliation to non-GAAP Net Debt from Total Debt. Net income is the most directly comparable financial measure to Adjusted EBITDA and Total Debt is the most directly comparable financial measure to Net Debt, required by, or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2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share and per share amounts)</w:t>
      </w: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October 2,</w:t>
            </w:r>
          </w:p>
        </w:tc>
        <w:tc>
          <w:tcPr>
            <w:tcW w:w="200" w:type="dxa"/>
            <w:vAlign w:val="bottom"/>
          </w:tcPr>
          <w:p>
            <w:pPr>
              <w:spacing w:after="0"/>
              <w:rPr>
                <w:sz w:val="12"/>
                <w:szCs w:val="12"/>
                <w:color w:val="auto"/>
              </w:rPr>
            </w:pPr>
          </w:p>
        </w:tc>
        <w:tc>
          <w:tcPr>
            <w:tcW w:w="104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January 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12,465</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5,545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Inventory, net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49,416</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Assets for recovery</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6,685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refund receivable</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Prepaids and other current assets</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4,596</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78,707</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49,093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3,995</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35,430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Tradename</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18,509</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2,892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right-of-use assets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31,627</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8,492</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4,763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180,159</w:t>
            </w: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6,349</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3,183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28,477</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Returns reserve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18,827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Stored-value card liability</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8,812</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Lease liabilities, current</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3,932</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69,580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43,146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Revolving line of credit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noncurrent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28,554</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113,254</w:t>
            </w:r>
          </w:p>
        </w:tc>
        <w:tc>
          <w:tcPr>
            <w:tcW w:w="2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69,254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2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Preferred stock: $0.001 par value, 10,000,000 shares authorized, and no shares issued or outstanding as of October 2,</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2022 and January 2, 2022</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2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Common stock: $0.001 par value, 250,000,000 shares authorized, and 39,095,778 and 38,421,124 shares issued and</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outstanding as of October 2, 2022 and January 2, 2022, respectively</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235,491</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222,080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(168,625)</w:t>
            </w: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(177,596)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Borders>
              <w:top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66,905</w:t>
            </w: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44,522</w:t>
            </w:r>
          </w:p>
        </w:tc>
        <w:tc>
          <w:tcPr>
            <w:tcW w:w="0" w:type="dxa"/>
            <w:vAlign w:val="bottom"/>
          </w:tcPr>
          <w:p>
            <w:pPr>
              <w:spacing w:after="0"/>
              <w:rPr>
                <w:sz w:val="1"/>
                <w:szCs w:val="1"/>
                <w:color w:val="auto"/>
              </w:rPr>
            </w:pPr>
          </w:p>
        </w:tc>
      </w:tr>
      <w:tr>
        <w:trPr>
          <w:trHeight w:val="142"/>
        </w:trPr>
        <w:tc>
          <w:tcPr>
            <w:tcW w:w="7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180,159</w:t>
            </w:r>
          </w:p>
        </w:tc>
        <w:tc>
          <w:tcPr>
            <w:tcW w:w="24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113,776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 and Comprehensive Income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share and per share amounts)</w:t>
      </w: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50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October 2,</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32"/>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October 2,</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52"/>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60,942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191,211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benefit (provision) for income taxes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Allocation of undistributed earnings to participating securities</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50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Weighted average shares used to compute net income per share</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38,711,915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17,462,283</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38,448,656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17,462,283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020" w:type="dxa"/>
            <w:vAlign w:val="bottom"/>
            <w:tcBorders>
              <w:bottom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38,898,416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17,462,283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38,699,110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17,462,283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Redeemable Preferred Stock, Convertible Preferred Stock and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Stockholders’ Equity (Deficit)</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(in thousands, except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3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20"/>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For the Thirty-nine Weeks Ended October 2, 2022</w:t>
            </w: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5"/>
          </w:tcPr>
          <w:p>
            <w:pPr>
              <w:jc w:val="right"/>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ind w:right="217"/>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700" w:type="dxa"/>
            <w:vAlign w:val="bottom"/>
            <w:gridSpan w:val="9"/>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Redeemable Preferred Stock</w:t>
            </w:r>
          </w:p>
        </w:tc>
        <w:tc>
          <w:tcPr>
            <w:tcW w:w="1620" w:type="dxa"/>
            <w:vAlign w:val="bottom"/>
            <w:gridSpan w:val="9"/>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20" w:type="dxa"/>
            <w:vAlign w:val="bottom"/>
            <w:gridSpan w:val="6"/>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line="20" w:lineRule="exact"/>
              <w:rPr>
                <w:sz w:val="1"/>
                <w:szCs w:val="1"/>
                <w:color w:val="auto"/>
              </w:rPr>
            </w:pPr>
          </w:p>
        </w:tc>
        <w:tc>
          <w:tcPr>
            <w:tcW w:w="760" w:type="dxa"/>
            <w:vAlign w:val="bottom"/>
            <w:gridSpan w:val="6"/>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line="20" w:lineRule="exact"/>
              <w:rPr>
                <w:sz w:val="1"/>
                <w:szCs w:val="1"/>
                <w:color w:val="auto"/>
              </w:rPr>
            </w:pPr>
          </w:p>
        </w:tc>
      </w:tr>
      <w:tr>
        <w:trPr>
          <w:trHeight w:val="135"/>
        </w:trPr>
        <w:tc>
          <w:tcPr>
            <w:tcW w:w="2340" w:type="dxa"/>
            <w:vAlign w:val="bottom"/>
          </w:tcPr>
          <w:p>
            <w:pPr>
              <w:spacing w:after="0"/>
              <w:rPr>
                <w:sz w:val="11"/>
                <w:szCs w:val="11"/>
                <w:color w:val="auto"/>
              </w:rPr>
            </w:pPr>
          </w:p>
        </w:tc>
        <w:tc>
          <w:tcPr>
            <w:tcW w:w="1700" w:type="dxa"/>
            <w:vAlign w:val="bottom"/>
            <w:gridSpan w:val="9"/>
            <w:vMerge w:val="continue"/>
          </w:tcPr>
          <w:p>
            <w:pPr>
              <w:spacing w:after="0"/>
              <w:rPr>
                <w:sz w:val="11"/>
                <w:szCs w:val="11"/>
                <w:color w:val="auto"/>
              </w:rPr>
            </w:pPr>
          </w:p>
        </w:tc>
        <w:tc>
          <w:tcPr>
            <w:tcW w:w="1620" w:type="dxa"/>
            <w:vAlign w:val="bottom"/>
            <w:gridSpan w:val="9"/>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320" w:type="dxa"/>
            <w:vAlign w:val="bottom"/>
            <w:gridSpan w:val="6"/>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68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ind w:left="1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ind w:left="1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8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top w:val="single" w:sz="8" w:color="auto"/>
            </w:tcBorders>
            <w:gridSpan w:val="3"/>
          </w:tcPr>
          <w:p>
            <w:pPr>
              <w:ind w:left="1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20" w:type="dxa"/>
            <w:vAlign w:val="bottom"/>
            <w:tcBorders>
              <w:top w:val="single" w:sz="8" w:color="auto"/>
            </w:tcBorders>
            <w:gridSpan w:val="3"/>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4"/>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4"/>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28"/>
        </w:trPr>
        <w:tc>
          <w:tcPr>
            <w:tcW w:w="23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January 2, 2022</w:t>
            </w:r>
          </w:p>
        </w:tc>
        <w:tc>
          <w:tcPr>
            <w:tcW w:w="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gridSpan w:val="2"/>
            <w:shd w:val="clear" w:color="auto" w:fill="CCEEFF"/>
          </w:tcPr>
          <w:p>
            <w:pPr>
              <w:ind w:left="5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gridSpan w:val="2"/>
            <w:shd w:val="clear" w:color="auto" w:fill="CCEEFF"/>
          </w:tcPr>
          <w:p>
            <w:pPr>
              <w:ind w:left="56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right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lef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38,421,124</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gridSpan w:val="2"/>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89"/>
              </w:rPr>
              <w:t>222,080</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(177,596)</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44,522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stock for vesting of</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restricted stock units (RSUs)</w:t>
            </w:r>
          </w:p>
        </w:tc>
        <w:tc>
          <w:tcPr>
            <w:tcW w:w="20" w:type="dxa"/>
            <w:vAlign w:val="bottom"/>
          </w:tcPr>
          <w:p>
            <w:pPr>
              <w:spacing w:after="0"/>
              <w:rPr>
                <w:sz w:val="13"/>
                <w:szCs w:val="13"/>
                <w:color w:val="auto"/>
              </w:rPr>
            </w:pPr>
          </w:p>
        </w:tc>
        <w:tc>
          <w:tcPr>
            <w:tcW w:w="7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228,387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3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stock for special</w:t>
            </w: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compensation award</w:t>
            </w: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208,914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Shares withheld for withholding tax on</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RSUs</w:t>
            </w:r>
          </w:p>
        </w:tc>
        <w:tc>
          <w:tcPr>
            <w:tcW w:w="20" w:type="dxa"/>
            <w:vAlign w:val="bottom"/>
          </w:tcPr>
          <w:p>
            <w:pPr>
              <w:spacing w:after="0"/>
              <w:rPr>
                <w:sz w:val="13"/>
                <w:szCs w:val="13"/>
                <w:color w:val="auto"/>
              </w:rPr>
            </w:pPr>
          </w:p>
        </w:tc>
        <w:tc>
          <w:tcPr>
            <w:tcW w:w="7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(28,295)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(265)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(265)</w:t>
            </w:r>
          </w:p>
        </w:tc>
        <w:tc>
          <w:tcPr>
            <w:tcW w:w="0" w:type="dxa"/>
            <w:vAlign w:val="bottom"/>
          </w:tcPr>
          <w:p>
            <w:pPr>
              <w:spacing w:after="0"/>
              <w:rPr>
                <w:sz w:val="1"/>
                <w:szCs w:val="1"/>
                <w:color w:val="auto"/>
              </w:rPr>
            </w:pPr>
          </w:p>
        </w:tc>
      </w:tr>
      <w:tr>
        <w:trPr>
          <w:trHeight w:val="117"/>
        </w:trPr>
        <w:tc>
          <w:tcPr>
            <w:tcW w:w="23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Offering costs related to Initial Public</w:t>
            </w: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Offering</w:t>
            </w:r>
          </w:p>
        </w:tc>
        <w:tc>
          <w:tcPr>
            <w:tcW w:w="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0" w:type="dxa"/>
            <w:vAlign w:val="bottom"/>
            <w:tcBorders>
              <w:lef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(290)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Settlement of distributions payable to</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former Class P unit holders</w:t>
            </w:r>
          </w:p>
        </w:tc>
        <w:tc>
          <w:tcPr>
            <w:tcW w:w="20" w:type="dxa"/>
            <w:vAlign w:val="bottom"/>
          </w:tcPr>
          <w:p>
            <w:pPr>
              <w:spacing w:after="0"/>
              <w:rPr>
                <w:sz w:val="13"/>
                <w:szCs w:val="13"/>
                <w:color w:val="auto"/>
              </w:rPr>
            </w:pPr>
          </w:p>
        </w:tc>
        <w:tc>
          <w:tcPr>
            <w:tcW w:w="7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Equity-based compensation expense</w:t>
            </w:r>
          </w:p>
        </w:tc>
        <w:tc>
          <w:tcPr>
            <w:tcW w:w="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tcBorders>
              <w:left w:val="single" w:sz="8" w:color="CCEEFF"/>
            </w:tcBorders>
            <w:gridSpan w:val="3"/>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5,126</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 and comprehensive income</w:t>
            </w:r>
          </w:p>
        </w:tc>
        <w:tc>
          <w:tcPr>
            <w:tcW w:w="20" w:type="dxa"/>
            <w:vAlign w:val="bottom"/>
          </w:tcPr>
          <w:p>
            <w:pPr>
              <w:spacing w:after="0"/>
              <w:rPr>
                <w:sz w:val="11"/>
                <w:szCs w:val="11"/>
                <w:color w:val="auto"/>
              </w:rPr>
            </w:pPr>
          </w:p>
        </w:tc>
        <w:tc>
          <w:tcPr>
            <w:tcW w:w="700" w:type="dxa"/>
            <w:vAlign w:val="bottom"/>
            <w:gridSpan w:val="2"/>
          </w:tcPr>
          <w:p>
            <w:pPr>
              <w:ind w:left="5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700" w:type="dxa"/>
            <w:vAlign w:val="bottom"/>
            <w:gridSpan w:val="2"/>
          </w:tcPr>
          <w:p>
            <w:pPr>
              <w:ind w:left="5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2,043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April 3, 2022</w:t>
            </w:r>
          </w:p>
        </w:tc>
        <w:tc>
          <w:tcPr>
            <w:tcW w:w="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gridSpan w:val="2"/>
            <w:shd w:val="clear" w:color="auto" w:fill="CCEEFF"/>
          </w:tcPr>
          <w:p>
            <w:pPr>
              <w:ind w:left="5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gridSpan w:val="2"/>
            <w:shd w:val="clear" w:color="auto" w:fill="CCEEFF"/>
          </w:tcPr>
          <w:p>
            <w:pPr>
              <w:ind w:left="56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right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lef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38,830,130</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89"/>
              </w:rPr>
              <w:t>229,298</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(175,553)</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53,784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stock for vesting of</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RSUs</w:t>
            </w:r>
          </w:p>
        </w:tc>
        <w:tc>
          <w:tcPr>
            <w:tcW w:w="20" w:type="dxa"/>
            <w:vAlign w:val="bottom"/>
          </w:tcPr>
          <w:p>
            <w:pPr>
              <w:spacing w:after="0"/>
              <w:rPr>
                <w:sz w:val="13"/>
                <w:szCs w:val="13"/>
                <w:color w:val="auto"/>
              </w:rPr>
            </w:pPr>
          </w:p>
        </w:tc>
        <w:tc>
          <w:tcPr>
            <w:tcW w:w="7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196,808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3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Shares withheld for withholding tax on</w:t>
            </w: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RSUs</w:t>
            </w:r>
          </w:p>
        </w:tc>
        <w:tc>
          <w:tcPr>
            <w:tcW w:w="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(73,195)</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(805)</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Forfeited shares of restricted stock</w:t>
            </w:r>
          </w:p>
        </w:tc>
        <w:tc>
          <w:tcPr>
            <w:tcW w:w="20" w:type="dxa"/>
            <w:vAlign w:val="bottom"/>
          </w:tcPr>
          <w:p>
            <w:pPr>
              <w:spacing w:after="0"/>
              <w:rPr>
                <w:sz w:val="11"/>
                <w:szCs w:val="11"/>
                <w:color w:val="auto"/>
              </w:rPr>
            </w:pPr>
          </w:p>
        </w:tc>
        <w:tc>
          <w:tcPr>
            <w:tcW w:w="700" w:type="dxa"/>
            <w:vAlign w:val="bottom"/>
            <w:gridSpan w:val="2"/>
          </w:tcPr>
          <w:p>
            <w:pPr>
              <w:ind w:left="5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700" w:type="dxa"/>
            <w:vAlign w:val="bottom"/>
            <w:gridSpan w:val="2"/>
          </w:tcPr>
          <w:p>
            <w:pPr>
              <w:ind w:left="5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(22,693)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Equity-based compensation expense</w:t>
            </w:r>
          </w:p>
        </w:tc>
        <w:tc>
          <w:tcPr>
            <w:tcW w:w="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tcBorders>
              <w:left w:val="single" w:sz="8" w:color="CCEEFF"/>
            </w:tcBorders>
            <w:gridSpan w:val="3"/>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3,447</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 and comprehensive income</w:t>
            </w:r>
          </w:p>
        </w:tc>
        <w:tc>
          <w:tcPr>
            <w:tcW w:w="20" w:type="dxa"/>
            <w:vAlign w:val="bottom"/>
          </w:tcPr>
          <w:p>
            <w:pPr>
              <w:spacing w:after="0"/>
              <w:rPr>
                <w:sz w:val="11"/>
                <w:szCs w:val="11"/>
                <w:color w:val="auto"/>
              </w:rPr>
            </w:pPr>
          </w:p>
        </w:tc>
        <w:tc>
          <w:tcPr>
            <w:tcW w:w="700" w:type="dxa"/>
            <w:vAlign w:val="bottom"/>
            <w:gridSpan w:val="2"/>
          </w:tcPr>
          <w:p>
            <w:pPr>
              <w:ind w:left="5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700" w:type="dxa"/>
            <w:vAlign w:val="bottom"/>
            <w:gridSpan w:val="2"/>
          </w:tcPr>
          <w:p>
            <w:pPr>
              <w:ind w:left="5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5,999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July 3, 2022</w:t>
            </w:r>
          </w:p>
        </w:tc>
        <w:tc>
          <w:tcPr>
            <w:tcW w:w="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gridSpan w:val="2"/>
            <w:shd w:val="clear" w:color="auto" w:fill="CCEEFF"/>
          </w:tcPr>
          <w:p>
            <w:pPr>
              <w:ind w:left="5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gridSpan w:val="2"/>
            <w:shd w:val="clear" w:color="auto" w:fill="CCEEFF"/>
          </w:tcPr>
          <w:p>
            <w:pPr>
              <w:ind w:left="56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right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lef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38,931,050</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89"/>
              </w:rPr>
              <w:t>231,940</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(169,554)</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62,425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stock for vesting of</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RSUs</w:t>
            </w:r>
          </w:p>
        </w:tc>
        <w:tc>
          <w:tcPr>
            <w:tcW w:w="20" w:type="dxa"/>
            <w:vAlign w:val="bottom"/>
          </w:tcPr>
          <w:p>
            <w:pPr>
              <w:spacing w:after="0"/>
              <w:rPr>
                <w:sz w:val="13"/>
                <w:szCs w:val="13"/>
                <w:color w:val="auto"/>
              </w:rPr>
            </w:pPr>
          </w:p>
        </w:tc>
        <w:tc>
          <w:tcPr>
            <w:tcW w:w="7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5"/>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181,868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3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Shares withheld for withholding tax on</w:t>
            </w: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RSUs</w:t>
            </w:r>
          </w:p>
        </w:tc>
        <w:tc>
          <w:tcPr>
            <w:tcW w:w="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(17,140)</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Equity-based compensation expense</w:t>
            </w:r>
          </w:p>
        </w:tc>
        <w:tc>
          <w:tcPr>
            <w:tcW w:w="20" w:type="dxa"/>
            <w:vAlign w:val="bottom"/>
          </w:tcPr>
          <w:p>
            <w:pPr>
              <w:spacing w:after="0"/>
              <w:rPr>
                <w:sz w:val="11"/>
                <w:szCs w:val="11"/>
                <w:color w:val="auto"/>
              </w:rPr>
            </w:pPr>
          </w:p>
        </w:tc>
        <w:tc>
          <w:tcPr>
            <w:tcW w:w="700" w:type="dxa"/>
            <w:vAlign w:val="bottom"/>
            <w:gridSpan w:val="2"/>
          </w:tcPr>
          <w:p>
            <w:pPr>
              <w:ind w:left="5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700" w:type="dxa"/>
            <w:vAlign w:val="bottom"/>
            <w:gridSpan w:val="2"/>
          </w:tcPr>
          <w:p>
            <w:pPr>
              <w:ind w:left="5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3,631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 and comprehensive income</w:t>
            </w:r>
          </w:p>
        </w:tc>
        <w:tc>
          <w:tcPr>
            <w:tcW w:w="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tcBorders>
              <w:left w:val="single" w:sz="8" w:color="CCEEFF"/>
            </w:tcBorders>
            <w:gridSpan w:val="3"/>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929</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4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as of October 2, 2022</w:t>
            </w:r>
          </w:p>
        </w:tc>
        <w:tc>
          <w:tcPr>
            <w:tcW w:w="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gridSpan w:val="2"/>
          </w:tcPr>
          <w:p>
            <w:pPr>
              <w:ind w:left="5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gridSpan w:val="2"/>
          </w:tcPr>
          <w:p>
            <w:pPr>
              <w:ind w:left="56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top w:val="single" w:sz="8" w:color="auto"/>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39,095,778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gridSpan w:val="2"/>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39</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89"/>
              </w:rPr>
              <w:t>235,491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color w:val="auto"/>
              </w:rPr>
              <w:t>(168,625)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66,905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0"/>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For the Thirty-nine Weeks Ended October 3, 2021</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5"/>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ind w:right="17"/>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8"/>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Redeemable Preferred Stock</w:t>
            </w:r>
          </w:p>
        </w:tc>
        <w:tc>
          <w:tcPr>
            <w:tcW w:w="40" w:type="dxa"/>
            <w:vAlign w:val="bottom"/>
          </w:tcPr>
          <w:p>
            <w:pPr>
              <w:spacing w:after="0" w:line="20" w:lineRule="exact"/>
              <w:rPr>
                <w:sz w:val="1"/>
                <w:szCs w:val="1"/>
                <w:color w:val="auto"/>
              </w:rPr>
            </w:pPr>
          </w:p>
        </w:tc>
        <w:tc>
          <w:tcPr>
            <w:tcW w:w="1620" w:type="dxa"/>
            <w:vAlign w:val="bottom"/>
            <w:gridSpan w:val="10"/>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20" w:type="dxa"/>
            <w:vAlign w:val="bottom"/>
          </w:tcPr>
          <w:p>
            <w:pPr>
              <w:spacing w:after="0" w:line="20" w:lineRule="exact"/>
              <w:rPr>
                <w:sz w:val="1"/>
                <w:szCs w:val="1"/>
                <w:color w:val="auto"/>
              </w:rPr>
            </w:pPr>
          </w:p>
        </w:tc>
        <w:tc>
          <w:tcPr>
            <w:tcW w:w="1320" w:type="dxa"/>
            <w:vAlign w:val="bottom"/>
            <w:gridSpan w:val="6"/>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5"/>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60" w:type="dxa"/>
            <w:vAlign w:val="bottom"/>
          </w:tcPr>
          <w:p>
            <w:pPr>
              <w:spacing w:after="0" w:line="20" w:lineRule="exact"/>
              <w:rPr>
                <w:sz w:val="1"/>
                <w:szCs w:val="1"/>
                <w:color w:val="auto"/>
              </w:rPr>
            </w:pPr>
          </w:p>
        </w:tc>
        <w:tc>
          <w:tcPr>
            <w:tcW w:w="7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line="20" w:lineRule="exact"/>
              <w:rPr>
                <w:sz w:val="1"/>
                <w:szCs w:val="1"/>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line="20" w:lineRule="exact"/>
              <w:rPr>
                <w:sz w:val="1"/>
                <w:szCs w:val="1"/>
                <w:color w:val="auto"/>
              </w:rPr>
            </w:pPr>
          </w:p>
        </w:tc>
      </w:tr>
      <w:tr>
        <w:trPr>
          <w:trHeight w:val="135"/>
        </w:trPr>
        <w:tc>
          <w:tcPr>
            <w:tcW w:w="2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8"/>
            <w:vMerge w:val="continue"/>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gridSpan w:val="10"/>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320" w:type="dxa"/>
            <w:vAlign w:val="bottom"/>
            <w:gridSpan w:val="6"/>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3"/>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gridSpan w:val="2"/>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0" w:type="dxa"/>
            <w:vAlign w:val="bottom"/>
            <w:tcBorders>
              <w:top w:val="single" w:sz="8" w:color="auto"/>
            </w:tcBorders>
            <w:gridSpan w:val="3"/>
          </w:tcPr>
          <w:p>
            <w:pPr>
              <w:ind w:left="20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3"/>
          </w:tcPr>
          <w:p>
            <w:pPr>
              <w:jc w:val="right"/>
              <w:ind w:right="48"/>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5"/>
          </w:tcPr>
          <w:p>
            <w:pPr>
              <w:jc w:val="center"/>
              <w:ind w:right="16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28"/>
        </w:trPr>
        <w:tc>
          <w:tcPr>
            <w:tcW w:w="23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January 3, 2021</w:t>
            </w:r>
          </w:p>
        </w:tc>
        <w:tc>
          <w:tcPr>
            <w:tcW w:w="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7,500,001</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16,412</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3,129,634</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gridSpan w:val="2"/>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117,038</w:t>
            </w:r>
          </w:p>
        </w:tc>
        <w:tc>
          <w:tcPr>
            <w:tcW w:w="80" w:type="dxa"/>
            <w:vAlign w:val="bottom"/>
            <w:tcBorders>
              <w:top w:val="single" w:sz="8" w:color="auto"/>
              <w:right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680" w:type="dxa"/>
            <w:vAlign w:val="bottom"/>
            <w:tcBorders>
              <w:top w:val="single" w:sz="8" w:color="auto"/>
              <w:lef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17,462,283</w:t>
            </w: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gridSpan w:val="4"/>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10,622</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gridSpan w:val="4"/>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(179,641)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(169,001)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Series B-1 redeemable preferred stock</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issuance, net of issuance costs of $23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1,450,000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3"/>
                <w:szCs w:val="13"/>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Equity-based compensation expense</w:t>
            </w:r>
          </w:p>
        </w:tc>
        <w:tc>
          <w:tcPr>
            <w:tcW w:w="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4"/>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800" w:type="dxa"/>
            <w:vAlign w:val="bottom"/>
            <w:tcBorders>
              <w:left w:val="single" w:sz="8" w:color="CCEEFF"/>
            </w:tcBorders>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 and comprehensive loss</w:t>
            </w:r>
          </w:p>
        </w:tc>
        <w:tc>
          <w:tcPr>
            <w:tcW w:w="2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4"/>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80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(1,375)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April 4, 2021</w:t>
            </w:r>
          </w:p>
        </w:tc>
        <w:tc>
          <w:tcPr>
            <w:tcW w:w="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8,950,001</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19,320</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3,129,634</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117,038</w:t>
            </w:r>
          </w:p>
        </w:tc>
        <w:tc>
          <w:tcPr>
            <w:tcW w:w="80" w:type="dxa"/>
            <w:vAlign w:val="bottom"/>
            <w:tcBorders>
              <w:top w:val="single" w:sz="8" w:color="auto"/>
              <w:right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680" w:type="dxa"/>
            <w:vAlign w:val="bottom"/>
            <w:tcBorders>
              <w:top w:val="single" w:sz="8" w:color="auto"/>
              <w:lef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17,462,283</w:t>
            </w: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gridSpan w:val="4"/>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11,054</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gridSpan w:val="4"/>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(181,016)</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(169,944)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Equity-based compensation expense</w:t>
            </w:r>
          </w:p>
        </w:tc>
        <w:tc>
          <w:tcPr>
            <w:tcW w:w="2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4"/>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80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681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 and comprehensive income</w:t>
            </w:r>
          </w:p>
        </w:tc>
        <w:tc>
          <w:tcPr>
            <w:tcW w:w="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4"/>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800" w:type="dxa"/>
            <w:vAlign w:val="bottom"/>
            <w:tcBorders>
              <w:left w:val="single" w:sz="8" w:color="CCEEFF"/>
            </w:tcBorders>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8,344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4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as of July 4, 2021</w:t>
            </w:r>
          </w:p>
        </w:tc>
        <w:tc>
          <w:tcPr>
            <w:tcW w:w="20" w:type="dxa"/>
            <w:vAlign w:val="bottom"/>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8,950,001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19,320</w:t>
            </w:r>
          </w:p>
        </w:tc>
        <w:tc>
          <w:tcPr>
            <w:tcW w:w="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3,129,634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117,038</w:t>
            </w:r>
          </w:p>
        </w:tc>
        <w:tc>
          <w:tcPr>
            <w:tcW w:w="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17,462,283</w:t>
            </w:r>
          </w:p>
        </w:tc>
        <w:tc>
          <w:tcPr>
            <w:tcW w:w="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4"/>
          </w:tcPr>
          <w:p>
            <w:pPr>
              <w:jc w:val="right"/>
              <w:spacing w:after="0" w:line="129" w:lineRule="exact"/>
              <w:rPr>
                <w:sz w:val="20"/>
                <w:szCs w:val="20"/>
                <w:color w:val="auto"/>
              </w:rPr>
            </w:pPr>
            <w:r>
              <w:rPr>
                <w:rFonts w:ascii="Times New Roman" w:cs="Times New Roman" w:eastAsia="Times New Roman" w:hAnsi="Times New Roman"/>
                <w:sz w:val="13"/>
                <w:szCs w:val="13"/>
                <w:color w:val="auto"/>
              </w:rPr>
              <w:t>11,735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4"/>
          </w:tcPr>
          <w:p>
            <w:pPr>
              <w:jc w:val="right"/>
              <w:spacing w:after="0" w:line="129" w:lineRule="exact"/>
              <w:rPr>
                <w:sz w:val="20"/>
                <w:szCs w:val="20"/>
                <w:color w:val="auto"/>
              </w:rPr>
            </w:pPr>
            <w:r>
              <w:rPr>
                <w:rFonts w:ascii="Times New Roman" w:cs="Times New Roman" w:eastAsia="Times New Roman" w:hAnsi="Times New Roman"/>
                <w:sz w:val="13"/>
                <w:szCs w:val="13"/>
                <w:color w:val="auto"/>
              </w:rPr>
              <w:t>(172,672)</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(160,919)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Equity-based compensation expense</w:t>
            </w:r>
          </w:p>
        </w:tc>
        <w:tc>
          <w:tcPr>
            <w:tcW w:w="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5"/>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left w:val="single" w:sz="8" w:color="CCEEFF"/>
            </w:tcBorders>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775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 and comprehensive income</w:t>
            </w:r>
          </w:p>
        </w:tc>
        <w:tc>
          <w:tcPr>
            <w:tcW w:w="2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4"/>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80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3,850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October 3, 2021</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8,950,001</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19,320</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3,129,634</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117,038</w:t>
            </w:r>
          </w:p>
        </w:tc>
        <w:tc>
          <w:tcPr>
            <w:tcW w:w="80" w:type="dxa"/>
            <w:vAlign w:val="bottom"/>
            <w:tcBorders>
              <w:top w:val="single" w:sz="8" w:color="auto"/>
              <w:bottom w:val="single" w:sz="8" w:color="auto"/>
              <w:right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680" w:type="dxa"/>
            <w:vAlign w:val="bottom"/>
            <w:tcBorders>
              <w:top w:val="single" w:sz="8" w:color="auto"/>
              <w:left w:val="single" w:sz="8" w:color="CCEEFF"/>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17,462,283</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bottom w:val="single" w:sz="8" w:color="auto"/>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gridSpan w:val="4"/>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12,510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gridSpan w:val="4"/>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(168,822)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(156,294)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20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w:t>
      </w: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October 2,</w:t>
            </w: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8,971</w:t>
            </w: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Noncash lease expense</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Amortization of debt discount and debt issuance costs</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expense capitalized to principal of long-term debt and revolving line of credit</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income taxes</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(3,757)</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(27,240)</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Assets for recovery</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(2,931)</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(1,806)</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(405)</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16,333</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(1,869)</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(1,902)</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(97)</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8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borrowings on revolving line of credit</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Repayments on revolving line of credit</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(30,000)</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the issuance of redeemable preferred stock, net of issuance costs</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(541)</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 of offering costs related to Initial Public Offering</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(832)</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8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(11,401)</w:t>
            </w: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8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11,908</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8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12,972</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12,465</w:t>
            </w: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8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 at end of period</w:t>
            </w:r>
          </w:p>
        </w:tc>
        <w:tc>
          <w:tcPr>
            <w:tcW w:w="8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12,972</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9080"/>
        <w:spacing w:after="0"/>
        <w:rPr>
          <w:sz w:val="20"/>
          <w:szCs w:val="20"/>
          <w:color w:val="auto"/>
        </w:rPr>
      </w:pPr>
      <w:r>
        <w:rPr>
          <w:rFonts w:ascii="Times New Roman" w:cs="Times New Roman" w:eastAsia="Times New Roman" w:hAnsi="Times New Roman"/>
          <w:sz w:val="16"/>
          <w:szCs w:val="16"/>
          <w:color w:val="auto"/>
        </w:rPr>
        <w:t>(Continued)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180" w:type="dxa"/>
            <w:vAlign w:val="bottom"/>
          </w:tcPr>
          <w:p>
            <w:pPr>
              <w:spacing w:after="0"/>
              <w:rPr>
                <w:sz w:val="12"/>
                <w:szCs w:val="12"/>
                <w:color w:val="auto"/>
              </w:rPr>
            </w:pPr>
          </w:p>
        </w:tc>
        <w:tc>
          <w:tcPr>
            <w:tcW w:w="1000" w:type="dxa"/>
            <w:vAlign w:val="bottom"/>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income taxes, net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4,834</w:t>
            </w: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Addition of right-of-use assets, including prepaid rent, net of deferred rent recorded upon adoption of ASC</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842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28,018</w:t>
            </w:r>
          </w:p>
        </w:tc>
        <w:tc>
          <w:tcPr>
            <w:tcW w:w="2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 of lease liabilities recorded upon adoption of ASC 842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 acquired under operating lease obligations</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acquired under finance lease obligations</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and accrued expenses</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withheld for withholding tax on restricted stock units</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Debt issuance costs included in accrued expenses</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Paid-in-kind interest added to principal balance of long-term debt and revolving line of credit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Deferred offering costs in accounts payable</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(Concluded)</w:t>
            </w: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87" w:lineRule="exact"/>
        <w:rPr>
          <w:sz w:val="20"/>
          <w:szCs w:val="20"/>
          <w:color w:val="auto"/>
        </w:rPr>
      </w:pPr>
    </w:p>
    <w:p>
      <w:pPr>
        <w:ind w:left="700" w:hanging="650"/>
        <w:spacing w:after="0"/>
        <w:tabs>
          <w:tab w:leader="none" w:pos="7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Organization and Liquidity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Pursuant to a reorganization, Lulu’s Fashion Lounge Holdings, Inc., a Delaware Corporation (“Lulus”, or the “Company”), was formed on August 25, 2017 as a holding company and its primary asset is an indirect membership interest in Lulu’s Fashion Lounge, LLC (“Lulus LLC”). Prior to the sale of the Company’s Series A convertible preferred stock in April 2018, the Company was wholly-owned by Lulu’s Holdings, L.P. (the “LP”). Prior to the Company’s initial public offering in November 2021, the Company was majority-owned by the LP.</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Lulus LLC was founded in 1996, starting as a vintage boutique in Chico, CA that began selling online in 2005 and transitioned to a purely online business in 2008. The LP was formed in 2014 as a holding company and purchased 100% of Lulus LLC’s outstanding common stock in 2014. The Company, through Lulus LLC, is an online retailer of women’s clothing, shoes and accessories headquartered in Chico, CA.</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November 10, 2021, the Company’s registration statement on Form S-1 relating to its initial public offering (“IPO”) was declared effective by the Securities and Exchange Commission (“SEC”) and the shares of its common stock began trading on the Nasdaq Global Market on November 11, 2021. The IPO closed on November 15, 2021, pursuant to which the Company issued and sold 5,750,000 shares of its common stock at a public offering price of $16.00 per share. On November 15, 2021, the Company received net proceeds of approximately $82.0 million from the IPO, after deducting underwriting discounts and commissions of approximately $6.1 million and other issuance costs of approximately $3.9 million. Immediately prior to the completion of the IPO, all shares of the Series A Preferred Stock then outstanding were converted into 15,000,000 shares of common stock. Additionally, 215,702 shares of common stock were issued to the LP immediately prior to the completion of the IPO. All shares of the Series B Preferred Stock and the Series B-1 Preferred Stock were redeemed and extinguished for a total payment of approximately $17.9 million on November 15, 2021.</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COVID-19 Pandemic</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While there continues to be uncertainty related to the COVID-19 pandemic, we believe the significant impact of the pandemic on the demand for our product, related to social distancing mandates, lockdowns, cancelled social events and travel, has largely subsided. However, we are still susceptible to broader COVID-19 risks globally, especially in relation to our supply chain. We continue to take actions to anticipate changes in the business environment and supply chain pressures, including placing orders earlier than pre-pandemic times, leveraging our “test, learn and reorder” approach to test small order quantities and then graduate successful styles to our re-order algorithms and diversifying our supply chain network to mitigate rising costs and service delays. We have modified our business practices in response to the COVID-19 pandemic and plan to continue to take proactive measures.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Trends on Business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Changing macroeconomic factors, including inflation, interest rates, fuel prices, and overall consumer confidence with respect to current and future economic conditions, have directly impacted our sales in fiscal 2022 as discretionary consumer spending levels and shopping behavior fluctuate with these factors. During fiscal 2022, we have responded to these factors by taking appropriate pricing, promotional and other actions to stimulate customer demand. These factors are expected to continue to have an impact on our business, results of operations, our growth and financial condition.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87" w:lineRule="exact"/>
        <w:rPr>
          <w:sz w:val="20"/>
          <w:szCs w:val="20"/>
          <w:color w:val="auto"/>
        </w:rPr>
      </w:pPr>
    </w:p>
    <w:p>
      <w:pPr>
        <w:ind w:left="700" w:hanging="650"/>
        <w:spacing w:after="0"/>
        <w:tabs>
          <w:tab w:leader="none" w:pos="7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Fiscal Year</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fiscal year consists of a 52-week or 53-week period ending on the Sunday nearest December 31.</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and accompanying notes include the accounts of the Company and its wholly owned subsidiaries, after elimination of all intercompany balances and transactions. The accompanying condensed consolidated financial statements have been prepared in accordance with accounting principles generally accepted in the Unites States of America (“GAAP”) and the requirements of the SEC for interim reporting. As permitted under these rules, certain information and disclosures normally included in consolidated financial statements prepared in accordance with GAAP have been condensed or omitted. The interim condensed consolidated financial statements are unaudited. The unaudited interim condensed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October 2, 2022 and its results of operations for the thirteen and thirty-nine weeks ended October 2, 2022 and October 3, 2021 and its cash flows for the thirty-nine weeks ended October 2, 2022 and October 3, 2021. The results of operations for the thirty-nine weeks ended October 2, 2022 are not necessarily indicative of the results to be expected for the fiscal year ending January 1, 2023 or for any other future annual or interim period.</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condensed consolidated balance sheet as of January 2, 2022 was derived from the Company’s audited consolidated financial statements, which are included in the Company’s Annual Report on Form 10-K as filed with the SEC on March 31,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consolidated financial statements are consistent with those discussed in Note 2 to the audited consolidated financial statements included in the Company’s Annual Report on Form 10-K for the year ended January 2, 2022, except as noted below and within the "Adopted and Recently Issued Accounting Pronouncements" section.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 of assets and liabilities and disclosure of contingent assets and liabilities at the date of the condensed consolidated financial statements and the reported amounts of revenue and expenses during the reporting period. The significant estimates and assumptions made by management relate to sales return reserves and related assets for recovery, lease right-of-use assets and related lease liabilities, and income tax valuation allowance.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consolidated financial statements in future periods. As future events and their effects cannot be determined with precision, actual results could materially differ from those estimates and assumptions.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cash equivalents and restricted cash. At times, such amounts may exceed federally insured limits. The Company reduces credit risk by depositing its cash with major credit-worthy financial institutions within the United States. To date, the Company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has not experienced any losses on its cash deposits. As of October 2, 2022 and January 2, 2022, a single wholesale customer represented 23% and 24%, respectively, of the Company’s accounts receivable balance. No customer accounted for greater than 10% of the Company’s net revenue during the thirteen and thirty-nine weeks ended October 2, 2022 and October 3, 2021.</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ind w:left="60" w:right="379"/>
        <w:spacing w:after="0" w:line="284" w:lineRule="auto"/>
        <w:rPr>
          <w:sz w:val="20"/>
          <w:szCs w:val="20"/>
          <w:color w:val="auto"/>
        </w:rPr>
      </w:pPr>
      <w:r>
        <w:rPr>
          <w:rFonts w:ascii="Times New Roman" w:cs="Times New Roman" w:eastAsia="Times New Roman" w:hAnsi="Times New Roman"/>
          <w:sz w:val="18"/>
          <w:szCs w:val="18"/>
          <w:i w:val="1"/>
          <w:iCs w:val="1"/>
          <w:color w:val="auto"/>
        </w:rPr>
        <w:t>Prior to the adoption of Financial Accounting Standards Board (“FASB”) Accounting Standards Codification (“ASC”) 842 on January 3, 2022</w:t>
      </w:r>
    </w:p>
    <w:p>
      <w:pPr>
        <w:spacing w:after="0" w:line="16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Leases were reviewed for classification as operating or capital leases. For operating leases, the Company recognized rent on a straight-line basis over the term of the lease. The Company recorded the difference between cash payments and rent expense recognized as a deferred rent liability included in other accrued and current liabilities and other noncurrent liabilities on the condensed consolidated balance sheets. Incentives granted under the Company’s facility leases, including allowances to fund leasehold improvements, were deferred and are recognized as adjustments to rental expense on a straight-line basis over the term of the lease. The Company changed its method of accounting for leases as of January 3, 2022 due to the adoption of FASB ASC 842, Leases (“ASC 842”).</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Subsequent to the adoption of ASC 842 on January 3, 2022</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Contracts that have been determined to convey the right to use an identified asset are evaluated for classification as an operating or finance lease. For the Company’s operating and finance leases, the Company records a lease liability based on the present value of the lease payments at lease inception. The present value of lease payments is determined by using the interest rate implicit in the lease, if that rate is readily determinable; otherwise, the Company uses its incremental borrowing rate (“IBR”). The determination of the IBR requires judgment and is primarily based on publicly-available information for companies within similar industries and with similar credit profiles. We adjust the rate for the impact of collateralization, the lease term and other specific terms included in each lease arrangement. The IBR is determined at the lease commencement and is subsequently reassessed upon a modification to the lease arrangement. The right-of-use asset is recorded based on the corresponding lease liability at lease inception, adjusted for payments made to the lessor at or before the commencement date, initial direct costs incurred and any tenant incentives allowed for under the lease. The Company does not include optional renewal terms or early termination provisions unless the Company is reasonably certain such options would be exercised at the inception of the lease. Lease right-of-use assets, current portion of lease liabilities, and lease liabilities, net of current portion are included on the condensed consolidated balance sheets.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Fixed lease expense for operating leases is recognized on a straight-line basis, unless the right-of-use assets have been impaired, over the reasonably assured lease term based on the total lease payments and is included in operating expenses in the condensed consolidated statements of operations and comprehensive income. Fixed and variable lease expense on operating leases is recognized within operating expenses in the condensed consolidated statements of operations and comprehensive income. Finance lease expenses are recognized on a straight-line basis. Fixed and variable expenses are captured within interest expense and depreciation expense, which has components within general and administrative expenses and cost of revenue. The Company’s non-lease components are primarily related to maintenance, insurance and taxes, which varies based on future outcomes and is thus recognized in lease expense when incurred.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generates revenue primarily from the sale of merchandise products directly to end customers. The sale of products is a distinct performance obligation, and revenue is recognized at a point in time when control of the promised product is transferred to customers, which the Company determined occurs upon shipment based on its evaluation of the related shipping terms. Revenue is recognized in an amount that reflects the transaction price consideration that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Company expects to receive in exchange for those products. The Company’s payment terms are typically at the point of sale for merchandise product sales.</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elected to exclude from revenue taxes assessed by governmental authorities, including value-added and other sales-related taxes, that are imposed on and concurrent with revenue-producing activities. The Company has elected to apply the practical expedient, relative to e-commerce sales, which allows an entity to account for shipping and handling as fulfillment activities, and not a separate performance obligation. Accordingly, the Company recognizes revenue for only one performance obligation, the sale of the product, at shipping point (when the customer gains control). Shipping and handling costs associated with outbound freight are accounted for as fulfillment costs and are included in cost of goods sold. The Company has elected to apply the practical expedient to expense costs as incurred for incremental costs to obtain a contract when the amortization period would have been one year or less.</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Revenue from merchandise product sales is reported net of sales returns, which includes an estimate of future returns based on historical return rates, with a corresponding reduction to cost of sales. There is judgment in utilizing historical trends for estimating future returns. The Company’s refund liability for sales returns is included in the returns reserve on its condensed consolidated balance sheets and represents the expected value of the refund that will be due to the Company’s customers. The Company also has corresponding assets for recovery that represent the expected net realizable value of the merchandise inventory to be returned.</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sells stored-value gift cards to customers and offers merchandise credit stored-value cards for certain returns. Such stored-value cards do not have an expiration date. The Company recognizes revenue from stored-value cards when the card is redeemed by the customer. The Company has determined that sufficient evidence exists to support an estimate for stored-value card breakage. Subject to requirements to remit balances to governmental agencies, breakage is recognized as revenue in proportion to the pattern of rights exercised by the customer, which is substantially within thirty-six months from the date of issuance. The amount of breakage recognized in revenue during the thirteen and thirty-nine weeks ended October 2, 2022 and October 3, 2021 was not material.</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has two types of contractual liabilities: (i) cash collections from its customers prior to delivery of products purchased (“deferred revenue”), which are initially recorded within accrued expenses and recognized as revenue when the products are shipped, (ii) unredeemed gift cards and online store credits, which are initially recorded as a stored-value card liability and are recognized as revenue in the period they are redeemed.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1"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significant changes in the contract liabilities balances during the thirteen and thirty-nine weeks ended October 2, 2022 and October 3, 2021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Stored-Value</w:t>
            </w:r>
          </w:p>
        </w:tc>
      </w:tr>
      <w:tr>
        <w:trPr>
          <w:trHeight w:val="173"/>
        </w:trPr>
        <w:tc>
          <w:tcPr>
            <w:tcW w:w="64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8"/>
              </w:rPr>
              <w:t>Cards</w:t>
            </w:r>
          </w:p>
        </w:tc>
      </w:tr>
      <w:tr>
        <w:trPr>
          <w:trHeight w:val="20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2, 2022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w:t>
            </w:r>
          </w:p>
        </w:tc>
      </w:tr>
      <w:tr>
        <w:trPr>
          <w:trHeight w:val="198"/>
        </w:trPr>
        <w:tc>
          <w:tcPr>
            <w:tcW w:w="6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period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r>
      <w:tr>
        <w:trPr>
          <w:trHeight w:val="198"/>
        </w:trPr>
        <w:tc>
          <w:tcPr>
            <w:tcW w:w="6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during the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April 3, 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w:t>
            </w:r>
          </w:p>
        </w:tc>
      </w:tr>
      <w:tr>
        <w:trPr>
          <w:trHeight w:val="198"/>
        </w:trPr>
        <w:tc>
          <w:tcPr>
            <w:tcW w:w="6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period</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r>
      <w:tr>
        <w:trPr>
          <w:trHeight w:val="198"/>
        </w:trPr>
        <w:tc>
          <w:tcPr>
            <w:tcW w:w="6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during the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w:t>
            </w:r>
          </w:p>
        </w:tc>
      </w:tr>
      <w:tr>
        <w:trPr>
          <w:trHeight w:val="20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July 3, 2022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w:t>
            </w:r>
          </w:p>
        </w:tc>
      </w:tr>
      <w:tr>
        <w:trPr>
          <w:trHeight w:val="198"/>
        </w:trPr>
        <w:tc>
          <w:tcPr>
            <w:tcW w:w="6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period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r>
      <w:tr>
        <w:trPr>
          <w:trHeight w:val="198"/>
        </w:trPr>
        <w:tc>
          <w:tcPr>
            <w:tcW w:w="6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during the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w:t>
            </w: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October 2, 2022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8,812</w:t>
            </w: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88"/>
        </w:trPr>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Stored-Value</w:t>
            </w:r>
          </w:p>
        </w:tc>
      </w:tr>
      <w:tr>
        <w:trPr>
          <w:trHeight w:val="173"/>
        </w:trPr>
        <w:tc>
          <w:tcPr>
            <w:tcW w:w="64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8"/>
              </w:rPr>
              <w:t>Cards</w:t>
            </w: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3, 2021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w:t>
            </w:r>
          </w:p>
        </w:tc>
      </w:tr>
      <w:tr>
        <w:trPr>
          <w:trHeight w:val="198"/>
        </w:trPr>
        <w:tc>
          <w:tcPr>
            <w:tcW w:w="6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period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198"/>
        </w:trPr>
        <w:tc>
          <w:tcPr>
            <w:tcW w:w="6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during the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April 4, 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w:t>
            </w:r>
          </w:p>
        </w:tc>
      </w:tr>
      <w:tr>
        <w:trPr>
          <w:trHeight w:val="198"/>
        </w:trPr>
        <w:tc>
          <w:tcPr>
            <w:tcW w:w="6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period</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198"/>
        </w:trPr>
        <w:tc>
          <w:tcPr>
            <w:tcW w:w="6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during the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July 4, 2021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r>
      <w:tr>
        <w:trPr>
          <w:trHeight w:val="198"/>
        </w:trPr>
        <w:tc>
          <w:tcPr>
            <w:tcW w:w="6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period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198"/>
        </w:trPr>
        <w:tc>
          <w:tcPr>
            <w:tcW w:w="6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during the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October 3, 2021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w:t>
            </w: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Advertising costs included in selling and marketing expenses were $14.8 million and $13.9 million for the thirteen weeks ended October 2, 2022 and October 3, 2021, respectively, and $52.0 million and $34.0 million for the thirty-nine weeks ended October 2, 2022 and October 3, 2021,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 Attributable to Common Stockholders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calculates basic and diluted net income per share attributable to common stockholders in conformity with the two-class method required for participating securities as the application of the if converted method is not more dilutive. The two-class method requires income available to common stockholders for the period to be allocated between common stock and participating securities based upon their respective rights to receive dividends as if all income for the period had been distributed.</w:t>
      </w:r>
    </w:p>
    <w:p>
      <w:pPr>
        <w:spacing w:after="0" w:line="18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considered its redeemable preferred stock and convertible preferred stock outstanding during fiscal 2021 to be participating securities. In accordance with the two-class method, net income is adjusted for earnings allocated to these participating securities and the related number of outstanding shares of the participating securities, which include contractual participation rights in undistributed earnings, have been excluded from the computation of basic and diluted net income per share attributable to common stockholders. The redeemable preferred stock and convertible preferred stock contractually entitle the holders of such shares to participate in dividends but do not contractually require the holders of such shares to participate in the Company’s losses. As such, where applicable, net losses were not allocated to these securities.</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Basic net income per share attributable to common stockholders is computed using net income attributable to common stockholders divided by the weighted average number of common shares outstanding during the period. Diluted net income per share attributable to common stockholders represents net income attributable to common stockholders divided by the weighted average number of common shares outstanding during the period, including the effects of any dilutive securities outstanding.</w:t>
      </w:r>
    </w:p>
    <w:p>
      <w:pPr>
        <w:spacing w:after="0" w:line="183"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weighted average shares used to compute net income per share attributable to common stockholders: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1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10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226"/>
        </w:trPr>
        <w:tc>
          <w:tcPr>
            <w:tcW w:w="470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2, 2022</w:t>
            </w:r>
          </w:p>
        </w:tc>
        <w:tc>
          <w:tcPr>
            <w:tcW w:w="2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October 3, 2021 October 2, 2022</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3, 2021</w:t>
            </w:r>
          </w:p>
        </w:tc>
        <w:tc>
          <w:tcPr>
            <w:tcW w:w="0" w:type="dxa"/>
            <w:vAlign w:val="bottom"/>
          </w:tcPr>
          <w:p>
            <w:pPr>
              <w:spacing w:after="0"/>
              <w:rPr>
                <w:sz w:val="1"/>
                <w:szCs w:val="1"/>
                <w:color w:val="auto"/>
              </w:rPr>
            </w:pPr>
          </w:p>
        </w:tc>
      </w:tr>
      <w:tr>
        <w:trPr>
          <w:trHeight w:val="178"/>
        </w:trPr>
        <w:tc>
          <w:tcPr>
            <w:tcW w:w="470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Weighted average shares used to compute net income per share</w:t>
            </w: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attributable to common stockholders – Basic</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38,711,915</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17,462,283</w:t>
            </w: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38,448,656</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17,462,283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securities: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38,845</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67,197</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79,745</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compensation awards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86,326</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103,512</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47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Weighted average shares used to compute net income per share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38,898,416</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17,462,283</w:t>
            </w:r>
          </w:p>
        </w:tc>
        <w:tc>
          <w:tcPr>
            <w:tcW w:w="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38,699,110</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17,462,283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 common stockholders – Diluted</w:t>
            </w: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7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securities were excluded from the computation of diluted net income per share attributable to common stockholders for the periods presented because including them would have been anti-dilutive (on an as-converted basis):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4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40" w:type="dxa"/>
            <w:vAlign w:val="bottom"/>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73"/>
        </w:trPr>
        <w:tc>
          <w:tcPr>
            <w:tcW w:w="378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 2022</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 2021</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 2021</w:t>
            </w:r>
          </w:p>
        </w:tc>
      </w:tr>
      <w:tr>
        <w:trPr>
          <w:trHeight w:val="209"/>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320" w:type="dxa"/>
            <w:vAlign w:val="bottom"/>
            <w:tcBorders>
              <w:top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3,129,634</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3,129,634</w:t>
            </w: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322,793</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322,793</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322,793</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322,793</w:t>
            </w: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164,547</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1,151,584</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918,593</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shares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1,685,418</w:t>
            </w:r>
          </w:p>
        </w:tc>
        <w:tc>
          <w:tcPr>
            <w:tcW w:w="2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3,452,427</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1,452,427</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3,452,427</w:t>
            </w:r>
          </w:p>
        </w:tc>
      </w:tr>
      <w:tr>
        <w:trPr>
          <w:trHeight w:val="20"/>
        </w:trPr>
        <w:tc>
          <w:tcPr>
            <w:tcW w:w="3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90"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as amended, which requires lessees to recognize a right-of-use asset and lease liability on their condensed consolidated balance sheets for all leases with a term longer than 12 months. Under the new lease standard, the Company determines if an arrangement is a lease at inception. Lease liabilities and their corresponding right-of-use assets are recorded based on the present value of lease payments over the expected lease term. In determining the present value of lease payments, the Company uses its incremental borrowing rate based on the information available at the lease commencement date if the rate implicit in the lease is not readily determinable.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right-of-use assets and lease liabilities for all leases with a term of greater than 12 months regardless of their classification. Leases with a term of 12 months or less may be accounted for similar to existing guidance for operating leases today and are not recorded on the Company’s balance sheet. The Company adopted the new standard as of January 3, 2022 on a modified retrospective basis under the alternative transition method. The Company elected to take the practical expedient to not separate lease and non-lease components as part of the adoption. Lease agreements entered into after the adoption of Topic 842 that include lease and non-lease components are accounted for as a single lease component. Beginning on January 3, 2022, the Company’s operating leases, excluding those with terms less than 12 months, were discounted and recorded as assets and liabilities on the Company’s balance sheet. As of the effective date of adoption, the Company recognized lease right-of-use assets of $28.0 million, which included $0.4 million previously recorded as prepaid rent net of $1.0 million previously recorded as deferred rent, $2.2 million of current lease liabilities and $26.4 million in lease liabilities, net of current portion, related to its operating leases.</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which is intended to simplify various aspects related to accounting for income taxes. ASU 2019-12 removes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exceptions to the general principles in Topic 740 and also clarifies and amends existing guidance to improve consistent application. This standard is effective for fiscal periods beginning after December 15, 2021, including interim periods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within fiscal years beginning after December 15, 2022, with early adoption permitted. The Company adopted this guidance on January 3, 2022, and it did not have a material impact on its condensed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on Financial Instruments</w:t>
      </w:r>
      <w:r>
        <w:rPr>
          <w:rFonts w:ascii="Times New Roman" w:cs="Times New Roman" w:eastAsia="Times New Roman" w:hAnsi="Times New Roman"/>
          <w:sz w:val="18"/>
          <w:szCs w:val="18"/>
          <w:color w:val="auto"/>
        </w:rPr>
        <w:t>, as amended, which amends guidance on reporting credit losses for assets held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cost basis and available-for-sale debt securities from an incurred loss methodology to an expected loss methodology. For assets held at amortized cost basis, the guidance eliminates the probable initial recognition threshold and instead requires an entity to reflect its current estimate of all expected credit losses. The allowance for credit losses is a valuation account that is deducted from the amortized cost basis of the assets to present the net amount expected to be collected. For available-for-sale debt securities, credit losses are recorded through an allowance for credit losses, rather than a write-down, limited to the amount by which fair value is below amortized cost. Additional disclosures about significant estimates and credit quality are also required. The guidance is effective for the Company for fiscal years beginning after December 15, 2022. The Company is currently assessing the potential impact of adopting ASU 2016-13 on its condensed consolidated financial statements and does not expect the adoption to have a material impact.</w:t>
      </w:r>
    </w:p>
    <w:p>
      <w:pPr>
        <w:spacing w:after="0" w:line="192"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 Rate Reform on Financial Accounting</w:t>
      </w:r>
      <w:r>
        <w:rPr>
          <w:rFonts w:ascii="Times New Roman" w:cs="Times New Roman" w:eastAsia="Times New Roman" w:hAnsi="Times New Roman"/>
          <w:sz w:val="18"/>
          <w:szCs w:val="18"/>
          <w:color w:val="auto"/>
        </w:rPr>
        <w:t>, which, as amended, provides optional guidance for a limited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ease the potential burden in accounting for (or reorganizing the effects of) reference rate reform on financial reporting. This standard can be adopted immediately, however, the guidance will only be available until December 31, 2022. The Company is currently evaluating the potential impact of adopting this guidance on its condensed consolidated financial statements.</w:t>
      </w:r>
    </w:p>
    <w:p>
      <w:pPr>
        <w:spacing w:after="0" w:line="207" w:lineRule="exact"/>
        <w:rPr>
          <w:sz w:val="20"/>
          <w:szCs w:val="20"/>
          <w:color w:val="auto"/>
        </w:rPr>
      </w:pPr>
    </w:p>
    <w:p>
      <w:pPr>
        <w:ind w:left="700" w:hanging="650"/>
        <w:spacing w:after="0"/>
        <w:tabs>
          <w:tab w:leader="none" w:pos="7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Company’s financial instruments consist of cash and cash equivalents, restricted cash, accounts payable, accrued expenses, revolving line of credit and long-term debt. As of October 2, 2022 and January 2, 2022, the carrying values of cash and cash equivalents, restricted cash, accounts payable and accrued expenses approximate fair value due to their short-term maturities. The fair value of the Company’s New Revolving Facility that provides for borrowings up to $50.0 million (see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approximates its carrying value as the stated interest rates reset daily at the daily secured overnight financing rate (“SOFR”) plus an applicable margin and, as such, approximate market rates currently available to the Company. The Company does not have any financial instruments that were determined to be Level 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87" w:lineRule="exact"/>
        <w:rPr>
          <w:sz w:val="20"/>
          <w:szCs w:val="20"/>
          <w:color w:val="auto"/>
        </w:rPr>
      </w:pPr>
    </w:p>
    <w:p>
      <w:pPr>
        <w:ind w:left="700" w:hanging="650"/>
        <w:spacing w:after="0"/>
        <w:tabs>
          <w:tab w:leader="none" w:pos="7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14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w:t>
            </w:r>
          </w:p>
        </w:tc>
        <w:tc>
          <w:tcPr>
            <w:tcW w:w="16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2,</w:t>
            </w:r>
          </w:p>
        </w:tc>
      </w:tr>
      <w:tr>
        <w:trPr>
          <w:trHeight w:val="173"/>
        </w:trPr>
        <w:tc>
          <w:tcPr>
            <w:tcW w:w="20" w:type="dxa"/>
            <w:vAlign w:val="bottom"/>
          </w:tcPr>
          <w:p>
            <w:pPr>
              <w:spacing w:after="0"/>
              <w:rPr>
                <w:sz w:val="15"/>
                <w:szCs w:val="15"/>
                <w:color w:val="auto"/>
              </w:rPr>
            </w:pPr>
          </w:p>
        </w:tc>
        <w:tc>
          <w:tcPr>
            <w:tcW w:w="402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9"/>
        </w:trPr>
        <w:tc>
          <w:tcPr>
            <w:tcW w:w="20" w:type="dxa"/>
            <w:vAlign w:val="bottom"/>
          </w:tcPr>
          <w:p>
            <w:pPr>
              <w:spacing w:after="0"/>
              <w:rPr>
                <w:sz w:val="18"/>
                <w:szCs w:val="18"/>
                <w:color w:val="auto"/>
              </w:rPr>
            </w:pPr>
          </w:p>
        </w:tc>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9,010</w:t>
            </w: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(5,779)</w:t>
            </w: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of property and equipment for the thirteen weeks ended October 2, 2022 and October 3, 2021 was $0.7 million and $0.3 million, respectively, and for the thirty-nine weeks ended October 2, 2022 and October 3, 2021, was $1.7 million and $0.9 million,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January 2,</w:t>
            </w:r>
          </w:p>
        </w:tc>
      </w:tr>
      <w:tr>
        <w:trPr>
          <w:trHeight w:val="173"/>
        </w:trPr>
        <w:tc>
          <w:tcPr>
            <w:tcW w:w="20" w:type="dxa"/>
            <w:vAlign w:val="bottom"/>
          </w:tcPr>
          <w:p>
            <w:pPr>
              <w:spacing w:after="0"/>
              <w:rPr>
                <w:sz w:val="15"/>
                <w:szCs w:val="15"/>
                <w:color w:val="auto"/>
              </w:rPr>
            </w:pPr>
          </w:p>
        </w:tc>
        <w:tc>
          <w:tcPr>
            <w:tcW w:w="5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Accrued distributions payable to former Class P unit holders</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marketing</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Accrued inventory</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r>
      <w:tr>
        <w:trPr>
          <w:trHeight w:val="210"/>
        </w:trPr>
        <w:tc>
          <w:tcPr>
            <w:tcW w:w="2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21,948</w:t>
            </w: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700" w:hanging="650"/>
        <w:spacing w:after="0"/>
        <w:tabs>
          <w:tab w:leader="none" w:pos="7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New Revolving Facility</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During November 2021, the Company entered into a Credit Agreement with Bank of America (the “Credit Agreement”) to provide the New Revolving Facility that provides for borrowings up to $50.0 million (the "New Revolving Facility"). During the term of the Credit Agreement, the Company can increase the aggregate amount of the New Revolving Facility up to an additional $25.0 million (for maximum aggregate lender commitments of up to $75.0 million), subject to the satisfaction of certain conditions under the Credit Agreement, including obtaining the consent of the administrative agent and an increased commitment from existing or new lenders. In addition, the Credit Agreement may be used to issue letters of credit up to $7.5 million (“Letter of Credit”). During the thirty-nine weeks ended October 2, 2022, the Company borrowed $20 million under the New Revolving Facility and repaid $30.0 million of the outstanding balance. The New Revolving Facility matures on November 15, 2024, while the Letter of Credit matures on November 8, 2024. As of October 2, 2022, we had $0.3 million outstanding under the Letter of Credit. As of October 2, 2022, we had $34.8 million available for borrowing under the New Revolving Facility and $7.3 million available to issue letters of credit.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All borrowings under the Credit Agreement accrue interest at a rate equal to, at the Company’s option, either (x) the term daily SOFR, plus the applicable SOFR adjustment plus a margin of 1.75% per annum or (y) the base rate plus a margin of 0.75% (with the base rate being the highest of the federal funds rate plus 0.50%, the prime rate and term SOFR for a period of one month plus 1.00%). Additionally, a commitment fee of 37.5 basis points will be assessed on unused commitments under the New Revolving Facility, taking into account the sum of outstanding borrowings and Letter of Credit obligations. As of October 2, 2022, the interest rate for the New Revolving Facility was 4.8%. During the thirteen and thirty-nine weeks ended October 2, 2022, the effective interest rate for the New Revolving Facility was 4.7% and 3.7%, respectively.</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Amounts borrowed under the Credit Agreement are collateralized by all assets of the Company and contains various financial and non-financial covenants for reporting, protecting and obtaining adequate insurance coverage for assets collateralized and for coverage of business operations, and complying with requirements, including the payment of all necessary taxes and fees for all federal, state and local government entities. Immediately upon the occurrence and during the continuance of an event of default, including the noncompliance with the above covenants, the lender may increase the interest rate per annum by 2.0% above the rate that would be otherwise applicable. As of October 2, 2022, management has determined that the Company was in compliance with all financial covenants.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August 2017, the Company entered into a term loan with a principal amount of $135.0 million (the “Term Loan”) and a revolving credit facility of $10.0 million (the “Revolving Facility”) with certain financial institutions for which Credit Suisse acted as an administrative agent (the “Credit Facility”).</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During April 2021, the Company entered into the sixth amendment to the Credit Facility (“Sixth Amendment”), which: 1) Amended the minimum liquidity covenant from $2.5 million to $10.0 million, 2) Extended the due date for the 2020 audited consolidated financial statements to September 30, 2021, and 3) Upon receipt of proceeds from an IPO, Special Purpose Acquisition Company transaction, or other liquidity transaction that involves the equity of Lulus or its affiliates, the Company was required to pay off the outstanding obligations under the Credit Facility before any proceeds were utilized by the Company. There was no gain or loss arising from the Sixth Amendment as it was considered to be a debt modification.</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November 2021, the Company utilized the proceeds from the IPO and the New Revolving Facility to repay the $105.8 million of outstanding principal and $1.4 million of accrued interest related to the Term Loan. The Credit Facility was terminated on November 15, 2021 and no prepayment penalties were incurred.</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effective interest rate on the Term Loan was 13.0% and 12.9% for the thirteen and thirty-nine weeks ended October 3, 2021.</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Revolving Facility</w:t>
      </w:r>
    </w:p>
    <w:p>
      <w:pPr>
        <w:spacing w:after="0" w:line="227"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Outstanding amounts under the Revolving Facility bore interest at variable rates with a minimum of 7.00%. The Revolving Facility was terminated on November 15, 2021. The effective interest rate for the Revolving Facility was 11.3% for the thirty-nine weeks ended October 3, 2021. No amounts were outstanding under the Revolving Facility as of October 3, 2021.</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Discounts and Issuance Costs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Debt discounts and issuance costs are deferred and amortized over the life of the related loan using the effective interest method. The associated expense is included in interest expense in the condensed consolidated statements of operations and comprehensive income. Debt discounts and issuance costs are presented as a reduction of long-term debt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1"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with the exception of debt issuance costs related to the New Revolving Facility, which are included in other non-current assets in the condensed consolidated balance sheets. As of October 2, 2022 and January 2, 2022, unamortized debt issuance costs recorded within other non-current assets were $0.3 million and $0.4 million, respectively.</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Future minimum payments of principal on the Company’s outstanding debt were as follows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6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09"/>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(remaining thirteen weeks)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0"/>
        </w:trPr>
        <w:tc>
          <w:tcPr>
            <w:tcW w:w="20" w:type="dxa"/>
            <w:vAlign w:val="bottom"/>
          </w:tcPr>
          <w:p>
            <w:pPr>
              <w:spacing w:after="0"/>
              <w:rPr>
                <w:sz w:val="18"/>
                <w:szCs w:val="18"/>
                <w:color w:val="auto"/>
              </w:rPr>
            </w:pPr>
          </w:p>
        </w:tc>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principal amount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700" w:hanging="650"/>
        <w:spacing w:after="0"/>
        <w:tabs>
          <w:tab w:leader="none" w:pos="7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Subsequent to the adoption of ASC 842</w:t>
      </w:r>
    </w:p>
    <w:p>
      <w:pPr>
        <w:spacing w:after="0" w:line="33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January 3, 2022, the Company adopted ASC 842 using the alternative transition method and applied the standard only to leases that existed at that date. Under the alternative transition method, the Company did need to restate the comparative periods in transition and will continue to present financial information and disclosures for periods before January 3, 2022, in accordance with FASB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elected the practical expedient package, which among other practical expedients, includes the option to retain the historical classification of leases entered into prior to January 3, 2022, and allows entities to recognize lease payments on a straight-line basis over the lease term for leases with a term of 12 months or less. The Company also elected the practical expedient to combine lease and non-lease components.</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is a lessee under various lease agreements. The determination of whether an arrangement contains a lease and the lease classification is made at lease commencement (date upon which the Company takes possession of the asset). At lease commencement, the Company also measures and recognizes a right-of-use asset, representing the Company’s right to use the underlying asset, and a lease liability, representing the Company’s obligation to make lease payments under the terms of the arrangement. The lease term is defined as the noncancelable portion of the lease term plus any periods covered by an option to extend the lease if it is reasonably certain that the option will be exercised. For the purposes of recognizing right-of-use assets and lease liabilities associated with the Company’s leases, the Company has elected the practical expedient of not recognizing a right-of-use asset or lease liability for short-term leases, which are leases with a term of 12 months or less. The Company has one finance lease and multiple operating leases that are combined and included in the lease right-of-use assets, lease liabilities, current, and lease liabilities, noncurrent on the Company’s condensed consolidated balance sheets.</w:t>
      </w:r>
    </w:p>
    <w:p>
      <w:pPr>
        <w:spacing w:after="0" w:line="192" w:lineRule="exact"/>
        <w:rPr>
          <w:sz w:val="20"/>
          <w:szCs w:val="20"/>
          <w:color w:val="auto"/>
        </w:rPr>
      </w:pPr>
    </w:p>
    <w:p>
      <w:pPr>
        <w:jc w:val="both"/>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Company primarily leases its distribution facilities and corporate offices under operating lease agreements expiring on various dates through December 2031, most of which contain options to extend. As of January 3, 2022, the Company had various operating leases with a lease term of less than 12 months for its office spaces. In addition to payment of base rent, the Company is also required to pay property taxes, insurance, and common area maintenance expenses. The Company records lease expense on a straight-line basis over the term of the lease. As of October 2, 2022, the Company had immaterial remaining obligations for the base rent related to the short-term leases.</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also leases equipment under one master finance lease agreement, with two equipment leases that commenced in March 2022 and August 2022, and both expire in March 2026 with lease payments due quarterly through December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1"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of October 2, 2022, the future minimum lease payments for the Company’s operating and finance leases for each of the fiscal years were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w:t>
            </w:r>
          </w:p>
        </w:tc>
        <w:tc>
          <w:tcPr>
            <w:tcW w:w="14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Finance Leases</w:t>
            </w:r>
          </w:p>
        </w:tc>
        <w:tc>
          <w:tcPr>
            <w:tcW w:w="22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 thirteen weeks)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w:t>
            </w: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6,469</w:t>
            </w: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16,604</w:t>
            </w:r>
          </w:p>
        </w:tc>
      </w:tr>
      <w:tr>
        <w:trPr>
          <w:trHeight w:val="209"/>
        </w:trPr>
        <w:tc>
          <w:tcPr>
            <w:tcW w:w="45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undiscounted lease payment</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40,687</w:t>
            </w: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adjustment</w:t>
            </w:r>
          </w:p>
        </w:tc>
        <w:tc>
          <w:tcPr>
            <w:tcW w:w="1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(8,010)</w:t>
            </w: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w:t>
            </w:r>
          </w:p>
        </w:tc>
      </w:tr>
      <w:tr>
        <w:trPr>
          <w:trHeight w:val="209"/>
        </w:trPr>
        <w:tc>
          <w:tcPr>
            <w:tcW w:w="45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32,486</w:t>
            </w:r>
          </w:p>
        </w:tc>
      </w:tr>
      <w:tr>
        <w:trPr>
          <w:trHeight w:val="216"/>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lease liabilities, current</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09"/>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28,554</w:t>
            </w: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remaining lease agreements, the Company is also responsible for certain variable lease payments that are not included in the measurement of the lease liability, including non-lease components such as common area maintenance fees, taxes, and insurance.</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information represents supplemental disclosure of lease costs, components of the statement of cash flows related to operating and finance leases and components of right-of-use assets (in thousands):</w:t>
      </w: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1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0" w:type="dxa"/>
            <w:vAlign w:val="bottom"/>
          </w:tcPr>
          <w:p>
            <w:pPr>
              <w:spacing w:after="0"/>
              <w:rPr>
                <w:sz w:val="1"/>
                <w:szCs w:val="1"/>
                <w:color w:val="auto"/>
              </w:rPr>
            </w:pPr>
          </w:p>
        </w:tc>
      </w:tr>
      <w:tr>
        <w:trPr>
          <w:trHeight w:val="173"/>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49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4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0" w:type="dxa"/>
            <w:vAlign w:val="bottom"/>
          </w:tcPr>
          <w:p>
            <w:pPr>
              <w:spacing w:after="0"/>
              <w:rPr>
                <w:sz w:val="1"/>
                <w:szCs w:val="1"/>
                <w:color w:val="auto"/>
              </w:rPr>
            </w:pPr>
          </w:p>
        </w:tc>
      </w:tr>
      <w:tr>
        <w:trPr>
          <w:trHeight w:val="196"/>
        </w:trPr>
        <w:tc>
          <w:tcPr>
            <w:tcW w:w="4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0" w:type="dxa"/>
            <w:vAlign w:val="bottom"/>
          </w:tcPr>
          <w:p>
            <w:pPr>
              <w:spacing w:after="0"/>
              <w:rPr>
                <w:sz w:val="1"/>
                <w:szCs w:val="1"/>
                <w:color w:val="auto"/>
              </w:rPr>
            </w:pPr>
          </w:p>
        </w:tc>
      </w:tr>
      <w:tr>
        <w:trPr>
          <w:trHeight w:val="216"/>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new finance</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0" w:type="dxa"/>
            <w:vAlign w:val="bottom"/>
          </w:tcPr>
          <w:p>
            <w:pPr>
              <w:spacing w:after="0"/>
              <w:rPr>
                <w:sz w:val="1"/>
                <w:szCs w:val="1"/>
                <w:color w:val="auto"/>
              </w:rPr>
            </w:pPr>
          </w:p>
        </w:tc>
      </w:tr>
      <w:tr>
        <w:trPr>
          <w:trHeight w:val="198"/>
        </w:trPr>
        <w:tc>
          <w:tcPr>
            <w:tcW w:w="4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new</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40" w:type="dxa"/>
            <w:vAlign w:val="bottom"/>
          </w:tcPr>
          <w:p>
            <w:pPr>
              <w:spacing w:after="0"/>
              <w:rPr>
                <w:sz w:val="18"/>
                <w:szCs w:val="18"/>
                <w:color w:val="auto"/>
              </w:rPr>
            </w:pPr>
          </w:p>
        </w:tc>
        <w:tc>
          <w:tcPr>
            <w:tcW w:w="2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42 months</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months</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93 months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months</w:t>
            </w: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Prior to the adoption of ASC 842</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Rent expense for non-cancelable operating leases was $0.7 million and $2.2 million for the thirteen and thirty-nine weeks ended October 3, 2021, respectively, and was included within general and administrative expenses in the condensed consolidated statements of operations and comprehensive income.</w:t>
      </w:r>
    </w:p>
    <w:p>
      <w:pPr>
        <w:spacing w:after="0" w:line="176" w:lineRule="exact"/>
        <w:rPr>
          <w:sz w:val="20"/>
          <w:szCs w:val="20"/>
          <w:color w:val="auto"/>
        </w:rPr>
      </w:pPr>
    </w:p>
    <w:p>
      <w:pPr>
        <w:ind w:left="60" w:right="839"/>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January 2, 2022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0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w:t>
            </w:r>
          </w:p>
        </w:tc>
      </w:tr>
      <w:tr>
        <w:trPr>
          <w:trHeight w:val="216"/>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w:t>
            </w:r>
          </w:p>
        </w:tc>
      </w:tr>
      <w:tr>
        <w:trPr>
          <w:trHeight w:val="21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r>
      <w:tr>
        <w:trPr>
          <w:trHeight w:val="216"/>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r>
      <w:tr>
        <w:trPr>
          <w:trHeight w:val="21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r>
      <w:tr>
        <w:trPr>
          <w:trHeight w:val="216"/>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w:t>
            </w:r>
          </w:p>
        </w:tc>
      </w:tr>
      <w:tr>
        <w:trPr>
          <w:trHeight w:val="210"/>
        </w:trPr>
        <w:tc>
          <w:tcPr>
            <w:tcW w:w="7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24,522</w:t>
            </w:r>
          </w:p>
        </w:tc>
      </w:tr>
      <w:tr>
        <w:trPr>
          <w:trHeight w:val="20"/>
        </w:trPr>
        <w:tc>
          <w:tcPr>
            <w:tcW w:w="7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700" w:hanging="650"/>
        <w:spacing w:after="0"/>
        <w:tabs>
          <w:tab w:leader="none" w:pos="7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be a party to litigation and subject to claims incurred in the ordinary course of business, including personal injury and indemnification claims, labor and employment claims, threatened claims, breach of contract claims, and other matters. The Company accrues a liability when management believes information available prior to the issuance of the condensed consolidated financial statements indicates it is probable a loss has been incurred as of the date of the condensed consolidated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During the normal course of business, the Company may be a party to claims that are not covered by insurance. While the ultimate liability, if any, arising from these claims cannot be predicted with certainty, management does not believe that the resolution of any such claims would have a material adverse effect on the Company’s condensed consolidated financial statements. The Company has recorded an immaterial reserve as of October 2, 2022 for contingencies where a loss is considered probable and can be reasonably estimated. As of October 2, 2022, the Company was not aware of any other currently pending legal matters or claims, individually or in the aggregate, that are expected to have a material adverse impact on its condensed consolidated financial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also maintains director and officer insurance, which may cover certain liabilities arising from its obligation to indemnify the Company’s directors. To date, the Company has not incurred any material costs and has not accrued any liabilities in the condensed consolidated financial statements as a result of these provisions.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87" w:lineRule="exact"/>
        <w:rPr>
          <w:sz w:val="20"/>
          <w:szCs w:val="20"/>
          <w:color w:val="auto"/>
        </w:rPr>
      </w:pPr>
    </w:p>
    <w:p>
      <w:pPr>
        <w:ind w:left="700" w:hanging="650"/>
        <w:spacing w:after="0"/>
        <w:tabs>
          <w:tab w:leader="none" w:pos="7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Pursuant to the Company’s amended and restated certificate of incorporation, the Company is authorized to issue 10,000,000 shares of preferred stock having a par value of $0.001 per share. The Company’s board of directors has the authority to issue preferred stock and to determine the rights, preferences, privileges, and restrictions, including voting rights, of those shares. In connection with the Company’s IPO, all convertible preferred stock was converted to the Company’s common stock. As of October 2, 2022 and January 2, 2022, no shares of preferred stock were issued and outstanding.</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Series B-1 Redeemable Preferred Stock Issuance</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March 2021, the Company issued and sold 1,450,000 shares of Series B-1 Preferred Stock at $1.00 per share to current executives of the Company. In connection with the offering, the Company filed an amended and restated certificate of incorporation which authorized the issuance of up to 2,500,000 shares of Series B-1 preferred stock with the same rights, preferences and privileges of the Series B redeemable preferred stock and increased the authorized shares of common stock to 24,000,000.</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received gross cash proceeds of $1.5 million and incurred nominal issuance costs associated with the Series B-1 Preferred Stock issuance. For accounting purposes, the Company determined the fair value of the Series B-1 Preferred Stock to be $2.02 per share at issuance. The Series B-1 Preferred Stock shares were recorded at fair value and the excess of the fair value over the consideration paid was recorded as equity-based compensation expense of $1.5 million.</w:t>
      </w:r>
    </w:p>
    <w:p>
      <w:pPr>
        <w:spacing w:after="0" w:line="203" w:lineRule="exact"/>
        <w:rPr>
          <w:sz w:val="20"/>
          <w:szCs w:val="20"/>
          <w:color w:val="auto"/>
        </w:rPr>
      </w:pPr>
    </w:p>
    <w:p>
      <w:pPr>
        <w:ind w:left="700" w:hanging="650"/>
        <w:spacing w:after="0"/>
        <w:tabs>
          <w:tab w:leader="none" w:pos="7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has authorized the issuance of 250,000,000 shares of common stock with a $0.001 par value as of October 2, 2022 and January 2, 2022. Holders of common stock are entitled to one vote per share on all matters to be voted upon by the stockholders of the Company. Subject to the preferences that may be applicable to any outstanding share of preferred stock, the holders of common stock are entitled to receive dividends, if any, as may be declared by the board of directors. No dividends have been declared to date. As of October 2, 2022, the Company has reserved 322,793 shares of common stock for issuance upon the exercise of stock options, 208,914 shares of common stock to settle the CEO Special Compensation Awards in March 2023, and 4,289,116 shares of common stock available for future issuance under the equity plans described in Note 10, Equity-Based Compensation.</w:t>
      </w:r>
    </w:p>
    <w:p>
      <w:pPr>
        <w:spacing w:after="0" w:line="215" w:lineRule="exact"/>
        <w:rPr>
          <w:sz w:val="20"/>
          <w:szCs w:val="20"/>
          <w:color w:val="auto"/>
        </w:rPr>
      </w:pPr>
    </w:p>
    <w:p>
      <w:pPr>
        <w:ind w:left="700" w:hanging="650"/>
        <w:spacing w:after="0"/>
        <w:tabs>
          <w:tab w:leader="none" w:pos="7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Omnibus Equity Plan and Employee Stock Purchase Plan</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IPO, the Company adopted the Omnibus Equity Plan (the “Omnibus Equity Plan”) and the 2021 Employee Stock Purchase Plan (the “ESPP”).</w:t>
      </w:r>
    </w:p>
    <w:p>
      <w:pPr>
        <w:spacing w:after="0" w:line="162" w:lineRule="exact"/>
        <w:rPr>
          <w:sz w:val="20"/>
          <w:szCs w:val="20"/>
          <w:color w:val="auto"/>
        </w:rPr>
      </w:pPr>
    </w:p>
    <w:p>
      <w:pPr>
        <w:jc w:val="both"/>
        <w:ind w:left="60" w:right="59" w:firstLine="324"/>
        <w:spacing w:after="0" w:line="273" w:lineRule="auto"/>
        <w:rPr>
          <w:sz w:val="20"/>
          <w:szCs w:val="20"/>
          <w:color w:val="auto"/>
        </w:rPr>
      </w:pPr>
      <w:r>
        <w:rPr>
          <w:rFonts w:ascii="Times New Roman" w:cs="Times New Roman" w:eastAsia="Times New Roman" w:hAnsi="Times New Roman"/>
          <w:sz w:val="17"/>
          <w:szCs w:val="17"/>
          <w:color w:val="auto"/>
        </w:rPr>
        <w:t>Under the Omnibus Equity Plan, incentive awards may be granted to employees, directors, and consultants of the Company. The Company initially reserved 3,719,000 shares of common stock for future issuance under the Omnibus Equity Plan, including any shares subject to awards under the 2021 Equity Incentive Plan (the “2021 Equity Plan”) that are forfeited or lapse unexercised. The number of shares reserved for issuance under the Omnibus Equity Plan will automatically increase on the first day of each fiscal year, starting in 2022 and continuing through 2031, by a number of shares equal to (a) 4% of the total number of shares of the Company’s common stock outstanding on the last day of the immediately preceding fiscal year or (b) such smaller number of shares as determined by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Under the ESPP, the Company initially reserved 743,803 shares of common stock for future issuance. The number of shares of common stock reserved for issuance will automatically increase on the first day of each fiscal year beginning in 2022 and ending in 2031, by a number of shares equal to (a) 1% of the total number of shares of the Company’s common stock outstanding on the last day of the immediately preceding fiscal year or (b) such smaller number of shares as determined by the Company’s board of directors.</w:t>
      </w:r>
    </w:p>
    <w:p>
      <w:pPr>
        <w:spacing w:after="0" w:line="18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April 1, 2022, the Company filed a Registration Statement on Form S-8 (the “Form S-8”) with the SEC for the purpose of registering an additional 5,921,056 shares of the Company’s common stock, inclusive of 1,536,845 and 384,211 shares associated with automatic increases that occurred on January 3, 2022 under the Omnibus Equity Plan and ESPP, respectively. An additional 3,200,000 and 800,000 shares were registered in the Form S-8 for the Omnibus Equity Plan and the ESPP, respectively, which represents two years’ worth of estimated future automatic increases in availability for these plans. As of October 2, 2022, the Company had 3,161,102 and 1,128,014 shares available for issuance under the Omnibus Equity Plan and ESPP, respectively. The compensation committee of the Company’s board of directors (the “compensation committee”) administers the Omnibus Equity Plan and determines to whom awards will be granted, the exercise price of any options, the rates at which awards vest and the other terms and conditions of the awards granted under the Omnibus Equity Plan. The compensation committee may or may not issue the full number of shares that are reserved for issuance.</w:t>
      </w:r>
    </w:p>
    <w:p>
      <w:pPr>
        <w:spacing w:after="0" w:line="200" w:lineRule="exact"/>
        <w:rPr>
          <w:sz w:val="20"/>
          <w:szCs w:val="20"/>
          <w:color w:val="auto"/>
        </w:rPr>
      </w:pPr>
    </w:p>
    <w:p>
      <w:pPr>
        <w:spacing w:after="0" w:line="21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Company’s initial ESPP offering period commenced on August 26, 2022. The ESPP consists of consecutive, overlapping 12-month offering periods that begin on each August 26 and February 26 during the term of the ESPP, and end on each August 25 and February 25 occurring 12 months later, as applicable. Each offering period is comprised of two consecutive six-month purchase periods that begin on each August 26 and February 26 within each offering period and end on each February 25 and August 25, respectively, thereafter. The duration and timing of offering periods and purchase periods may be changed by the Company’s board of directors or compensation committee at any time. The ESPP allows participants to purchase shares of the Company’s common stock at a 15 percent discount from the lower of the Company’s stock price on (i) the first day of the offering period or on (ii) the last day of the purchase period and includes a rollover mechanism for the purchase price if the stock price on the purchase date is less than the stock price on the offering date. The ESPP also allows participants to reduce their percentage election once during the offering period, but they cannot increase their election until the next offering period. The Company recognizes equity-based compensation expense related to shares issued pursuant to the ESPP on a graded vesting approach over each offering period. For the thirteen and thirty-nine weeks ended October 2, 2022, equity-based compensation expense related to our ESPP was $16 thousand.</w:t>
      </w:r>
    </w:p>
    <w:p>
      <w:pPr>
        <w:spacing w:after="0" w:line="187"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Company used the Black-Scholes model to estimate the fair value of the purchase rights under the ESPP. For the thirteen and thirty-nine weeks ended October 2, 2022, the Company utilized the following assumptions: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to 1.00</w:t>
            </w:r>
          </w:p>
        </w:tc>
        <w:tc>
          <w:tcPr>
            <w:tcW w:w="240" w:type="dxa"/>
            <w:vAlign w:val="bottom"/>
            <w:shd w:val="clear" w:color="auto" w:fill="CCEEFF"/>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63.80 to 78.05 %</w:t>
            </w: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 to 3.36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per share of ESPP awards granted</w:t>
            </w:r>
          </w:p>
        </w:tc>
        <w:tc>
          <w:tcPr>
            <w:tcW w:w="1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to 2.93</w:t>
            </w:r>
          </w:p>
        </w:tc>
        <w:tc>
          <w:tcPr>
            <w:tcW w:w="2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2021 Equity Plan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April 2021, the Company’s board of directors adopted the 2021 Equity Plan. The 2021 Equity Plan provides for the issuance of incentive stock options, restricted stock, restricted stock units and other stock-based and cash-based awards to the Company’s employees, directors, and consultants. The maximum aggregate number of shares reserved for issuance under the 2021 Equity Plan was 925,000 shares. The options outstanding under the 2021 Equity Plan expire ten years from the date of grant. The Company issues new common shares to satisfy stock option exercises. In connection with the closing of the IPO, no further awards will be granted under the 2021 Equity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CEO Stock Options and Special Compensation Awards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April 2021, the Company entered into an Employment Agreement (the “Employment Agreement”) with the CEO and granted stock options under the 2021 Equity Plan to purchase 322,793 shares of common stock with an exercise price of $11.35 per share, which vest based on service and performance conditions. 275,133 of these stock options have only service vesting conditions, and 47,660 of these stock options have both service and performance vesting conditions. In addition, a portion of these stock options were subject to accelerated vesting conditions upon the occurrence of certain future events, which were satisfied upon the closing of the IPO.</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Under the Employment Agreement and subject to ongoing employment, and in light of the closing of the IPO, the CEO will receive two bonuses which will be settled in fully-vested shares of the Company’s common stock equal to $3.0 million each ($6.0 million in aggregate) on March 31, 2022 and March 31, 2023. The Company initially concluded that the two bonuses were subject to the guidance within ASC 718 and were liability-classified upon issuance. Upon the completion of the IPO, the two bonuses became equity-classified as they no longer met the criteria for liability classification. The Company records the equity-based compensation expense on a straight-line basis over the requisite service periods through March 31, 2022 and March 31, 2023. During the thirteen and thirty-nine weeks ended October 2, 2022, the Company recognized equity-based compensation expense related to the two bonuses of $0.4 million and $1.9 million, respectively. During the thirteen and thirty-nine weeks ended October 2, 2022, the Company issued zero and 208,914 of fully-vested shares, respectively, upon satisfaction of the service performed through March 31, 2022. On March 31, 2023, the Company will issue 208,914 fully-vested shares to the CEO upon satisfaction of the requisite service period.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stock option activity is as follows (in thousands, except per share amounts and years):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84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2,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322,793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October 2, 2022</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322,793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October 2, 2022</w:t>
            </w:r>
          </w:p>
        </w:tc>
        <w:tc>
          <w:tcPr>
            <w:tcW w:w="8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161,397</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11.35</w:t>
            </w:r>
          </w:p>
        </w:tc>
        <w:tc>
          <w:tcPr>
            <w:tcW w:w="1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8.54</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ind w:left="5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as of October 2, 2022</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322,793</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11.35</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8.54</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ind w:left="5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There were no options granted during the thirteen and thirty-nine weeks ended October 2, 2022. There were 322,793 options granted during the thirteen and thirty-nine weeks ended October 3, 2021.</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the thirteen and thirty-nine weeks ended October 2, 2022, equity-based compensation expense of $0.3 million and $0.9 million, respectively, and during the thirteen and thirty-nine weeks ended October 3, 2021, equity-based compensation expense of $0.3 million and $0.6 million, respectively, was recorded to general and administrative expense related to the stock options. As of October 2, 2022, total unrecognized compensation cost related to unvested stock options was $1.4 million, which is expected to be recognized over a weighted average remaining service period of 1.5 years.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Class P Units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384,522 of the outstanding Class P units included both a service condition and a performance condition, while the remainder of the Class P units only included a service condition. The performance-based vesting condition was satisfied upon completion of the IPO. Equity-based compensation expense of $0.4 million and $1.3 million related to the Class 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units was recorded to general and administrative expense in the condensed consolidated statements of operations and comprehensive income for the thirteen and thirty-nine weeks ended October 3, 2021, respectively.</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October 2021, the LP modified the vesting schedule related to 763,178 outstanding Class P units for two senior executives to accelerate vesting if the two senior executives perform service after the completion of the IPO over the subsequent 12-month period. The Company concluded that the amendment to the Class P units was a modification under ASC 718 and there was no incremental equity-based compensation expense to recognize. With the completion of the Company’s IPO, the remaining unrecognized expense associated with the restricted stock, received in exchange at the IPO for the modified Class P units, is being recognized over the subsequent 12-month period through November 2022.</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Class P Distributions</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Times New Roman" w:cs="Times New Roman" w:eastAsia="Times New Roman" w:hAnsi="Times New Roman"/>
          <w:sz w:val="17"/>
          <w:szCs w:val="17"/>
          <w:color w:val="auto"/>
        </w:rPr>
        <w:t>With the completion of the IPO, the performance condition for the distributions related to the Class P units was met and the Company recognized a cumulative catch-up to equity-based compensation expense. Such amounts payable to the former Class P unit holders (“FCPUs”) were included in accrued expenses and other current liabilities as of January 2, 2022. The distributions payable to the FCPUs were determined to be settled in the thirteen weeks ended April 3, 2022 as a result of agreements reached with the FCPUs, and were recorded as an increase to additional paid-in capital as such amounts were related to the shares of common stock received by the FCPUs as part of the liquidation of the LP in November 2021. The agreements provided for payments to the FCPUs of up to $0.6 million (if future sales of shares of common stock held by the FCPUs during 2022 occur at a price less than the threshold stated in the agreements), which were recorded as equity-based compensation expense in the thirteen weeks ended April 3, 2022 and in accrued expenses and other current liabilities as of April 3, 2022. During the thirteen weeks ended July 3, 2022 the $0.6 million accrual was reversed as the period in which the FCPUs were eligible for this payment expired on June 20, 2022 with one immaterial payment being triggered under this agreement and the remainder being reversed out of equity-based compensation expense.</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Restricted Stock Units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Immediately before the completion of the IPO, the LP was liquidated and the Class P unit holders of the LP received shares of the Company’s common stock in exchange for their units of the LP. The Class P unit holders received 1,964,103 shares of common stock, comprised of 1,536,304 shares of vested common stock and 427,799 shares of unvested restricted stock. Any such shares of restricted stock received in respect of unvested Class P units of the LP are subject to vesting and a risk of forfeiture to the same extent as the corresponding Class P units. The Company recorded equity-based compensation expense of $0.7 million and $2.2 million during the thirteen and thirty-nine weeks ended October 2, 2022, respectively, related to the exchanged restricted stock. As of October 2, 2022, the unrecognized equity-based compensation expense for all restricted stock is $1.5 million and will be recognized over a weighted-average period of 1.44 years.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During the thirteen and thirty-nine weeks ended October 2, 2022, the Company granted zero RSUs and 2,063,444 RSUs, respectively, to certain executives and employees which vest over a two- or three- year service period, and 49,297 RSUs and 149,929 RSUs, respectively, to certain directors which vest over a six-month to three-year service period pursuant to the Company’s Non-Employee Director Compensation Program. The Company recognized equity-based compensation expense of $2.2 million and $6.5 million during the thirteen and thirty-nine weeks ended October 2, 2022, respectively, related to the RSUs. As of October 2, 2022, the unrecognized equity-based compensation expense is $12.7 million and will be recognized over a weighted-average period of 1.55 years.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1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3"/>
                <w:szCs w:val="13"/>
                <w:color w:val="auto"/>
              </w:rPr>
            </w:pPr>
          </w:p>
        </w:tc>
        <w:tc>
          <w:tcPr>
            <w:tcW w:w="9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09"/>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2,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381,612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granted</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vested</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(172,725)</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forfeited</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(22,693)</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09"/>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2, 2022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186,194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5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b w:val="1"/>
          <w:bCs w:val="1"/>
          <w:color w:val="auto"/>
        </w:rPr>
        <w:t>Unvested</w:t>
      </w:r>
    </w:p>
    <w:p>
      <w:pPr>
        <w:spacing w:after="0" w:line="5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b w:val="1"/>
          <w:bCs w:val="1"/>
          <w:color w:val="auto"/>
        </w:rPr>
        <w:t>Restricted</w:t>
      </w:r>
    </w:p>
    <w:p>
      <w:pPr>
        <w:spacing w:after="0" w:line="5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4"/>
          <w:szCs w:val="14"/>
          <w:b w:val="1"/>
          <w:bCs w:val="1"/>
          <w:color w:val="auto"/>
        </w:rPr>
        <w:t>Stock Units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ind w:right="119"/>
        <w:spacing w:after="0" w:line="310" w:lineRule="auto"/>
        <w:rPr>
          <w:sz w:val="20"/>
          <w:szCs w:val="20"/>
          <w:color w:val="auto"/>
        </w:rPr>
      </w:pPr>
      <w:r>
        <w:rPr>
          <w:rFonts w:ascii="Times New Roman" w:cs="Times New Roman" w:eastAsia="Times New Roman" w:hAnsi="Times New Roman"/>
          <w:sz w:val="14"/>
          <w:szCs w:val="14"/>
          <w:b w:val="1"/>
          <w:bCs w:val="1"/>
          <w:color w:val="auto"/>
        </w:rPr>
        <w:t>Weighted-Average Fair Value per Share</w:t>
      </w:r>
    </w:p>
    <w:p>
      <w:pPr>
        <w:spacing w:after="0" w:line="1" w:lineRule="exact"/>
        <w:rPr>
          <w:sz w:val="20"/>
          <w:szCs w:val="20"/>
          <w:color w:val="auto"/>
        </w:rPr>
      </w:pPr>
    </w:p>
    <w:p>
      <w:pPr>
        <w:sectPr>
          <w:pgSz w:w="11900" w:h="16838" w:orient="portrait"/>
          <w:cols w:equalWidth="0" w:num="2">
            <w:col w:w="7540" w:space="360"/>
            <w:col w:w="111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204"/>
        </w:trPr>
        <w:tc>
          <w:tcPr>
            <w:tcW w:w="668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Balance at January 2, 2022</w:t>
            </w:r>
          </w:p>
        </w:tc>
        <w:tc>
          <w:tcPr>
            <w:tcW w:w="9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3"/>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2,213,373</w:t>
            </w:r>
          </w:p>
        </w:tc>
        <w:tc>
          <w:tcPr>
            <w:tcW w:w="200" w:type="dxa"/>
            <w:vAlign w:val="bottom"/>
          </w:tcPr>
          <w:p>
            <w:pPr>
              <w:spacing w:after="0"/>
              <w:rPr>
                <w:sz w:val="21"/>
                <w:szCs w:val="21"/>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43"/>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(607,063)</w:t>
            </w: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r>
      <w:tr>
        <w:trPr>
          <w:trHeight w:val="243"/>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(158,180)</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10"/>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2, 2022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1,448,130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700" w:hanging="650"/>
        <w:spacing w:after="0"/>
        <w:tabs>
          <w:tab w:leader="none" w:pos="7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Beginning in fiscal 2022, the Company’s quarterly tax provision is calculated using an estimated annual effective tax rate (“ETR”), adjusted for discrete items arising in the period. In each quarter, this estimated annual ETR is updated, and a year-to-date calculation of the provision is made. Prior to fiscal 2022, the Company’s quarterly tax provision was calculated using a discrete approach, as allowed by FASB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discrete method was previously applied when it was not possible to reliably estimate the annual effective tax rate.</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All of the Company’s income before income taxes is from the United States. The following table presents the components of the benefit (provision) for income taxes (in thousands):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October 2,</w:t>
            </w: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218"/>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2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4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benefit (provision) for income taxes</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40" w:type="dxa"/>
            <w:vAlign w:val="bottom"/>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04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0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0" w:type="dxa"/>
            <w:vAlign w:val="bottom"/>
            <w:gridSpan w:val="5"/>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59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470"/>
              <w:spacing w:after="0" w:line="118" w:lineRule="exact"/>
              <w:rPr>
                <w:sz w:val="20"/>
                <w:szCs w:val="20"/>
                <w:color w:val="auto"/>
              </w:rPr>
            </w:pPr>
            <w:r>
              <w:rPr>
                <w:rFonts w:ascii="Times New Roman" w:cs="Times New Roman" w:eastAsia="Times New Roman" w:hAnsi="Times New Roman"/>
                <w:sz w:val="13"/>
                <w:szCs w:val="13"/>
                <w:b w:val="1"/>
                <w:bCs w:val="1"/>
                <w:color w:val="auto"/>
              </w:rPr>
              <w:t>October 2,</w:t>
            </w: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218"/>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260" w:type="dxa"/>
            <w:vAlign w:val="bottom"/>
          </w:tcPr>
          <w:p>
            <w:pPr>
              <w:spacing w:after="0"/>
              <w:rPr>
                <w:sz w:val="10"/>
                <w:szCs w:val="10"/>
                <w:color w:val="auto"/>
              </w:rPr>
            </w:pPr>
          </w:p>
        </w:tc>
      </w:tr>
      <w:tr>
        <w:trPr>
          <w:trHeight w:val="173"/>
        </w:trPr>
        <w:tc>
          <w:tcPr>
            <w:tcW w:w="59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5"/>
                <w:szCs w:val="15"/>
                <w:color w:val="auto"/>
              </w:rPr>
            </w:pPr>
          </w:p>
        </w:tc>
      </w:tr>
      <w:tr>
        <w:trPr>
          <w:trHeight w:val="20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15,894</w:t>
            </w:r>
          </w:p>
        </w:tc>
        <w:tc>
          <w:tcPr>
            <w:tcW w:w="260" w:type="dxa"/>
            <w:vAlign w:val="bottom"/>
            <w:shd w:val="clear" w:color="auto" w:fill="CCEEFF"/>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18"/>
                <w:szCs w:val="18"/>
                <w:color w:val="auto"/>
              </w:rPr>
            </w:pP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(5,178)</w:t>
            </w:r>
          </w:p>
        </w:tc>
        <w:tc>
          <w:tcPr>
            <w:tcW w:w="180" w:type="dxa"/>
            <w:vAlign w:val="bottom"/>
          </w:tcPr>
          <w:p>
            <w:pPr>
              <w:spacing w:after="0"/>
              <w:rPr>
                <w:sz w:val="18"/>
                <w:szCs w:val="18"/>
                <w:color w:val="auto"/>
              </w:rPr>
            </w:pPr>
          </w:p>
        </w:tc>
        <w:tc>
          <w:tcPr>
            <w:tcW w:w="13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(5,075)</w:t>
            </w:r>
          </w:p>
        </w:tc>
      </w:tr>
      <w:tr>
        <w:trPr>
          <w:trHeight w:val="209"/>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For the thirteen and thirty-nine weeks ended October 2, 2022, the Company’s effective tax rate differs from the federal income tax rate of 21% primarily due to increases in state taxes, non-deductible executive compensation, and non-deductible equity-based compensation expenses. For the thirteen weeks ended October 2, 2022, the benefit for income taxes was the result of an accrual for a prior year amended tax return offsetting the aforementioned increases in tax.</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Company’s effective tax rate for the thirteen and thirty-nine weeks ended October 3, 2021, differs from the federal income tax rate of 21% primarily due to state taxes and non-deductible equity-based compensation expenses.</w:t>
      </w:r>
    </w:p>
    <w:p>
      <w:pPr>
        <w:spacing w:after="0" w:line="279" w:lineRule="exact"/>
        <w:rPr>
          <w:sz w:val="20"/>
          <w:szCs w:val="20"/>
          <w:color w:val="auto"/>
        </w:rPr>
      </w:pPr>
    </w:p>
    <w:p>
      <w:pPr>
        <w:ind w:left="700" w:hanging="650"/>
        <w:spacing w:after="0"/>
        <w:tabs>
          <w:tab w:leader="none" w:pos="7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Shareholders</w:t>
      </w:r>
    </w:p>
    <w:p>
      <w:pPr>
        <w:spacing w:after="0" w:line="13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identified three shareholders with aggregate ownership interest in the Company greater than 10%. The Company reviewed the respective investment portfolio holdings of these shareholders and identified investments in other entities that the Company engages in business with. All of these business relationships were obtained without the support of these shareholders, and as such, are believed to be at terms comparable to those that would be obtained through arm’s length dealings with unrelated third parties.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the LP</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Certain of the Company’s transactions with the LP are classified as a component within additional paid-in capital in the condensed consolidated statements of redeemable preferred stock, convertible preferred stock and stockholders’ equity (deficit) as there are no defined payments or other terms associated with these transactions. Such transactions included equity-based compensation expense related to outstanding Class P units of $0.4 million and $1.3 million during the thirteen and thirty-nine weeks ended October 3, 2021,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Series B-1 Redeemable Preferred Stock Issuance</w:t>
      </w:r>
    </w:p>
    <w:p>
      <w:pPr>
        <w:spacing w:after="0" w:line="22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As discussed in Note 8, the Series B-1 Preferred Stock shares purchased by current executives in March 2021 resulted in equity-based compensation expense of zero and $1.5 million in the thirteen and thirty-nine weeks ended October 3, 2021,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Quarterly Report on Form 10-Q, as well as our audited consolidated financial statements and related notes as disclosed in our Annual Report on Form 10-K for the fiscal year ended January 2, 2022, filed with the Securities and Exchange Commission (“SEC”) on March 31, 2022 (the “2021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Item I, Part 1A, “Risk Factors” of the 2021 10-K and other factors set forth in other parts of this Quarterly Report on Form 10-Q.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Lulus is a customer-driven, digitally-native fashion brand primarily serving Millennial and Gen Z women. We focus relentlessly on giving our customers what they want. We do this by using data coupled with human insight to deliver a curated and continuously evolving assortment of on-trend, affordable luxury fashion. Our customer obsession sets the tone for everything we do, from our personalized online shopping experience to our exceptional customer service.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November 10, 2021, our registration statement on Form S-1 relating to our initial public offering (“IPO”) was declared effective by the SEC and the shares of our common stock began trading on the Nasdaq Global Market on November 11, 2021. The IPO closed on November 15, 2021, pursuant to which we issued and sold 5,750,000 shares of our common stock at a public offering price of $16.00 per share. On November 15, 2021, we received net proceeds of approximately $82.0 million from the IPO, after deducting underwriting discounts and commissions of approximately $6.1 million and other issuance costs of approximately $3.9 million. Immediately prior to the completion of the IPO, we filed an amended and restated certificate of incorporation, which authorized a total of 250,000,000 shares of common stock at $0.001 par value per share, and 10,000,000 shares of preferred stock, $0.001 par value per share. Immediately prior to the completion of the IPO, all shares of the Series A Preferred Stock then outstanding were converted into 15,000,000 shares of common stock. Additionally, 215,702 shares of common stock were issued to the LP immediately prior to the completion of the IPO. All shares of the Series B Preferred Stock and the Series B-1 Preferred Stock were redeemed and extinguished for a total payment of approximately $17.9 million on November 15, 2021.</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While there continues to be uncertainty related to the COVID-19 pandemic, we believe the significant impact of the pandemic on the demand for our product, related to social distancing mandates, lockdowns, cancelled social events and travel, has largely subsided. However, we are still susceptible to broader COVID-19 risks globally, especially in relation to our supply chain. We continue to take actions to anticipate changes in the business environment and supply chain pressures, including placing orders earlier than pre-pandemic times, leveraging our “test, learn and reorder” approach to test small order quantities and then graduate successful styles to our re-order algorithms and diversifying our supply chain network to mitigate rising costs and service delays. We have modified our business practices in response to the COVID-19 pandemic and plan to continue to take proactive measures.</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For additional discussion of risks related to the COVID-19 pandemic and the impact of the COVID-19 pandemic on our Company, see “Risk Factors—Risks Related to our Business—The COVID-19 pandemic has had and may in the future have an adverse effect on our labor workforce availability, supply chain, business, financial condition, cash flows, and results of operations in ways that remain unpredictable” in the 2021 10-K.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Impact of Macroeconomic Trends on Business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Changing macroeconomic factors, including inflation, interest rates, fuel prices, and overall consumer confidence with respect to current and future economic conditions, have directly impacted our sales in fiscal 2022 as discretionary consumer spending levels and shopping behavior fluctuate with these factors. During fiscal 2022, we have responded to these factors by taking appropriate pricing, promotional and other actions to stimulate customer demand. These factors are expected to continue to have an impact on our business, results of operations, our growth and financial condition.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collect and analyze operating and financial data to assess the performance of our business and optimize resource allocation. The following table sets forth our key performance indicators for the periods presented.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80" w:type="dxa"/>
            <w:vAlign w:val="bottom"/>
          </w:tcPr>
          <w:p>
            <w:pPr>
              <w:spacing w:after="0"/>
              <w:rPr>
                <w:sz w:val="15"/>
                <w:szCs w:val="15"/>
                <w:color w:val="auto"/>
              </w:rPr>
            </w:pPr>
          </w:p>
        </w:tc>
        <w:tc>
          <w:tcPr>
            <w:tcW w:w="226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39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October 2,</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October 2,</w:t>
            </w: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r>
      <w:tr>
        <w:trPr>
          <w:trHeight w:val="173"/>
        </w:trPr>
        <w:tc>
          <w:tcPr>
            <w:tcW w:w="39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28"/>
        </w:trPr>
        <w:tc>
          <w:tcPr>
            <w:tcW w:w="3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20" w:type="dxa"/>
            <w:vAlign w:val="bottom"/>
            <w:gridSpan w:val="10"/>
          </w:tcPr>
          <w:p>
            <w:pPr>
              <w:jc w:val="right"/>
              <w:ind w:right="53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 except percentages and Average Order Value)</w:t>
            </w: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42.1 %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47.7 %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45.2 %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47.8 %</w:t>
            </w: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929</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3,850</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8,971</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10,819</w:t>
            </w: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5,364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11,885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30,068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35,050</w:t>
            </w: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 (1)</w:t>
            </w:r>
          </w:p>
        </w:tc>
        <w:tc>
          <w:tcPr>
            <w:tcW w:w="160" w:type="dxa"/>
            <w:vAlign w:val="bottom"/>
          </w:tcPr>
          <w:p>
            <w:pPr>
              <w:spacing w:after="0"/>
              <w:rPr>
                <w:sz w:val="18"/>
                <w:szCs w:val="18"/>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5.1 %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11.2 %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8.6 %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12.6 %</w:t>
            </w: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Customers (2)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3,230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3,230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2,500</w:t>
            </w: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Order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14141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19" w:lineRule="exact"/>
        <w:rPr>
          <w:sz w:val="20"/>
          <w:szCs w:val="20"/>
          <w:color w:val="auto"/>
        </w:rPr>
      </w:pPr>
    </w:p>
    <w:p>
      <w:pPr>
        <w:ind w:left="380" w:right="299" w:hanging="330"/>
        <w:spacing w:after="0" w:line="257"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reconciliation of non-GAAP financial measures to the most directly comparable GAAP financial measure and why we consider them useful, see “Management’s Discussion and Analysis of Financial Condition and Results of Operations-Non-GAAP Financial Measures.”</w:t>
      </w:r>
    </w:p>
    <w:p>
      <w:pPr>
        <w:spacing w:after="0" w:line="1" w:lineRule="exact"/>
        <w:rPr>
          <w:rFonts w:ascii="Times New Roman" w:cs="Times New Roman" w:eastAsia="Times New Roman" w:hAnsi="Times New Roman"/>
          <w:sz w:val="18"/>
          <w:szCs w:val="18"/>
          <w:color w:val="auto"/>
        </w:rPr>
      </w:pPr>
    </w:p>
    <w:p>
      <w:pPr>
        <w:ind w:left="380" w:right="299" w:hanging="330"/>
        <w:spacing w:after="0" w:line="26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Customers count is based on de-duplication logic using customer account and guest checkout name, address, and email information. Active Customer count is as of the last day of the relevant period.</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Active Customers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define Active Customers as the number of customers who have made at least one purchase across our platform in the prior 12-month period. We consider the number of Active Customers to be a key performance metric on the basis that it is directly related to consumer awareness of our brand, our ability to attract visitors to our digital platform, and our ability to convert visitors to paying customers. Active Customers counts are based on de-duplication logic using customer account and guest checkout name, address, and email information.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Average Order Value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define Average Order Value (“AOV”) as the sum of the total gross sales before returns across our platform in a given period, plus shipping revenue, less discounts and markdowns, divided by the Total Orders Placed (as defined below) in that period. AOV reflects average basket size of our customers. AOV may fluctuate as we continue investing in the development and introduction of new Lulus merchandise and as a result of our promotional discount activity.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Total Orders Placed</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define Total Orders Placed as the number of customer orders placed across our platform during a particular period. An order is counted on the day the customer places the order. We do not adjust the number of Total Orders Placed for any cancellation or return that may have occurred subsequent to a customer placing an order. We consider Total Orders Placed as a key performance metric on the basis that it is directly related to our ability to attract and retain customers as well as drive purchase frequency. Total Orders Placed, together with AOV, is an indicator of the net revenue we expect to generate in a particular period.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define Gross Margin as gross profit as a percentage of our net revenue. Gross profit is equal to our net revenue less cost of revenue. Certain of our competitors and other retailers may report cost of revenue differently than we do. As a result, the reporting of our gross profit and Gross Margin may not be comparable to other companies.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left="60" w:right="59" w:firstLine="389"/>
        <w:spacing w:after="0" w:line="256" w:lineRule="auto"/>
        <w:rPr>
          <w:sz w:val="20"/>
          <w:szCs w:val="20"/>
          <w:color w:val="auto"/>
        </w:rPr>
      </w:pPr>
      <w:r>
        <w:rPr>
          <w:rFonts w:ascii="Times New Roman" w:cs="Times New Roman" w:eastAsia="Times New Roman" w:hAnsi="Times New Roman"/>
          <w:sz w:val="18"/>
          <w:szCs w:val="18"/>
          <w:color w:val="auto"/>
        </w:rPr>
        <w:t>We report our financial results in accordance with generally accepted accounting principles in the U.S. (“GAAP”). However, management believes that certain non-GAAP financial measures provide investors with additional useful information in evaluating our performance and that excluding certain items that may vary substantially in frequency and magnitude period-to-period from net income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Adjusted EBITDA is a non-GAAP financial measure that we calculate as income before interest expense, income taxes, depreciation and amortization, adjusted to exclude the effects of equity-based compensation expense, and management fees. Adjusted EBITDA is a key measure used by management to evaluate our operating performance, generate future operating plans and make strategic decisions regarding the allocation of capital.</w:t>
      </w:r>
    </w:p>
    <w:p>
      <w:pPr>
        <w:spacing w:after="0" w:line="180" w:lineRule="exact"/>
        <w:rPr>
          <w:sz w:val="20"/>
          <w:szCs w:val="20"/>
          <w:color w:val="auto"/>
        </w:rPr>
      </w:pPr>
    </w:p>
    <w:p>
      <w:pPr>
        <w:jc w:val="both"/>
        <w:ind w:left="60" w:right="59" w:firstLine="389"/>
        <w:spacing w:after="0" w:line="277" w:lineRule="auto"/>
        <w:rPr>
          <w:sz w:val="20"/>
          <w:szCs w:val="20"/>
          <w:color w:val="auto"/>
        </w:rPr>
      </w:pPr>
      <w:r>
        <w:rPr>
          <w:rFonts w:ascii="Times New Roman" w:cs="Times New Roman" w:eastAsia="Times New Roman" w:hAnsi="Times New Roman"/>
          <w:sz w:val="17"/>
          <w:szCs w:val="17"/>
          <w:color w:val="auto"/>
        </w:rPr>
        <w:t>To supplement our condensed consolidated financial statements which are prepared in accordance with GAAP, we use “Adjusted EBITDA” and “Adjusted EBITDA Margin” which are non-GAAP financial measures (collectively referred to as “Adjusted EBITDA”).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 Some of these limitations include:</w:t>
      </w:r>
    </w:p>
    <w:p>
      <w:pPr>
        <w:spacing w:after="0" w:line="168" w:lineRule="exact"/>
        <w:rPr>
          <w:sz w:val="20"/>
          <w:szCs w:val="20"/>
          <w:color w:val="auto"/>
        </w:rPr>
      </w:pPr>
    </w:p>
    <w:p>
      <w:pPr>
        <w:ind w:left="1040" w:right="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22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such measures do not reflect any cash requirements for such replacements; and</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such measures differently than we do, limiting their usefulness as comparative measures.</w:t>
      </w:r>
    </w:p>
    <w:p>
      <w:pPr>
        <w:spacing w:after="0" w:line="162" w:lineRule="exact"/>
        <w:rPr>
          <w:sz w:val="20"/>
          <w:szCs w:val="20"/>
          <w:color w:val="auto"/>
        </w:rPr>
      </w:pPr>
    </w:p>
    <w:p>
      <w:pPr>
        <w:jc w:val="both"/>
        <w:ind w:left="60" w:right="59" w:firstLine="389"/>
        <w:spacing w:after="0" w:line="254" w:lineRule="auto"/>
        <w:rPr>
          <w:sz w:val="20"/>
          <w:szCs w:val="20"/>
          <w:color w:val="auto"/>
        </w:rPr>
      </w:pPr>
      <w:r>
        <w:rPr>
          <w:rFonts w:ascii="Times New Roman" w:cs="Times New Roman" w:eastAsia="Times New Roman" w:hAnsi="Times New Roman"/>
          <w:sz w:val="18"/>
          <w:szCs w:val="18"/>
          <w:color w:val="auto"/>
        </w:rPr>
        <w:t>Due to these limitations, Adjusted EBITDA and Adjusted EBITDA Margin should not be considered as measures of discretionary cash available to us to invest in the growth of our business. We compensate for these limitations by relying primarily on our GAAP results and using these non-GAAP measures only supplementally. As noted in the table below, Adjusted EBITDA includes adjustments to exclude the impact of depreciation and amortization, interest expense, income taxes, management fees and equity-based compensation expense. It is reasonable to expect that some of these items will occur in future periods. However, we believe these adjustments are appropriate because the amounts recognized can vary significantly from period to period, do not directly relate to the ongoing operations of our business and may complicate comparisons of our internal results of operations and results of operations of other companies over time. In addition,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Adjusted EBITDA includes adjustments for other items that we do not expect to regularly record. Each of the normal recurring adjustments and other adjustments described in this paragraph and in the following reconciliation table help management with a measure of our core operating performance over time by removing items that are not related to day-to-day operations. Adjusted EBITDA Margin is a non-GAAP financial measure that we calculate as Adjusted EBITDA (as defined above) as a percentage of our net revenue.</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a reconciliation for Adjusted EBITDA and Adjusted EBITDA Margin:</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80" w:type="dxa"/>
            <w:vAlign w:val="bottom"/>
          </w:tcPr>
          <w:p>
            <w:pPr>
              <w:spacing w:after="0"/>
              <w:rPr>
                <w:sz w:val="15"/>
                <w:szCs w:val="15"/>
                <w:color w:val="auto"/>
              </w:rPr>
            </w:pPr>
          </w:p>
        </w:tc>
        <w:tc>
          <w:tcPr>
            <w:tcW w:w="2380" w:type="dxa"/>
            <w:vAlign w:val="bottom"/>
            <w:gridSpan w:val="6"/>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October 2,</w:t>
            </w: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19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October 2,</w:t>
            </w: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19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gridSpan w:val="6"/>
          </w:tcPr>
          <w:p>
            <w:pPr>
              <w:jc w:val="center"/>
              <w:ind w:right="9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80" w:type="dxa"/>
            <w:vAlign w:val="bottom"/>
            <w:gridSpan w:val="6"/>
          </w:tcPr>
          <w:p>
            <w:pPr>
              <w:jc w:val="center"/>
              <w:ind w:right="9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80" w:type="dxa"/>
            <w:vAlign w:val="bottom"/>
          </w:tcPr>
          <w:p>
            <w:pPr>
              <w:spacing w:after="0"/>
              <w:rPr>
                <w:sz w:val="18"/>
                <w:szCs w:val="18"/>
                <w:color w:val="auto"/>
              </w:rPr>
            </w:pP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(678)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 (1)</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Equity-based compensation expense (2)</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11,885</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35,050</w:t>
            </w:r>
          </w:p>
        </w:tc>
        <w:tc>
          <w:tcPr>
            <w:tcW w:w="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15"/>
        </w:trPr>
        <w:tc>
          <w:tcPr>
            <w:tcW w:w="3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14141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19" w:lineRule="exact"/>
        <w:rPr>
          <w:sz w:val="20"/>
          <w:szCs w:val="20"/>
          <w:color w:val="auto"/>
        </w:rPr>
      </w:pPr>
    </w:p>
    <w:p>
      <w:pPr>
        <w:jc w:val="both"/>
        <w:ind w:left="380" w:right="79" w:hanging="330"/>
        <w:spacing w:after="0" w:line="257"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management fees and expenses paid pursuant to the professional services agreement with H.I.G. Capital, LLC and Institutional Venture Partners for consulting and other services. All outstanding management fees were settled and the management agreement was terminated at the time of the Company’s initial public offering in 2021.</w:t>
      </w:r>
    </w:p>
    <w:p>
      <w:pPr>
        <w:spacing w:after="0" w:line="1" w:lineRule="exact"/>
        <w:rPr>
          <w:rFonts w:ascii="Times New Roman" w:cs="Times New Roman" w:eastAsia="Times New Roman" w:hAnsi="Times New Roman"/>
          <w:sz w:val="18"/>
          <w:szCs w:val="18"/>
          <w:color w:val="auto"/>
        </w:rPr>
      </w:pPr>
    </w:p>
    <w:p>
      <w:pPr>
        <w:jc w:val="both"/>
        <w:ind w:left="380" w:right="59" w:hanging="330"/>
        <w:spacing w:after="0" w:line="252" w:lineRule="auto"/>
        <w:tabs>
          <w:tab w:leader="none" w:pos="3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thirteen and thirty-nine weeks ended October 2, 2022, include equity-based compensation expense for restricted stock units granted during the thirteen- and thirty-nine-week periods, as well as equity-based awards granted in prior periods. The thirteen and thirty-nine weeks ended October 3, 2021, include equity-based compensation expense for equity-based awards granted during the thirteen- and thirty-nine-week periods and in prior periods, as well as the excess of fair value over the consideration paid for Series B-1 Preferred Stock that was issued to certain employees in March 2021.</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Debt</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222222"/>
        </w:rPr>
        <w:t>Net Debt is a non-GAAP financial measure that we calculate as total debt, which includes the revolving line of credit, less cash and cash equivalents. We consider Net Debt to be an important supplemental measure of our financial position, which is used by management to analyze our leverage, and which we believe is helpful to investors in order to monitor leverage and evaluate the balance sheet. A limitation associated with using Net Debt is that it subtracts cash and cash equivalents and therefore may imply that there is less Company debt than the most comparable GAAP measure indicates. Our non-GAAP financial measures, including Net Debt, should not be considered in isolation from, or as substitutes for, financial information prepared in accordance with GAAP.</w:t>
      </w:r>
    </w:p>
    <w:p>
      <w:pPr>
        <w:spacing w:after="0" w:line="18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 reconciliation to non-GAAP Net Debt from Total Debt as of October 2, 2022, and January 2, 2022, respectively, is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6480" w:type="dxa"/>
            <w:vAlign w:val="bottom"/>
          </w:tcPr>
          <w:p>
            <w:pPr>
              <w:spacing w:after="0"/>
              <w:rPr>
                <w:sz w:val="12"/>
                <w:szCs w:val="12"/>
                <w:color w:val="auto"/>
              </w:rPr>
            </w:pPr>
          </w:p>
        </w:tc>
        <w:tc>
          <w:tcPr>
            <w:tcW w:w="11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October 2, 2022</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January 2, 2022</w:t>
            </w:r>
          </w:p>
        </w:tc>
        <w:tc>
          <w:tcPr>
            <w:tcW w:w="20" w:type="dxa"/>
            <w:vAlign w:val="bottom"/>
          </w:tcPr>
          <w:p>
            <w:pPr>
              <w:spacing w:after="0"/>
              <w:rPr>
                <w:sz w:val="12"/>
                <w:szCs w:val="12"/>
                <w:color w:val="auto"/>
              </w:rPr>
            </w:pPr>
          </w:p>
        </w:tc>
      </w:tr>
      <w:tr>
        <w:trPr>
          <w:trHeight w:val="128"/>
        </w:trPr>
        <w:tc>
          <w:tcPr>
            <w:tcW w:w="6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20" w:type="dxa"/>
            <w:vAlign w:val="bottom"/>
            <w:gridSpan w:val="4"/>
          </w:tcPr>
          <w:p>
            <w:pPr>
              <w:jc w:val="right"/>
              <w:ind w:right="67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 long term</w:t>
            </w: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 w:type="dxa"/>
            <w:vAlign w:val="bottom"/>
          </w:tcPr>
          <w:p>
            <w:pPr>
              <w:spacing w:after="0"/>
              <w:rPr>
                <w:sz w:val="18"/>
                <w:szCs w:val="18"/>
                <w:color w:val="auto"/>
              </w:rPr>
            </w:pPr>
          </w:p>
        </w:tc>
      </w:tr>
      <w:tr>
        <w:trPr>
          <w:trHeight w:val="20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 w:type="dxa"/>
            <w:vAlign w:val="bottom"/>
          </w:tcPr>
          <w:p>
            <w:pPr>
              <w:spacing w:after="0"/>
              <w:rPr>
                <w:sz w:val="18"/>
                <w:szCs w:val="18"/>
                <w:color w:val="auto"/>
              </w:rPr>
            </w:pPr>
          </w:p>
        </w:tc>
      </w:tr>
      <w:tr>
        <w:trPr>
          <w:trHeight w:val="243"/>
        </w:trPr>
        <w:tc>
          <w:tcPr>
            <w:tcW w:w="6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12,465</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20" w:type="dxa"/>
            <w:vAlign w:val="bottom"/>
          </w:tcPr>
          <w:p>
            <w:pPr>
              <w:spacing w:after="0"/>
              <w:rPr>
                <w:sz w:val="21"/>
                <w:szCs w:val="21"/>
                <w:color w:val="auto"/>
              </w:rPr>
            </w:pPr>
          </w:p>
        </w:tc>
      </w:tr>
      <w:tr>
        <w:trPr>
          <w:trHeight w:val="209"/>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2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financial condition and results of operations have been, and will continue to be, affected by a number of factors that present significant opportunities for us but also pose risks and challenges, including what is discussed below. See Part I, “Item 1A. Risk Factors” in our 2021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business performance depends in part on our continued ability to cost-effectively acquire new customers. We define customer acquisition cost (“CAC”) as our brand and performance marketing expenses attributable to acquiring new customers, including, but not limited to, agency costs and marketing team costs but excluding any applicable equity-based compensation, divided by the number of customers who placed their first order with us in a given period. As a digital brand, our marketing strategy is primarily focused on brand awareness marketing and digital advertising in channels like search, social, and programmatic - platforms that enable us to engage our customers where they spend their time, and in many cases also quickly track the success of our marketing, which allows us to adjust and optimize our marketing spend.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Customer Retention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continued success depends in part on our ability to retain and drive repeat purchases from our existing customers. We monitor retention across our entire customer base. Our goal is to attract and convert visitors into active customers and foster relationships that drive repeat purchases. During the trailing 12 months ended October 2, 2022, we served 3.2 million Active Customers compared to 2.5 million for the trailing 12 months ended October 3, 2021.</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 Management</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utilize a data-driven strategy that leverages our proprietary reorder algorithm to manage inventory as efficiently as possible. Our “test, learn, and reorder” approach consists of limited inventory purchases followed by the analysis of proprietary data including real-time transaction data and customer feedback, which then informs our selection and customization of popular merchandise prior to reordering in larger quantities. While our initial orders are limited in size and financial risk and our supplier partners are highly responsive, we nonetheless purchase inventory in anticipation of future demand and therefore are exposed to potential shifts in customer preferences and price sensitivity over time. As we continue to grow, we will adjust our inventory purchases to align with the current needs of the business.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 Our Operations and Infrastructure</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will continue to invest in our operations and infrastructure to facilitate further growth of our business. While we expect our expenses to increase accordingly, we will harness the strength of our existing platform and our on-trend fashion expertise to make informed investment decisions. We intend to invest in headcount, inventory, fulfillment, logistics, and our software and data capabilities in order to improve our platform, expand into international markets, and drive operational efficiencies. We cannot guarantee that increased spending on these investments will be cost effective or result in future growth in our customer base. However, we set a high bar for approval of any capital spending initiative. We believe that our disciplined approach to capital spending will enable us to generate positive returns on our investments over the long term.</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Net revenue consists primarily of gross sales, net of merchandise returns and promotional discounts and markdowns, generated from the sale of apparel, footwear, and accessories. Net revenue excludes sales taxes assessed by governmental authorities. We recognize net revenue at the point in time when control of the ordered product is transferred to the customer, which we determine to have occurred upon shipment.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Cost of revenue consists of the product costs of merchandise sold to customers; shipping and handling costs, including all inbound, outbound, and return shipping expenses; rent, insurance, business property tax, utilities, depreciation and amortization, and repairs and maintenance related to our distribution facilities; and charges related to inventory shrinkage, damages, and our allowance for excess or obsolete inventory. Cost of revenue is primarily driven by growth in orders placed by customers, the mix of the product available for sale on our site, and transportation costs related to inventory receipts from our suppliers and shipping product to our customers. We expect our cost of revenue to fluctuate as a percentage of net revenue primarily due to how we manage our inventory and merchandise mix.</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Gross profit is equal to our net revenue less cost of revenue. We calculate Gross Margin as gross profit as a percentage of our net revenue.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selling and marketing expenses consist primarily of payment processing fees, advertising, targeted online performance marketing and customer order courtesy adjustments. Selling and marketing expenses also include our spend on brand marketing channels, including compensation and free products to social media influencers, events, and other forms of online and offline marketing related to growing and retaining the customer base. As discussed in “Net Revenue” above, in any given period, the amount of our selling and marketing expense can be affected by the use of promotional discounts in such period. We expect our selling and marketing expenses to increase in absolute dollars as we continue to invest in increasing brand awareness.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benefits costs, including equity-based compensation for our employees involved in general corporate functions including finance, merchandising, marketing, and technology, as well as costs associated with the use by these functions of facilities and equipment, including depreciation, rent, and other occupancy expenses. General and administrative expenses are primarily driven by increases in headcount required to support business growth and meeting our obligations as a public company.</w:t>
      </w:r>
    </w:p>
    <w:p>
      <w:pPr>
        <w:spacing w:after="0" w:line="18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Since our IPO, we have incurred significant legal, accounting, and other expenses that we did not incur as a private company. We expect that compliance with the Sarbanes-Oxley Act and the Dodd-Frank Wall Street Reform and Consumer Protection Act, as well as rules and regulations subsequently implemented by the SEC, will continue to increase our legal and financial compliance costs and will make some activities more time consuming and costly. We expect our general and administrative expenses to increase in absolute dollars as we continue to grow our business.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income (expense), net consists primarily of interest expense and other miscellaneous income.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benefit (provision) for income taxes represents federal, state, and local income taxes. The effective rate differs from the statutory rate primarily due to state taxes, non-deductible executive compensation, and non-deductible equity-based compensation expenses. Our effective tax rate will change from quarter to quarter based on recurring and nonrecurring factors including, but not limited to, the geographical mix of earnings, enacted tax legislation, state and local income taxes, the impact of permanent tax adjustments, tax audit settlements, and the interaction of various tax strategies.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Results of Operations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consolidated results of operations for the periods presented and as a percentage of net revenue and net income: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9"/>
          </w:tcPr>
          <w:p>
            <w:pPr>
              <w:ind w:left="2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9"/>
          </w:tcPr>
          <w:p>
            <w:pPr>
              <w:ind w:left="1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50"/>
              <w:spacing w:after="0" w:line="118" w:lineRule="exact"/>
              <w:rPr>
                <w:sz w:val="20"/>
                <w:szCs w:val="20"/>
                <w:color w:val="auto"/>
              </w:rPr>
            </w:pPr>
            <w:r>
              <w:rPr>
                <w:rFonts w:ascii="Times New Roman" w:cs="Times New Roman" w:eastAsia="Times New Roman" w:hAnsi="Times New Roman"/>
                <w:sz w:val="13"/>
                <w:szCs w:val="13"/>
                <w:b w:val="1"/>
                <w:bCs w:val="1"/>
                <w:color w:val="auto"/>
              </w:rPr>
              <w:t>October 2,</w:t>
            </w: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ind w:right="59"/>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October 2,</w:t>
            </w: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w:t>
            </w:r>
          </w:p>
        </w:tc>
        <w:tc>
          <w:tcPr>
            <w:tcW w:w="94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105,275</w:t>
            </w:r>
          </w:p>
        </w:tc>
        <w:tc>
          <w:tcPr>
            <w:tcW w:w="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106,320</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348,689</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278,861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60,942</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55,553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191,211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145,561</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133,300</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24,418</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21,196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75,644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57,436</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26,856</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10,819</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9"/>
          </w:tcPr>
          <w:p>
            <w:pPr>
              <w:ind w:left="3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9"/>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30"/>
              <w:spacing w:after="0" w:line="118" w:lineRule="exact"/>
              <w:rPr>
                <w:sz w:val="20"/>
                <w:szCs w:val="20"/>
                <w:color w:val="auto"/>
              </w:rPr>
            </w:pPr>
            <w:r>
              <w:rPr>
                <w:rFonts w:ascii="Times New Roman" w:cs="Times New Roman" w:eastAsia="Times New Roman" w:hAnsi="Times New Roman"/>
                <w:sz w:val="13"/>
                <w:szCs w:val="13"/>
                <w:b w:val="1"/>
                <w:bCs w:val="1"/>
                <w:color w:val="auto"/>
              </w:rPr>
              <w:t>October 2,</w:t>
            </w: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gridSpan w:val="3"/>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October 2,</w:t>
            </w: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3"/>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34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8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w w:val="99"/>
              </w:rPr>
              <w:t>35</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Comparisons for the Thirteen Weeks Ended October 2, 2022 and October 3, 2021</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jc w:val="center"/>
              <w:ind w:right="145"/>
              <w:spacing w:after="0" w:line="118" w:lineRule="exact"/>
              <w:rPr>
                <w:sz w:val="20"/>
                <w:szCs w:val="20"/>
                <w:color w:val="auto"/>
              </w:rPr>
            </w:pPr>
            <w:r>
              <w:rPr>
                <w:rFonts w:ascii="Times New Roman" w:cs="Times New Roman" w:eastAsia="Times New Roman" w:hAnsi="Times New Roman"/>
                <w:sz w:val="13"/>
                <w:szCs w:val="13"/>
                <w:b w:val="1"/>
                <w:bCs w:val="1"/>
                <w:color w:val="auto"/>
              </w:rPr>
              <w:t>October 2,</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84"/>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vMerge w:val="restart"/>
          </w:tcPr>
          <w:p>
            <w:pPr>
              <w:spacing w:after="0"/>
              <w:rPr>
                <w:sz w:val="10"/>
                <w:szCs w:val="10"/>
                <w:color w:val="auto"/>
              </w:rPr>
            </w:pPr>
          </w:p>
        </w:tc>
        <w:tc>
          <w:tcPr>
            <w:tcW w:w="280" w:type="dxa"/>
            <w:vAlign w:val="bottom"/>
            <w:vMerge w:val="restart"/>
          </w:tcPr>
          <w:p>
            <w:pPr>
              <w:spacing w:after="0"/>
              <w:rPr>
                <w:sz w:val="10"/>
                <w:szCs w:val="10"/>
                <w:color w:val="auto"/>
              </w:rPr>
            </w:pPr>
          </w:p>
        </w:tc>
        <w:tc>
          <w:tcPr>
            <w:tcW w:w="86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11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percentages)</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105,275</w:t>
            </w:r>
          </w:p>
        </w:tc>
        <w:tc>
          <w:tcPr>
            <w:tcW w:w="4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106,320</w:t>
            </w:r>
          </w:p>
        </w:tc>
        <w:tc>
          <w:tcPr>
            <w:tcW w:w="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Net revenue decreased slightly in the thirteen weeks ended October 2, 2022 by $1.0 million, or 1%, compared to the thirteen weeks ended October 3, 2021. The decrease is the result of a 1% decrease in Total Orders Placed, as well as higher return rates in the third quarter of 2022 offset by a 6.4% increase in AOV, net of higher promotions and discounts.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105"/>
              <w:spacing w:after="0" w:line="118" w:lineRule="exact"/>
              <w:rPr>
                <w:sz w:val="20"/>
                <w:szCs w:val="20"/>
                <w:color w:val="auto"/>
              </w:rPr>
            </w:pPr>
            <w:r>
              <w:rPr>
                <w:rFonts w:ascii="Times New Roman" w:cs="Times New Roman" w:eastAsia="Times New Roman" w:hAnsi="Times New Roman"/>
                <w:sz w:val="13"/>
                <w:szCs w:val="13"/>
                <w:b w:val="1"/>
                <w:bCs w:val="1"/>
                <w:color w:val="auto"/>
              </w:rPr>
              <w:t>October 2,</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65"/>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73"/>
              </w:rPr>
              <w:t>except</w:t>
            </w:r>
          </w:p>
        </w:tc>
        <w:tc>
          <w:tcPr>
            <w:tcW w:w="22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vMerge w:val="continue"/>
          </w:tcPr>
          <w:p>
            <w:pPr>
              <w:spacing w:after="0"/>
              <w:rPr>
                <w:sz w:val="11"/>
                <w:szCs w:val="11"/>
                <w:color w:val="auto"/>
              </w:rPr>
            </w:pPr>
          </w:p>
        </w:tc>
        <w:tc>
          <w:tcPr>
            <w:tcW w:w="1200" w:type="dxa"/>
            <w:vAlign w:val="bottom"/>
            <w:tcBorders>
              <w:top w:val="single" w:sz="8" w:color="auto"/>
            </w:tcBorders>
            <w:gridSpan w:val="2"/>
          </w:tcPr>
          <w:p>
            <w:pPr>
              <w:jc w:val="right"/>
              <w:ind w:right="262"/>
              <w:spacing w:after="0" w:line="129" w:lineRule="exact"/>
              <w:rPr>
                <w:sz w:val="20"/>
                <w:szCs w:val="20"/>
                <w:color w:val="auto"/>
              </w:rPr>
            </w:pPr>
            <w:r>
              <w:rPr>
                <w:rFonts w:ascii="Times New Roman" w:cs="Times New Roman" w:eastAsia="Times New Roman" w:hAnsi="Times New Roman"/>
                <w:sz w:val="14"/>
                <w:szCs w:val="14"/>
                <w:b w:val="1"/>
                <w:bCs w:val="1"/>
                <w:color w:val="auto"/>
              </w:rPr>
              <w:t>percentages)</w:t>
            </w:r>
          </w:p>
        </w:tc>
        <w:tc>
          <w:tcPr>
            <w:tcW w:w="2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60,942</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55,553</w:t>
            </w:r>
          </w:p>
        </w:tc>
        <w:tc>
          <w:tcPr>
            <w:tcW w:w="5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5,389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Cost of revenue increased in the thirteen weeks ended October 2, 2022 compared to the same period of the prior year by $5.4 million, or 10%, compared to the same period last year, which was primarily driven by sales mix shifts into higher product cost categories, higher outbound and returned product shipping costs, as well as the impact of higher depreciation and allocated facility costs related to our Southern California distribution facility that was not in place until late 2021.</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105"/>
              <w:spacing w:after="0" w:line="118" w:lineRule="exact"/>
              <w:rPr>
                <w:sz w:val="20"/>
                <w:szCs w:val="20"/>
                <w:color w:val="auto"/>
              </w:rPr>
            </w:pPr>
            <w:r>
              <w:rPr>
                <w:rFonts w:ascii="Times New Roman" w:cs="Times New Roman" w:eastAsia="Times New Roman" w:hAnsi="Times New Roman"/>
                <w:sz w:val="13"/>
                <w:szCs w:val="13"/>
                <w:b w:val="1"/>
                <w:bCs w:val="1"/>
                <w:color w:val="auto"/>
              </w:rPr>
              <w:t>October 2,</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center"/>
              <w:ind w:right="65"/>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gridSpan w:val="3"/>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2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3"/>
              </w:rPr>
              <w:t>except</w:t>
            </w:r>
          </w:p>
        </w:tc>
        <w:tc>
          <w:tcPr>
            <w:tcW w:w="20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4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vMerge w:val="continue"/>
          </w:tcPr>
          <w:p>
            <w:pPr>
              <w:spacing w:after="0"/>
              <w:rPr>
                <w:sz w:val="11"/>
                <w:szCs w:val="11"/>
                <w:color w:val="auto"/>
              </w:rPr>
            </w:pPr>
          </w:p>
        </w:tc>
        <w:tc>
          <w:tcPr>
            <w:tcW w:w="1160" w:type="dxa"/>
            <w:vAlign w:val="bottom"/>
            <w:tcBorders>
              <w:top w:val="single" w:sz="8" w:color="auto"/>
            </w:tcBorders>
            <w:gridSpan w:val="2"/>
          </w:tcPr>
          <w:p>
            <w:pPr>
              <w:jc w:val="right"/>
              <w:ind w:right="262"/>
              <w:spacing w:after="0" w:line="129" w:lineRule="exact"/>
              <w:rPr>
                <w:sz w:val="20"/>
                <w:szCs w:val="20"/>
                <w:color w:val="auto"/>
              </w:rPr>
            </w:pPr>
            <w:r>
              <w:rPr>
                <w:rFonts w:ascii="Times New Roman" w:cs="Times New Roman" w:eastAsia="Times New Roman" w:hAnsi="Times New Roman"/>
                <w:sz w:val="14"/>
                <w:szCs w:val="14"/>
                <w:b w:val="1"/>
                <w:bCs w:val="1"/>
                <w:color w:val="auto"/>
              </w:rPr>
              <w:t>percentages)</w:t>
            </w:r>
          </w:p>
        </w:tc>
        <w:tc>
          <w:tcPr>
            <w:tcW w:w="2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19,356</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20,509</w:t>
            </w:r>
          </w:p>
        </w:tc>
        <w:tc>
          <w:tcPr>
            <w:tcW w:w="5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expenses decreased in the thirteen weeks ended October 2, 2022 by $1.2 million, or 6%, compared to the thirteen weeks ended October 3, 2021 as we utilized a higher mix of promotions and discounts during the quarter.</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3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105"/>
              <w:spacing w:after="0" w:line="118" w:lineRule="exact"/>
              <w:rPr>
                <w:sz w:val="20"/>
                <w:szCs w:val="20"/>
                <w:color w:val="auto"/>
              </w:rPr>
            </w:pPr>
            <w:r>
              <w:rPr>
                <w:rFonts w:ascii="Times New Roman" w:cs="Times New Roman" w:eastAsia="Times New Roman" w:hAnsi="Times New Roman"/>
                <w:sz w:val="13"/>
                <w:szCs w:val="13"/>
                <w:b w:val="1"/>
                <w:bCs w:val="1"/>
                <w:color w:val="auto"/>
              </w:rPr>
              <w:t>October 2,</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45"/>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3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73"/>
              </w:rPr>
              <w:t>except</w:t>
            </w: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2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vMerge w:val="continue"/>
          </w:tcPr>
          <w:p>
            <w:pPr>
              <w:spacing w:after="0"/>
              <w:rPr>
                <w:sz w:val="11"/>
                <w:szCs w:val="11"/>
                <w:color w:val="auto"/>
              </w:rPr>
            </w:pPr>
          </w:p>
        </w:tc>
        <w:tc>
          <w:tcPr>
            <w:tcW w:w="1080" w:type="dxa"/>
            <w:vAlign w:val="bottom"/>
            <w:tcBorders>
              <w:top w:val="single" w:sz="8" w:color="auto"/>
            </w:tcBorders>
            <w:gridSpan w:val="2"/>
          </w:tcPr>
          <w:p>
            <w:pPr>
              <w:jc w:val="right"/>
              <w:ind w:right="159"/>
              <w:spacing w:after="0" w:line="129" w:lineRule="exact"/>
              <w:rPr>
                <w:sz w:val="20"/>
                <w:szCs w:val="20"/>
                <w:color w:val="auto"/>
              </w:rPr>
            </w:pPr>
            <w:r>
              <w:rPr>
                <w:rFonts w:ascii="Times New Roman" w:cs="Times New Roman" w:eastAsia="Times New Roman" w:hAnsi="Times New Roman"/>
                <w:sz w:val="14"/>
                <w:szCs w:val="14"/>
                <w:b w:val="1"/>
                <w:bCs w:val="1"/>
                <w:color w:val="auto"/>
              </w:rPr>
              <w:t>percentages)</w:t>
            </w:r>
          </w:p>
        </w:tc>
        <w:tc>
          <w:tcPr>
            <w:tcW w:w="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24,418</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21,196</w:t>
            </w:r>
          </w:p>
        </w:tc>
        <w:tc>
          <w:tcPr>
            <w:tcW w:w="4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$3.2 million in the thirteen weeks ended October 2, 2022, or 15%, compared to the thirteen weeks ended October 3, 2021. The increase was primarily due to higher equity-based compensation expense of $1.7 million related to equity-based awards issued through October 2, 2022. Additionally, there was a $1.2 million increase in insurance costs and professional services, which was primarily driven by a $1.0 million increase in director and officer insurance costs associated with being a public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Interest expense decreased significantly in the thirteen weeks ended October 2, 2022 by $3.3 million, or 91%, compared to the thirteen weeks ended October 3, 2021. The decrease is attributable to the repayment of our Term Loan with the proceeds from our IPO in November 2021, which was partially offset by interest expense and unused fees related to the New Revolving Facility, under which $15.0 million of borrowings remained outstanding as of October 2, 2022.</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Income Tax Benefit (Provision)</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income tax benefit (provision) in the thirteen weeks ended October 2, 2022 increased by $2.3 million, or 142%, to a benefit of $0.7 million, compared to a provision of $1.6 million in the thirteen weeks ended October 3, 2021. The increase to an income tax benefit from an income tax provision was primarily due to lower income before taxes and a prior year tax return amendment related to disaster recovery credits accrued in the thirteen weeks ended October 2,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Comparisons for the Thirty-nine Weeks Ended October 2, 2022 and October 3, 2021</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200" w:type="dxa"/>
            <w:vAlign w:val="bottom"/>
          </w:tcPr>
          <w:p>
            <w:pPr>
              <w:spacing w:after="0"/>
              <w:rPr>
                <w:sz w:val="15"/>
                <w:szCs w:val="15"/>
                <w:color w:val="auto"/>
              </w:rPr>
            </w:pPr>
          </w:p>
        </w:tc>
        <w:tc>
          <w:tcPr>
            <w:tcW w:w="142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October 2,</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45"/>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Borders>
              <w:top w:val="single" w:sz="8" w:color="auto"/>
            </w:tcBorders>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3"/>
              </w:rPr>
              <w:t>except</w:t>
            </w:r>
          </w:p>
        </w:tc>
        <w:tc>
          <w:tcPr>
            <w:tcW w:w="20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4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vMerge w:val="continue"/>
          </w:tcPr>
          <w:p>
            <w:pPr>
              <w:spacing w:after="0"/>
              <w:rPr>
                <w:sz w:val="11"/>
                <w:szCs w:val="11"/>
                <w:color w:val="auto"/>
              </w:rPr>
            </w:pPr>
          </w:p>
        </w:tc>
        <w:tc>
          <w:tcPr>
            <w:tcW w:w="1120" w:type="dxa"/>
            <w:vAlign w:val="bottom"/>
            <w:tcBorders>
              <w:top w:val="single" w:sz="8" w:color="auto"/>
            </w:tcBorders>
            <w:gridSpan w:val="2"/>
          </w:tcPr>
          <w:p>
            <w:pPr>
              <w:jc w:val="right"/>
              <w:ind w:right="202"/>
              <w:spacing w:after="0" w:line="129" w:lineRule="exact"/>
              <w:rPr>
                <w:sz w:val="20"/>
                <w:szCs w:val="20"/>
                <w:color w:val="auto"/>
              </w:rPr>
            </w:pPr>
            <w:r>
              <w:rPr>
                <w:rFonts w:ascii="Times New Roman" w:cs="Times New Roman" w:eastAsia="Times New Roman" w:hAnsi="Times New Roman"/>
                <w:sz w:val="14"/>
                <w:szCs w:val="14"/>
                <w:b w:val="1"/>
                <w:bCs w:val="1"/>
                <w:color w:val="auto"/>
              </w:rPr>
              <w:t>percentages)</w:t>
            </w:r>
          </w:p>
        </w:tc>
        <w:tc>
          <w:tcPr>
            <w:tcW w:w="2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348,689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278,861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Net revenue increased in the thirty-nine weeks ended October 2, 2022 by $69.8 million, or 25%, compared to the thirty-nine weeks ended October 3, 2021. The increase is primarily due to an increase in the following key revenue drivers: 23% increase in Total Orders Placed and a 9% increase in the AOV which was partially offset by higher sales returns in the thirty-nine weeks ended October 2, 2022.</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200" w:type="dxa"/>
            <w:vAlign w:val="bottom"/>
          </w:tcPr>
          <w:p>
            <w:pPr>
              <w:spacing w:after="0"/>
              <w:rPr>
                <w:sz w:val="15"/>
                <w:szCs w:val="15"/>
                <w:color w:val="auto"/>
              </w:rPr>
            </w:pPr>
          </w:p>
        </w:tc>
        <w:tc>
          <w:tcPr>
            <w:tcW w:w="142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October 2,</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45"/>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Borders>
              <w:top w:val="single" w:sz="8" w:color="auto"/>
            </w:tcBorders>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3"/>
              </w:rPr>
              <w:t>except</w:t>
            </w:r>
          </w:p>
        </w:tc>
        <w:tc>
          <w:tcPr>
            <w:tcW w:w="20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4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vMerge w:val="continue"/>
          </w:tcPr>
          <w:p>
            <w:pPr>
              <w:spacing w:after="0"/>
              <w:rPr>
                <w:sz w:val="11"/>
                <w:szCs w:val="11"/>
                <w:color w:val="auto"/>
              </w:rPr>
            </w:pPr>
          </w:p>
        </w:tc>
        <w:tc>
          <w:tcPr>
            <w:tcW w:w="1120" w:type="dxa"/>
            <w:vAlign w:val="bottom"/>
            <w:tcBorders>
              <w:top w:val="single" w:sz="8" w:color="auto"/>
            </w:tcBorders>
            <w:gridSpan w:val="2"/>
          </w:tcPr>
          <w:p>
            <w:pPr>
              <w:jc w:val="right"/>
              <w:ind w:right="202"/>
              <w:spacing w:after="0" w:line="129" w:lineRule="exact"/>
              <w:rPr>
                <w:sz w:val="20"/>
                <w:szCs w:val="20"/>
                <w:color w:val="auto"/>
              </w:rPr>
            </w:pPr>
            <w:r>
              <w:rPr>
                <w:rFonts w:ascii="Times New Roman" w:cs="Times New Roman" w:eastAsia="Times New Roman" w:hAnsi="Times New Roman"/>
                <w:sz w:val="14"/>
                <w:szCs w:val="14"/>
                <w:b w:val="1"/>
                <w:bCs w:val="1"/>
                <w:color w:val="auto"/>
              </w:rPr>
              <w:t>percentages)</w:t>
            </w:r>
          </w:p>
        </w:tc>
        <w:tc>
          <w:tcPr>
            <w:tcW w:w="2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191,211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145,561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Cost of revenue increased in the thirty-nine weeks ended October 2, 2022 by $45.7 million, or 31%, compared to the thirty-nine weeks ended October 3, 2021, which was primarily driven by the increase in our net revenue. Additionally, we recognized higher returned product shipping costs and higher outbound shipping costs due to fuel surcharges in the thirty-nine weeks ended October 2, 2022 compared to the same period of the prior year.</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200" w:type="dxa"/>
            <w:vAlign w:val="bottom"/>
          </w:tcPr>
          <w:p>
            <w:pPr>
              <w:spacing w:after="0"/>
              <w:rPr>
                <w:sz w:val="15"/>
                <w:szCs w:val="15"/>
                <w:color w:val="auto"/>
              </w:rPr>
            </w:pPr>
          </w:p>
        </w:tc>
        <w:tc>
          <w:tcPr>
            <w:tcW w:w="142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October 2,</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45"/>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Borders>
              <w:top w:val="single" w:sz="8" w:color="auto"/>
            </w:tcBorders>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3"/>
              </w:rPr>
              <w:t>except</w:t>
            </w:r>
          </w:p>
        </w:tc>
        <w:tc>
          <w:tcPr>
            <w:tcW w:w="20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4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vMerge w:val="continue"/>
          </w:tcPr>
          <w:p>
            <w:pPr>
              <w:spacing w:after="0"/>
              <w:rPr>
                <w:sz w:val="11"/>
                <w:szCs w:val="11"/>
                <w:color w:val="auto"/>
              </w:rPr>
            </w:pPr>
          </w:p>
        </w:tc>
        <w:tc>
          <w:tcPr>
            <w:tcW w:w="1120" w:type="dxa"/>
            <w:vAlign w:val="bottom"/>
            <w:tcBorders>
              <w:top w:val="single" w:sz="8" w:color="auto"/>
            </w:tcBorders>
            <w:gridSpan w:val="2"/>
          </w:tcPr>
          <w:p>
            <w:pPr>
              <w:jc w:val="right"/>
              <w:ind w:right="202"/>
              <w:spacing w:after="0" w:line="129" w:lineRule="exact"/>
              <w:rPr>
                <w:sz w:val="20"/>
                <w:szCs w:val="20"/>
                <w:color w:val="auto"/>
              </w:rPr>
            </w:pPr>
            <w:r>
              <w:rPr>
                <w:rFonts w:ascii="Times New Roman" w:cs="Times New Roman" w:eastAsia="Times New Roman" w:hAnsi="Times New Roman"/>
                <w:sz w:val="14"/>
                <w:szCs w:val="14"/>
                <w:b w:val="1"/>
                <w:bCs w:val="1"/>
                <w:color w:val="auto"/>
              </w:rPr>
              <w:t>percentages)</w:t>
            </w:r>
          </w:p>
        </w:tc>
        <w:tc>
          <w:tcPr>
            <w:tcW w:w="2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1"/>
        </w:trPr>
        <w:tc>
          <w:tcPr>
            <w:tcW w:w="3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Selling and marketing expenses increased in the thirty-nine weeks ended October 2, 2022 by $18.1 million, or 37%, compared to the thirty-nine weeks ended October 3, 2021. We increased our online marketing expenses to acquire new customers and retain existing customers by $15.8 million, or 44%, compared to the same period in the prior year. In addition, merchant processing fees increased by $2.4 million in the thirty-nine weeks ended October 2, 2022 compared to the same period of the prior year due to the increase in net revenue.</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200" w:type="dxa"/>
            <w:vAlign w:val="bottom"/>
          </w:tcPr>
          <w:p>
            <w:pPr>
              <w:spacing w:after="0"/>
              <w:rPr>
                <w:sz w:val="15"/>
                <w:szCs w:val="15"/>
                <w:color w:val="auto"/>
              </w:rPr>
            </w:pPr>
          </w:p>
        </w:tc>
        <w:tc>
          <w:tcPr>
            <w:tcW w:w="142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October 2,</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45"/>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Borders>
              <w:top w:val="single" w:sz="8" w:color="auto"/>
            </w:tcBorders>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3"/>
              </w:rPr>
              <w:t>except</w:t>
            </w:r>
          </w:p>
        </w:tc>
        <w:tc>
          <w:tcPr>
            <w:tcW w:w="20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4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vMerge w:val="continue"/>
          </w:tcPr>
          <w:p>
            <w:pPr>
              <w:spacing w:after="0"/>
              <w:rPr>
                <w:sz w:val="11"/>
                <w:szCs w:val="11"/>
                <w:color w:val="auto"/>
              </w:rPr>
            </w:pPr>
          </w:p>
        </w:tc>
        <w:tc>
          <w:tcPr>
            <w:tcW w:w="1120" w:type="dxa"/>
            <w:vAlign w:val="bottom"/>
            <w:tcBorders>
              <w:top w:val="single" w:sz="8" w:color="auto"/>
            </w:tcBorders>
            <w:gridSpan w:val="2"/>
          </w:tcPr>
          <w:p>
            <w:pPr>
              <w:jc w:val="right"/>
              <w:ind w:right="202"/>
              <w:spacing w:after="0" w:line="129" w:lineRule="exact"/>
              <w:rPr>
                <w:sz w:val="20"/>
                <w:szCs w:val="20"/>
                <w:color w:val="auto"/>
              </w:rPr>
            </w:pPr>
            <w:r>
              <w:rPr>
                <w:rFonts w:ascii="Times New Roman" w:cs="Times New Roman" w:eastAsia="Times New Roman" w:hAnsi="Times New Roman"/>
                <w:sz w:val="14"/>
                <w:szCs w:val="14"/>
                <w:b w:val="1"/>
                <w:bCs w:val="1"/>
                <w:color w:val="auto"/>
              </w:rPr>
              <w:t>percentages)</w:t>
            </w:r>
          </w:p>
        </w:tc>
        <w:tc>
          <w:tcPr>
            <w:tcW w:w="2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expenses increased by $18.2 million in the thirty-nine weeks ended October 2, 2022, or 32%, compared to the thirty-nine weeks ended October 3, 2021. The increase was primarily due to higher equity-based compensation expense of $6.7 million related to equity-based awards issued through October 2, 2022. Our fixed labor costs increased by $2.4 million, driven by higher outsourced labor mainly in support of our technology areas, along with higher medical benefits; however, fixed labor costs as a percentage of net revenue decreased to 7.5% for the thirty-nine weeks ended October 2, 2022, compared to 8.5% for the same period in the prior year. Our variable (direct) labor costs increased by $3.8 million, an increase of 23% from the same period in the prior year, due to higher sales partially offset by labor efficiencies. Additionally, there was a $4.7 million increase in insurance costs and professional services, which was primarily driven by a $3.0 million increase in director and officer insurance costs due to being a public company. The remaining increases to our general and administrative expenses were due to increases in shipping supplies, hardware, software and travel costs to support our higher sales during the period. These increases were partially offset by a $0.6 million reduction in management fees as our management agreement was terminated at the time of our IPO in 2021.</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Interest expense decreased significantly in the thirty-nine weeks ended October 2, 2022 by $10.3 million, or 94%, compared to the thirty-nine weeks ended October 3, 2021. The decrease is attributable to the repayment of our Term Loan with the proceeds from our IPO in November 2021, which was partially offset by interest expense and unused fees related to the borrowings outstanding under the New Revolving Facility as of October 2, 2022.</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income tax provision in the thirty-nine weeks ended October 2, 2022 increased by $0.1 million, or 2%, to $5.2 million, compared to the thirty-nine weeks ended October 3, 2021. The increase in the income tax provision was primarily due to an increase in non-deductible equity-based compensation expenses and non-deductible executive compensation expenses, partially offset by the prior year amended tax return accrual related to disaster recovery credits.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 and Seasonality</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experience moderate seasonal fluctuations in aggregate sales volume during the year. Seasonality in our business does not follow that of traditional retailers, such as a typical concentration of revenue in the holiday quarter. Historically, our net revenue is highest in our second and third fiscal quarters compared to the rest of the year due to higher demand for special event dresses and spring and summer fashion. The seasonality of our business has resulted in variability in our total net revenue quarter-to-quarter. We believe that this seasonality has affected and will continue to affect our results of operations.</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quarterly gross profit fluctuates primarily based on how we manage our inventory and merchandise mix and has typically been in line with fluctuations in net revenue. When quarterly gross profit fluctuations have been unfavorable relative to the fluctuations in sales, these situations have been driven by non-recurring, external factors, as well as the COVID-19 pandemic in fiscal 2020 and fiscal 2021, which led to increased promotional discounts and higher markdowns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order to optimize our inventory mix and quantities. Additionally, gross profit has recently been impacted by decreases in discretionary consumer spending as a result of inflation and macroeconomic conditions, increased promotions and discounts in response to decreases in consumer spending, and trends observed regarding the levels of returns.</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expenses generally fluctuate with net revenue. Further, in any given period, the amount of our selling and marketing expense can be affected by the use of promotional discounts in such period. In addition, we may increase or decrease marketing spend to assist with optimizing inventory mix and quantities.</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benefit costs and vary quarter to quarter due to changes in the number of seasonal workers to meet demand based on our seasonality.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cash generated from operating activities and borrowings under our New Revolving Facility. Our primary requirements for liquidity and capital are inventory purchases, payroll and general operating expenses, capital expenditures associated with distribution, network expansion and capitalized software and debt service requirements.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November 15, 2021, we completed our IPO, in which we issued and sold 5,750,000 shares of our common stock at a price to the public of $16.00 per share and raised net proceeds of approximately $82.0 million, after deducting the underwriting discounts and commissions of approximately $6.1 million and other issuance costs of approximately $3.9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November 2021, we entered into a Credit Agreement with Bank of America to provide a revolving facility that provides for borrowings up to $50.0 million (the "New Revolving Facility"). During the term of the Credit Agreement, we may increase the aggregate amount of the New Revolving Facility up to an additional $25.0 million (for maximum aggregate lender commitments of up to $75.0 million), subject to the satisfaction of certain conditions under the Credit Agreement, including obtaining the consent of the administrative agent and an increased commitment from existing or new lenders. In addition, the Credit Agreement may be used to issue letters of credit up to $7.5 million (the “Letter of Credit”). As of October 2, 2022, we had $15.0 million outstanding under the New Revolving Facility and had utilized $0.3 million under the Letter of Credit. As of October 2, 2022, we had $34.8 million available for borrowing under the New Revolving Facility and $7.3 million available to issue letters of credit.</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New Revolving Facility matures on November 15, 2024, and borrowings thereunder will accrue interest at a rate equal to, at our option, either (x) the term daily SOFR, plus the applicable SOFR adjustment plus a margin of 1.75% per annum or (y) the base rate plus a margin of 0.75% (with the base rate being the highest of the federal funds rate plus 0.50%, the prime rate and term SOFR for a period of one month plus 1.00%). The New Revolving Facility contains a financial maintenance covenant requiring a maximum total leverage ratio of no more than 2.50:1.00, stepping down to 2.00:1.00 after 18 months. A commitment fee of 37.5 basis points will be assessed on unused commitments under the New Revolving Facility.</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With the net proceeds from the IPO and borrowings from the New Revolving Facility, we repaid our Term Loan of $107.2 million on November 15, 2021, which comprised of $105.8 million in principal and $1.4 million of accrued interest. The Credit Facility was terminated on November 15, 2021 and no prepayment penalties were incurred.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Availability and Use of Cash</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October 2, 2022, we had cash and cash equivalents of $12.5 million and restricted cash of $0.5 million. We believe that our cash and cash equivalents, cash flows from operations and the available borrowings under our New Revolving Facility, will be sufficient to meet our capital expenditures, working capital needs and debt repayments for at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least the next 12 months from the date of this Quarterly Report on Form 10-Q. However, we cannot ensure that our business will generate sufficient cash flow from operating activities or that future borrowings will be available under our borrowing agreements in amounts sufficient to pay indebtedness or fund other working capital needs. Actual results of operations will depend on numerous factors, many of which are beyond our control, as further discussed in Part I, Item 1A, “Risk Factors” included in our 2021 10-K.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5"/>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October 2,</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jc w:val="right"/>
              <w:ind w:right="257"/>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activities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16,333</w:t>
            </w:r>
          </w:p>
        </w:tc>
        <w:tc>
          <w:tcPr>
            <w:tcW w:w="32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Investing activities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32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adjusted for certain non-cash items, including depreciation and amortization, amortization of debt discount and debt issuance costs, interest expense capitalized to principal of debt, equity-based compensation expense, and the effect of changes in working capital and other activities.</w:t>
      </w:r>
    </w:p>
    <w:p>
      <w:pPr>
        <w:spacing w:after="0" w:line="17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In the thirty-nine weeks ended October 2, 2022, net cash provided by operating activities decreased by $25.5 million to $16.3 million from $41.8 million in the same period of the prior year. The decrease in cash provided by operating activities was primarily driven by a decrease of $1.8 million in net income to $9.0 million for the thirty-nine weeks ended October 2, 2022 compared to net income of $10.8 million for the thirty-nine weeks ended October 3, 2021. In addition, there was an increase of $4.4 million of non-cash items which led to a net increase of $14.0 million in the thirty-nine weeks ended October 2, 2022 from a net increase of $9.6 million in the thirty-nine weeks ended October 3, 2021. This was primarily driven by a $6.7 million increase in equity-based compensation expense, a $2.4 million increase in non-cash lease expense as a result of the adoption of ASC 842 in 2022, and a $0.9 million increase in depreciation and amortization, offset by a reduction of $1.9 million in amortization of debt discount and debt issuance costs and a $2.1 million reduction in interest capitalized to principal of long-term debt and revolving line of credit, and an increase of $1.6 million in deferred income taxes for the thirty-nine weeks ended October 2, 2022 from the thirty-nine weeks ended October 3, 2021. There was a net decrease in cash of $28 million attributed to changes in operating assets and liabilities which resulted in a $6.6 million net decrease for the thirty-nine weeks ended October 2, 2022 from a $21.4 million net increase for the thirty-nine weeks ended October 3, 2021. This was driven primarily by $20.7 million higher inventory balances to support a higher sales volume, a $15.3 million decrease in accrued expenses and other current liabilities, and a decrease in operating lease liabilities of $1.8 million; these were partially offset by $4.2 million higher accounts payable, $2.7 million lower accounts receivable, a $2.2 million lower decline in assets for recovery, a $0.4 million decrease in other non-current liabilities, and a $0.3 million decrease in prepaid and other assets for the thirty-nine weeks ended October 2, 2022 compared to the thirty-nine weeks ended October 3, 2021.</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primary investing activities have consisted of purchases of equipment to support our overall business growth and internally developed software for the continued development of our proprietary technology infrastructure. Purchases of property and equipment may vary from period-to-period due to timing of the expansion of our operations. We have no material commitments for capital expenditures.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the thirty-nine weeks ended October 2, 2022, net cash used in investing activities was $3.9 million, which was a $2.3 million increase from $1.6 million in the thirty-nine weeks ended October 3, 2021. This was attributable to capital expenditures related to the opening of our new distribution facility in Ontario, California as well as equipment for our general operations, software and hardware purchases, and internally developed software.</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Financing activities consist primarily of borrowings and repayments related to our Credit Facility and New Revolving Facility and issuance of preferred stock.</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the thirty-nine weeks ended October 2, 2022, net cash used in financing activities was $11.4 million, which was a $3.4 million decrease from $14.8 million in the thirty-nine weeks ended October 3, 2021. This decrease was attributable primarily to a reduction of $7.6 million in repayments of long-term debt, and $20 million from borrowing on the revolving line of credit; offset by a $21.4 million increase in net repayments on revolving line of credit, a $0.8 million increase in payments of offering costs related to the IPO, a $0.5 million increase of finance lease payments and a reduction of $1.4 million in proceeds from issuance of redeemable preferred stock.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Except for the adoption of FASB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on January 3, 2022 and the related lease obligations as a result of such adoption as described in “Note 6 – Leases” in the Notes to the Condensed Consolidated Financial Statements in this Quarterly Report on Form 10-Q, there have been no other material changes to our contractual obligations and commitments as disclosed in our 2021 10-K.</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“Management’s Discussion and Analysis of Financial Condition and Results of Operations-Critical Accounting Policies and Estimates” in our 2021 10-K and the notes to the audited consolidated financial statements appearing elsewhere in our 2021 10-K. Except for the change in accounting principle related to our accounting for leases upon the adoption of FASB ASC 842, Leases, there have been no significant changes to our critical accounting policies and estimates as disclosed in our 2021 10-K. Refer to “Note 2 - Significant Accounting Policies: Leases,” “Note 2 - Significant Accounting Policies: Recently Adopted Accounting Pronouncements,” and “Note 6 – Leases” in the Notes to the Condensed Consolidated Financial Statements included elsewhere in this Quarterly Report on Form 10-Q for more information on the change in our accounting for leases</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See Note 2, “Significant Accounting Policies-Recently Issued Accounting Pronouncements,” in the Notes to the Condensed Consolidated Financial Statements included elsewhere in this Quarterly Report on Form 10-Q for more information about recent accounting pronouncements, the timing of their adoption, and our assessment, to the extent we have made one, of their potential impact on our financial position and our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and our unaudited interim condensed consolidated financial statements may not be comparable to companies that comply with new or revised accounting pronouncements as of public company effective dates.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has been no material change in our exposure to market risk from that discussed in our 2021 10-K.</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as of October 2, 2022, our disclosure controls and procedures were effective.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October 2,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are from time to time subject to various legal proceedings and claims, including employment claims, wage and hour claims, intellectual property claims, contractual and commercial disputes and other matters that arise in the ordinary course of our business. While the outcome of these and other claims cannot be predicted with certainty, we do not believe that the outcome of these matters will have a material adverse effect on our business, financial condition, cash flows, or results of operations. We are not presently a party to any legal proceedings that we believe would, if determined adversely to us, materially and adversely affect our future business, financial condition, cash flows, or results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79" w:firstLine="383"/>
        <w:spacing w:after="0" w:line="266" w:lineRule="auto"/>
        <w:rPr>
          <w:sz w:val="20"/>
          <w:szCs w:val="20"/>
          <w:color w:val="auto"/>
        </w:rPr>
      </w:pPr>
      <w:r>
        <w:rPr>
          <w:rFonts w:ascii="Times New Roman" w:cs="Times New Roman" w:eastAsia="Times New Roman" w:hAnsi="Times New Roman"/>
          <w:sz w:val="18"/>
          <w:szCs w:val="18"/>
          <w:color w:val="auto"/>
        </w:rPr>
        <w:t>For detailed information about certain risk factors that could materially affect our business, financial condition or future results see “Risk Factors” in Part I, Item 1A of our 2021 10-K. There have been no material changes to the risk factors previously disclosed in our 2021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Purchases of Equity Securities by the Issuer or Affiliated Purchaser</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r>
      <w:tr>
        <w:trPr>
          <w:trHeight w:val="187"/>
        </w:trPr>
        <w:tc>
          <w:tcPr>
            <w:tcW w:w="1200" w:type="dxa"/>
            <w:vAlign w:val="bottom"/>
          </w:tcPr>
          <w:p>
            <w:pPr>
              <w:ind w:left="32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center"/>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Filing</w:t>
            </w:r>
          </w:p>
        </w:tc>
        <w:tc>
          <w:tcPr>
            <w:tcW w:w="120" w:type="dxa"/>
            <w:vAlign w:val="bottom"/>
          </w:tcPr>
          <w:p>
            <w:pPr>
              <w:spacing w:after="0"/>
              <w:rPr>
                <w:sz w:val="16"/>
                <w:szCs w:val="16"/>
                <w:color w:val="auto"/>
              </w:rPr>
            </w:pPr>
          </w:p>
        </w:tc>
        <w:tc>
          <w:tcPr>
            <w:tcW w:w="8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Furnished</w:t>
            </w:r>
          </w:p>
        </w:tc>
      </w:tr>
      <w:tr>
        <w:trPr>
          <w:trHeight w:val="238"/>
        </w:trPr>
        <w:tc>
          <w:tcPr>
            <w:tcW w:w="12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324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tcPr>
          <w:p>
            <w:pPr>
              <w:spacing w:after="0"/>
              <w:rPr>
                <w:sz w:val="20"/>
                <w:szCs w:val="20"/>
                <w:color w:val="auto"/>
              </w:rPr>
            </w:pPr>
          </w:p>
        </w:tc>
        <w:tc>
          <w:tcPr>
            <w:tcW w:w="25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Form  File No.  Exhibit</w:t>
            </w:r>
          </w:p>
        </w:tc>
        <w:tc>
          <w:tcPr>
            <w:tcW w:w="9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412"/>
        </w:trPr>
        <w:tc>
          <w:tcPr>
            <w:tcW w:w="1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32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w:t>
            </w: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pursuant to Rule 13a-14(a)/15d-14(a).</w:t>
            </w:r>
          </w:p>
        </w:tc>
        <w:tc>
          <w:tcPr>
            <w:tcW w:w="48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28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w:t>
            </w:r>
          </w:p>
        </w:tc>
        <w:tc>
          <w:tcPr>
            <w:tcW w:w="52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pursuant to Rule 13a-14(a)/15d-14(a).</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33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w:t>
            </w:r>
          </w:p>
        </w:tc>
        <w:tc>
          <w:tcPr>
            <w:tcW w:w="48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7"/>
                <w:szCs w:val="17"/>
                <w:color w:val="auto"/>
              </w:rPr>
            </w:pPr>
          </w:p>
        </w:tc>
        <w:tc>
          <w:tcPr>
            <w:tcW w:w="28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w:t>
            </w:r>
          </w:p>
        </w:tc>
        <w:tc>
          <w:tcPr>
            <w:tcW w:w="52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1300" w:type="dxa"/>
            <w:vAlign w:val="bottom"/>
            <w:gridSpan w:val="2"/>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instance document does not appear in the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are embedded within the Inline XBRL</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3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3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3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(as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formatted as Inline XBRL and contained in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Exhibit 101)</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28" w:lineRule="exact"/>
        <w:rPr>
          <w:sz w:val="20"/>
          <w:szCs w:val="20"/>
          <w:color w:val="auto"/>
        </w:rPr>
      </w:pPr>
    </w:p>
    <w:p>
      <w:pPr>
        <w:ind w:left="700" w:hanging="650"/>
        <w:spacing w:after="0"/>
        <w:tabs>
          <w:tab w:leader="none" w:pos="7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Filed herewith</w:t>
      </w:r>
      <w:r>
        <w:rPr>
          <w:rFonts w:ascii="Times New Roman" w:cs="Times New Roman" w:eastAsia="Times New Roman" w:hAnsi="Times New Roman"/>
          <w:sz w:val="21"/>
          <w:szCs w:val="21"/>
          <w:color w:val="auto"/>
        </w:rPr>
        <w:t>.</w:t>
      </w:r>
    </w:p>
    <w:p>
      <w:pPr>
        <w:spacing w:after="0" w:line="14" w:lineRule="exact"/>
        <w:rPr>
          <w:sz w:val="20"/>
          <w:szCs w:val="20"/>
          <w:color w:val="auto"/>
        </w:rPr>
      </w:pPr>
    </w:p>
    <w:p>
      <w:pPr>
        <w:ind w:left="700" w:hanging="650"/>
        <w:spacing w:after="0"/>
        <w:tabs>
          <w:tab w:leader="none" w:pos="7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Furnished herewith</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572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tc>
      </w:tr>
      <w:tr>
        <w:trPr>
          <w:trHeight w:val="45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15, 2022</w:t>
            </w:r>
          </w:p>
        </w:tc>
        <w:tc>
          <w:tcPr>
            <w:tcW w:w="158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9"/>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McCreight</w:t>
            </w:r>
          </w:p>
        </w:tc>
      </w:tr>
      <w:tr>
        <w:trPr>
          <w:trHeight w:val="214"/>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David McCreight</w:t>
            </w:r>
          </w:p>
        </w:tc>
      </w:tr>
      <w:tr>
        <w:trPr>
          <w:trHeight w:val="232"/>
        </w:trPr>
        <w:tc>
          <w:tcPr>
            <w:tcW w:w="3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6"/>
        </w:trPr>
        <w:tc>
          <w:tcPr>
            <w:tcW w:w="3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68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15, 2022</w:t>
            </w:r>
          </w:p>
        </w:tc>
        <w:tc>
          <w:tcPr>
            <w:tcW w:w="158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9"/>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Crystal Landsem</w:t>
            </w:r>
          </w:p>
        </w:tc>
      </w:tr>
      <w:tr>
        <w:trPr>
          <w:trHeight w:val="232"/>
        </w:trPr>
        <w:tc>
          <w:tcPr>
            <w:tcW w:w="3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Crystal Landsem</w:t>
            </w:r>
          </w:p>
        </w:tc>
      </w:tr>
    </w:tbl>
    <w:p>
      <w:pPr>
        <w:jc w:val="center"/>
        <w:ind w:left="4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4"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McCreight, certify that:</w:t>
      </w:r>
    </w:p>
    <w:p>
      <w:pPr>
        <w:spacing w:after="0" w:line="225" w:lineRule="exact"/>
        <w:rPr>
          <w:sz w:val="20"/>
          <w:szCs w:val="20"/>
          <w:color w:val="auto"/>
        </w:rPr>
      </w:pPr>
    </w:p>
    <w:p>
      <w:pPr>
        <w:ind w:left="440" w:hanging="432"/>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Lulu’s Fashion Lounge Holdings, Inc.;</w:t>
      </w:r>
    </w:p>
    <w:p>
      <w:pPr>
        <w:spacing w:after="0" w:line="225"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440" w:right="40" w:hanging="432"/>
        <w:spacing w:after="0" w:line="282"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ind w:left="880" w:right="60" w:hanging="440"/>
        <w:spacing w:after="0" w:line="266" w:lineRule="auto"/>
        <w:tabs>
          <w:tab w:leader="none" w:pos="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880" w:right="80" w:hanging="440"/>
        <w:spacing w:after="0" w:line="266" w:lineRule="auto"/>
        <w:tabs>
          <w:tab w:leader="none" w:pos="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right="80" w:hanging="432"/>
        <w:spacing w:after="0" w:line="266"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80" w:right="700" w:hanging="440"/>
        <w:spacing w:after="0" w:line="282" w:lineRule="auto"/>
        <w:tabs>
          <w:tab w:leader="none" w:pos="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640" w:val="left"/>
          <w:tab w:leader="none" w:pos="7160" w:val="left"/>
        </w:tabs>
        <w:rPr>
          <w:sz w:val="20"/>
          <w:szCs w:val="20"/>
          <w:color w:val="auto"/>
        </w:rPr>
      </w:pPr>
      <w:r>
        <w:rPr>
          <w:rFonts w:ascii="Times New Roman" w:cs="Times New Roman" w:eastAsia="Times New Roman" w:hAnsi="Times New Roman"/>
          <w:sz w:val="18"/>
          <w:szCs w:val="18"/>
          <w:color w:val="auto"/>
        </w:rPr>
        <w:t>Date: November 15,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McCreight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25203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David McCreight</w:t>
      </w:r>
    </w:p>
    <w:p>
      <w:pPr>
        <w:spacing w:after="0" w:line="3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Crystal Landsem, certify that:</w:t>
      </w:r>
    </w:p>
    <w:p>
      <w:pPr>
        <w:spacing w:after="0" w:line="225" w:lineRule="exact"/>
        <w:rPr>
          <w:sz w:val="20"/>
          <w:szCs w:val="20"/>
          <w:color w:val="auto"/>
        </w:rPr>
      </w:pPr>
    </w:p>
    <w:p>
      <w:pPr>
        <w:ind w:left="440" w:hanging="432"/>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Lulu’s Fashion Lounge Holdings, Inc.;</w:t>
      </w:r>
    </w:p>
    <w:p>
      <w:pPr>
        <w:spacing w:after="0" w:line="225"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440" w:right="40" w:hanging="432"/>
        <w:spacing w:after="0" w:line="282" w:lineRule="auto"/>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ind w:left="880" w:right="60" w:hanging="440"/>
        <w:spacing w:after="0" w:line="266" w:lineRule="auto"/>
        <w:tabs>
          <w:tab w:leader="none" w:pos="8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880" w:right="80" w:hanging="440"/>
        <w:spacing w:after="0" w:line="266" w:lineRule="auto"/>
        <w:tabs>
          <w:tab w:leader="none" w:pos="8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right="80" w:hanging="432"/>
        <w:spacing w:after="0" w:line="266" w:lineRule="auto"/>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80" w:right="700" w:hanging="440"/>
        <w:spacing w:after="0" w:line="282" w:lineRule="auto"/>
        <w:tabs>
          <w:tab w:leader="none" w:pos="8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640" w:val="left"/>
          <w:tab w:leader="none" w:pos="7180" w:val="left"/>
        </w:tabs>
        <w:rPr>
          <w:sz w:val="20"/>
          <w:szCs w:val="20"/>
          <w:color w:val="auto"/>
        </w:rPr>
      </w:pPr>
      <w:r>
        <w:rPr>
          <w:rFonts w:ascii="Times New Roman" w:cs="Times New Roman" w:eastAsia="Times New Roman" w:hAnsi="Times New Roman"/>
          <w:sz w:val="18"/>
          <w:szCs w:val="18"/>
          <w:color w:val="auto"/>
        </w:rPr>
        <w:t>Date: November 15,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Crystal Landsem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25203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Crystal Landsem</w:t>
      </w:r>
    </w:p>
    <w:p>
      <w:pPr>
        <w:spacing w:after="0" w:line="3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Lulu’s Fashion Lounge Holdings, Inc. (the “Company”) for the period ended October 2, 2022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right="640" w:hanging="440"/>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640" w:val="left"/>
          <w:tab w:leader="none" w:pos="7160" w:val="left"/>
        </w:tabs>
        <w:rPr>
          <w:sz w:val="20"/>
          <w:szCs w:val="20"/>
          <w:color w:val="auto"/>
        </w:rPr>
      </w:pPr>
      <w:r>
        <w:rPr>
          <w:rFonts w:ascii="Times New Roman" w:cs="Times New Roman" w:eastAsia="Times New Roman" w:hAnsi="Times New Roman"/>
          <w:sz w:val="18"/>
          <w:szCs w:val="18"/>
          <w:color w:val="auto"/>
        </w:rPr>
        <w:t>Date: November 15,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McCreight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25203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David McCreight</w:t>
      </w:r>
    </w:p>
    <w:p>
      <w:pPr>
        <w:spacing w:after="0" w:line="3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Lulu’s Fashion Lounge Holdings, Inc. (the “Company”) for the period ended October 2, 2022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right="640" w:hanging="440"/>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640" w:val="left"/>
          <w:tab w:leader="none" w:pos="7180" w:val="left"/>
        </w:tabs>
        <w:rPr>
          <w:sz w:val="20"/>
          <w:szCs w:val="20"/>
          <w:color w:val="auto"/>
        </w:rPr>
      </w:pPr>
      <w:r>
        <w:rPr>
          <w:rFonts w:ascii="Times New Roman" w:cs="Times New Roman" w:eastAsia="Times New Roman" w:hAnsi="Times New Roman"/>
          <w:sz w:val="18"/>
          <w:szCs w:val="18"/>
          <w:color w:val="auto"/>
        </w:rPr>
        <w:t>Date: November 15,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Crystal Landsem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25203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Crystal Landsem</w:t>
      </w:r>
    </w:p>
    <w:p>
      <w:pPr>
        <w:spacing w:after="0" w:line="3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decimal"/>
      <w:start w:val="6"/>
    </w:lvl>
  </w:abstractNum>
  <w:abstractNum w:abstractNumId="8">
    <w:nsid w:val="6B68079A"/>
    <w:multiLevelType w:val="hybridMultilevel"/>
    <w:lvl w:ilvl="0">
      <w:lvlJc w:val="left"/>
      <w:lvlText w:val="%1."/>
      <w:numFmt w:val="decimal"/>
      <w:start w:val="7"/>
    </w:lvl>
  </w:abstractNum>
  <w:abstractNum w:abstractNumId="9">
    <w:nsid w:val="4E6AFB66"/>
    <w:multiLevelType w:val="hybridMultilevel"/>
    <w:lvl w:ilvl="0">
      <w:lvlJc w:val="left"/>
      <w:lvlText w:val="%1."/>
      <w:numFmt w:val="decimal"/>
      <w:start w:val="8"/>
    </w:lvl>
  </w:abstractNum>
  <w:abstractNum w:abstractNumId="10">
    <w:nsid w:val="25E45D32"/>
    <w:multiLevelType w:val="hybridMultilevel"/>
    <w:lvl w:ilvl="0">
      <w:lvlJc w:val="left"/>
      <w:lvlText w:val="%1."/>
      <w:numFmt w:val="decimal"/>
      <w:start w:val="9"/>
    </w:lvl>
  </w:abstractNum>
  <w:abstractNum w:abstractNumId="11">
    <w:nsid w:val="519B500D"/>
    <w:multiLevelType w:val="hybridMultilevel"/>
    <w:lvl w:ilvl="0">
      <w:lvlJc w:val="left"/>
      <w:lvlText w:val="%1."/>
      <w:numFmt w:val="decimal"/>
      <w:start w:val="10"/>
    </w:lvl>
  </w:abstractNum>
  <w:abstractNum w:abstractNumId="12">
    <w:nsid w:val="431BD7B7"/>
    <w:multiLevelType w:val="hybridMultilevel"/>
    <w:lvl w:ilvl="0">
      <w:lvlJc w:val="left"/>
      <w:lvlText w:val="%1."/>
      <w:numFmt w:val="decimal"/>
      <w:start w:val="11"/>
    </w:lvl>
  </w:abstractNum>
  <w:abstractNum w:abstractNumId="13">
    <w:nsid w:val="3F2DBA31"/>
    <w:multiLevelType w:val="hybridMultilevel"/>
    <w:lvl w:ilvl="0">
      <w:lvlJc w:val="left"/>
      <w:lvlText w:val="%1."/>
      <w:numFmt w:val="decimal"/>
      <w:start w:val="12"/>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2022-11-15T15:21:44Z</dcterms:created>
  <dcterms:modified xsi:type="dcterms:W3CDTF">2022-11-15T15:21:44Z</dcterms:modified>
</cp:coreProperties>
</file>