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6817-2_4seq1.xml.htm"/>
      <w:bookmarkStart w:id="1" w:name="kstm2626817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Crane Heidi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 RYAN AVENUE, SUITE 125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95973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Lulu's Fashion Lounge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LVLU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12.76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25,387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Lulu's Fashion Lounge Holdings, Inc. to cover tax withholding obligations upon the vesting of a restricted stock unit award on September 30,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Alexa Miller, as Attorney-in-Fact for Heidi Crane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2553" TargetMode="External"/><Relationship Id="rId5" Type="http://schemas.openxmlformats.org/officeDocument/2006/relationships/hyperlink" Target="http://www.sec.gov/cgi-bin/browse-edgar?action=getcompany&amp;CIK=00017802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3250</Characters>
  <CharactersWithSpaces>3780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