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817-1_4seq1.xml.htm"/>
      <w:bookmarkStart w:id="1" w:name="kstm2626817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Landsem Crystal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 RYAN AVENUE, SUITE 125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95973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Lulu's Fashion Lounge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LVLU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12.76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115,113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Lulu's Fashion Lounge Holdings, Inc. to cover tax withholding obligations upon the vesting of a restricted stock unit award on September 30,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Alexa Miller, as Attorney-in-Fact for Crystal Landsem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1033" TargetMode="External"/><Relationship Id="rId5" Type="http://schemas.openxmlformats.org/officeDocument/2006/relationships/hyperlink" Target="http://www.sec.gov/cgi-bin/browse-edgar?action=getcompany&amp;CIK=00017802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3259</Characters>
  <CharactersWithSpaces>3789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