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tmb-20230402x10q.htm"/>
        <w:bookmarkStart w:id="1" w:name="kstmb20230402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center"/>
        <w:rPr>
          <w:rFonts w:ascii="Times New Roman;Times;serif" w:hAnsi="Times New Roman;Times;serif"/>
          <w:b/>
          <w:sz w:val="32"/>
        </w:rPr>
      </w:pPr>
      <w:bookmarkStart w:id="2" w:name="_d14d9ca9_114f_4962_8be3_3c83c16606ce"/>
      <w:bookmarkEnd w:id="2"/>
      <w:r>
        <w:rPr>
          <w:rFonts w:ascii="Times New Roman;Times;serif" w:hAnsi="Times New Roman;Times;serif"/>
          <w:b/>
          <w:sz w:val="32"/>
        </w:rPr>
        <w:t>UNITED STATES</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pBdr>
          <w:bottom w:val="single" w:sz="2" w:space="1" w:color="000000"/>
        </w:pBdr>
        <w:spacing w:before="0" w:after="120"/>
        <w:ind w:left="0" w:right="0" w:hanging="0"/>
        <w:jc w:val="center"/>
        <w:rPr/>
      </w:pPr>
      <w:r>
        <w:rPr/>
        <w:t>​</w:t>
      </w:r>
    </w:p>
    <w:p>
      <w:pPr>
        <w:pStyle w:val="TextBody"/>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spacing w:before="0" w:after="120"/>
        <w:ind w:left="0" w:right="0" w:hanging="0"/>
        <w:jc w:val="center"/>
        <w:rPr/>
      </w:pPr>
      <w:r>
        <w:rPr/>
        <w:t>​</w:t>
      </w:r>
    </w:p>
    <w:p>
      <w:pPr>
        <w:pStyle w:val="TextBody"/>
        <w:spacing w:before="0" w:after="0"/>
        <w:ind w:left="0" w:right="0" w:hanging="0"/>
        <w:rPr>
          <w:rFonts w:ascii="Times New Roman;Times;serif" w:hAnsi="Times New Roman;Times;serif"/>
          <w:b/>
          <w:sz w:val="16"/>
        </w:rPr>
      </w:pPr>
      <w:r>
        <w:rPr>
          <w:rFonts w:ascii="Times New Roman;Times;serif" w:hAnsi="Times New Roman;Times;serif"/>
          <w:b/>
          <w:sz w:val="16"/>
        </w:rPr>
        <w:t>(Mark One)</w:t>
      </w:r>
    </w:p>
    <w:p>
      <w:pPr>
        <w:pStyle w:val="TextBody"/>
        <w:spacing w:before="0" w:after="0"/>
        <w:ind w:left="0" w:right="0" w:hanging="0"/>
        <w:rPr/>
      </w:pPr>
      <w:r>
        <w:rPr/>
        <w:t>​</w:t>
      </w:r>
    </w:p>
    <w:p>
      <w:pPr>
        <w:pStyle w:val="Normal"/>
        <w:spacing w:before="0" w:after="0"/>
        <w:rPr>
          <w:sz w:val="4"/>
          <w:szCs w:val="4"/>
        </w:rPr>
      </w:pPr>
      <w:r>
        <w:rPr>
          <w:sz w:val="4"/>
          <w:szCs w:val="4"/>
        </w:rPr>
      </w:r>
      <w:bookmarkStart w:id="3" w:name="Tc_k3_0hzuAuUCBPx2ZDKUzZQ_1_1"/>
      <w:bookmarkStart w:id="4" w:name="_3586bc08_409e_4c84_8a88_f77b88341fc0"/>
      <w:bookmarkStart w:id="5" w:name="Tc_k3_0hzuAuUCBPx2ZDKUzZQ_1_1"/>
      <w:bookmarkStart w:id="6" w:name="_3586bc08_409e_4c84_8a88_f77b88341fc0"/>
      <w:bookmarkEnd w:id="5"/>
      <w:bookmarkEnd w:id="6"/>
    </w:p>
    <w:tbl>
      <w:tblPr>
        <w:tblW w:w="10539" w:type="dxa"/>
        <w:jc w:val="left"/>
        <w:tblInd w:w="0" w:type="dxa"/>
        <w:tblCellMar>
          <w:top w:w="0" w:type="dxa"/>
          <w:left w:w="0" w:type="dxa"/>
          <w:bottom w:w="0" w:type="dxa"/>
          <w:right w:w="0" w:type="dxa"/>
        </w:tblCellMar>
      </w:tblPr>
      <w:tblGrid>
        <w:gridCol w:w="331"/>
        <w:gridCol w:w="10208"/>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10208"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10208"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For the quarterly period ended April 2, 2023</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OR</w:t>
      </w:r>
    </w:p>
    <w:p>
      <w:pPr>
        <w:pStyle w:val="TextBody"/>
        <w:spacing w:before="0" w:after="0"/>
        <w:ind w:left="0" w:right="0" w:hanging="0"/>
        <w:rPr/>
      </w:pPr>
      <w:r>
        <w:rPr/>
        <w:t>​</w:t>
      </w:r>
    </w:p>
    <w:p>
      <w:pPr>
        <w:pStyle w:val="Normal"/>
        <w:spacing w:before="0" w:after="0"/>
        <w:rPr>
          <w:sz w:val="4"/>
          <w:szCs w:val="4"/>
        </w:rPr>
      </w:pPr>
      <w:r>
        <w:rPr>
          <w:sz w:val="4"/>
          <w:szCs w:val="4"/>
        </w:rPr>
      </w:r>
      <w:bookmarkStart w:id="7" w:name="Tc_kHdcqDdHPEe_WNYwH7tJxg_1_1"/>
      <w:bookmarkStart w:id="8" w:name="_047cb49a_6ab8_464c_b721_f28d7010be9a"/>
      <w:bookmarkStart w:id="9" w:name="Tc_kHdcqDdHPEe_WNYwH7tJxg_1_1"/>
      <w:bookmarkStart w:id="10" w:name="_047cb49a_6ab8_464c_b721_f28d7010be9a"/>
      <w:bookmarkEnd w:id="9"/>
      <w:bookmarkEnd w:id="10"/>
    </w:p>
    <w:tbl>
      <w:tblPr>
        <w:tblW w:w="10539" w:type="dxa"/>
        <w:jc w:val="left"/>
        <w:tblInd w:w="0" w:type="dxa"/>
        <w:tblCellMar>
          <w:top w:w="0" w:type="dxa"/>
          <w:left w:w="0" w:type="dxa"/>
          <w:bottom w:w="0" w:type="dxa"/>
          <w:right w:w="0" w:type="dxa"/>
        </w:tblCellMar>
      </w:tblPr>
      <w:tblGrid>
        <w:gridCol w:w="331"/>
        <w:gridCol w:w="10208"/>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10208"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10208"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120"/>
        <w:ind w:left="0" w:right="0" w:hanging="0"/>
        <w:jc w:val="center"/>
        <w:rPr>
          <w:rFonts w:ascii="Times New Roman;Times;serif" w:hAnsi="Times New Roman;Times;serif"/>
          <w:b/>
          <w:sz w:val="24"/>
        </w:rPr>
      </w:pPr>
      <w:r>
        <w:rPr>
          <w:rFonts w:ascii="Times New Roman;Times;serif" w:hAnsi="Times New Roman;Times;serif"/>
          <w:b/>
          <w:sz w:val="24"/>
        </w:rPr>
        <w:t>For the transition period from ___________________ to ___________________</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Commission File Number: 001-41059</w:t>
      </w:r>
    </w:p>
    <w:p>
      <w:pPr>
        <w:pStyle w:val="TextBody"/>
        <w:pBdr>
          <w:bottom w:val="single" w:sz="2" w:space="1" w:color="000000"/>
        </w:pBdr>
        <w:spacing w:before="0" w:after="0"/>
        <w:ind w:left="0" w:right="0" w:hanging="0"/>
        <w:jc w:val="center"/>
        <w:rPr/>
      </w:pPr>
      <w:r>
        <w:rPr/>
        <w:t>​</w:t>
      </w:r>
    </w:p>
    <w:p>
      <w:pPr>
        <w:pStyle w:val="TextBody"/>
        <w:spacing w:before="0" w:after="0"/>
        <w:ind w:left="0" w:right="0" w:hanging="0"/>
        <w:jc w:val="center"/>
        <w:rPr/>
      </w:pPr>
      <w:r>
        <w:rPr/>
        <w:drawing>
          <wp:inline distT="0" distB="0" distL="0" distR="0">
            <wp:extent cx="1022350" cy="439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2350" cy="439420"/>
                    </a:xfrm>
                    <a:prstGeom prst="rect">
                      <a:avLst/>
                    </a:prstGeom>
                  </pic:spPr>
                </pic:pic>
              </a:graphicData>
            </a:graphic>
          </wp:inline>
        </w:drawing>
      </w:r>
    </w:p>
    <w:p>
      <w:pPr>
        <w:pStyle w:val="TextBody"/>
        <w:spacing w:before="0" w:after="0"/>
        <w:ind w:left="0" w:right="0" w:hanging="0"/>
        <w:jc w:val="center"/>
        <w:rPr>
          <w:rFonts w:ascii="Times New Roman;Times;serif" w:hAnsi="Times New Roman;Times;serif"/>
          <w:b/>
          <w:sz w:val="40"/>
        </w:rPr>
      </w:pPr>
      <w:r>
        <w:rPr>
          <w:rFonts w:ascii="Times New Roman;Times;serif" w:hAnsi="Times New Roman;Times;serif"/>
          <w:b/>
          <w:sz w:val="40"/>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(Exact Name of Registrant as Specified in its Charter)</w:t>
      </w:r>
    </w:p>
    <w:p>
      <w:pPr>
        <w:pStyle w:val="TextBody"/>
        <w:pBdr>
          <w:bottom w:val="single" w:sz="2" w:space="1" w:color="000000"/>
        </w:pBdr>
        <w:spacing w:before="0" w:after="0"/>
        <w:ind w:left="0" w:right="0" w:hanging="0"/>
        <w:jc w:val="center"/>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11" w:name="Tc_uTyXxo-Z9UGfve6JzTLUFw_4_1"/>
      <w:bookmarkStart w:id="12" w:name="Tc_DSrp_DwrYE6SrGZSjIcGoA_4_0"/>
      <w:bookmarkStart w:id="13" w:name="Tc_s0WQh3qiV06NZEj02QU3Vg_3_0"/>
      <w:bookmarkStart w:id="14" w:name="Tc_UBA_2pmockqFAW0u_C2pyw_2_1"/>
      <w:bookmarkStart w:id="15" w:name="Tc_x4ZS5VX28Umb5q1MS3Qsnw_2_0"/>
      <w:bookmarkStart w:id="16" w:name="_2e8a7c68_cf3e_42ac_9fdd_aa4211875b32"/>
      <w:bookmarkStart w:id="17" w:name="Tc_uTyXxo-Z9UGfve6JzTLUFw_4_1"/>
      <w:bookmarkStart w:id="18" w:name="Tc_DSrp_DwrYE6SrGZSjIcGoA_4_0"/>
      <w:bookmarkStart w:id="19" w:name="Tc_s0WQh3qiV06NZEj02QU3Vg_3_0"/>
      <w:bookmarkStart w:id="20" w:name="Tc_UBA_2pmockqFAW0u_C2pyw_2_1"/>
      <w:bookmarkStart w:id="21" w:name="Tc_x4ZS5VX28Umb5q1MS3Qsnw_2_0"/>
      <w:bookmarkStart w:id="22" w:name="_2e8a7c68_cf3e_42ac_9fdd_aa4211875b32"/>
      <w:bookmarkEnd w:id="17"/>
      <w:bookmarkEnd w:id="18"/>
      <w:bookmarkEnd w:id="19"/>
      <w:bookmarkEnd w:id="20"/>
      <w:bookmarkEnd w:id="21"/>
      <w:bookmarkEnd w:id="22"/>
    </w:p>
    <w:tbl>
      <w:tblPr>
        <w:tblW w:w="4412" w:type="dxa"/>
        <w:jc w:val="left"/>
        <w:tblInd w:w="0" w:type="dxa"/>
        <w:tblCellMar>
          <w:top w:w="0" w:type="dxa"/>
          <w:left w:w="0" w:type="dxa"/>
          <w:bottom w:w="0" w:type="dxa"/>
          <w:right w:w="0" w:type="dxa"/>
        </w:tblCellMar>
      </w:tblPr>
      <w:tblGrid>
        <w:gridCol w:w="2926"/>
        <w:gridCol w:w="1486"/>
      </w:tblGrid>
      <w:tr>
        <w:trPr/>
        <w:tc>
          <w:tcPr>
            <w:tcW w:w="29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58010" cy="29210"/>
                      <wp:effectExtent l="0" t="0" r="0" b="0"/>
                      <wp:wrapNone/>
                      <wp:docPr id="2" name="Frame1"/>
                      <a:graphic xmlns:a="http://schemas.openxmlformats.org/drawingml/2006/main">
                        <a:graphicData uri="http://schemas.microsoft.com/office/word/2010/wordprocessingShape">
                          <wps:wsp>
                            <wps:cNvSpPr txBox="1"/>
                            <wps:spPr>
                              <a:xfrm>
                                <a:off x="0" y="0"/>
                                <a:ext cx="1858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43610" cy="29210"/>
                      <wp:effectExtent l="0" t="0" r="0" b="0"/>
                      <wp:wrapNone/>
                      <wp:docPr id="3" name="Frame2"/>
                      <a:graphic xmlns:a="http://schemas.openxmlformats.org/drawingml/2006/main">
                        <a:graphicData uri="http://schemas.microsoft.com/office/word/2010/wordprocessingShape">
                          <wps:wsp>
                            <wps:cNvSpPr txBox="1"/>
                            <wps:spPr>
                              <a:xfrm>
                                <a:off x="0" y="0"/>
                                <a:ext cx="9436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29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20-8442468</w:t>
            </w:r>
          </w:p>
        </w:tc>
      </w:tr>
      <w:tr>
        <w:trPr/>
        <w:tc>
          <w:tcPr>
            <w:tcW w:w="29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r>
        <w:trPr/>
        <w:tc>
          <w:tcPr>
            <w:tcW w:w="29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195 Humboldt Avenue</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Chico, California</w:t>
            </w:r>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95928</w:t>
            </w:r>
          </w:p>
        </w:tc>
      </w:tr>
      <w:tr>
        <w:trPr/>
        <w:tc>
          <w:tcPr>
            <w:tcW w:w="29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(530) 343-3545</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pBdr>
          <w:bottom w:val="single" w:sz="2" w:space="1" w:color="000000"/>
        </w:pBdr>
        <w:spacing w:before="0" w:after="120"/>
        <w:ind w:left="0" w:right="0" w:hanging="0"/>
        <w:jc w:val="center"/>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spacing w:before="0" w:after="0"/>
        <w:ind w:left="0" w:right="0" w:hanging="0"/>
        <w:rPr/>
      </w:pPr>
      <w:r>
        <w:rPr/>
        <w:t>​</w:t>
      </w:r>
    </w:p>
    <w:p>
      <w:pPr>
        <w:pStyle w:val="Normal"/>
        <w:spacing w:before="0" w:after="0"/>
        <w:rPr>
          <w:sz w:val="4"/>
          <w:szCs w:val="4"/>
        </w:rPr>
      </w:pPr>
      <w:r>
        <w:rPr>
          <w:sz w:val="4"/>
          <w:szCs w:val="4"/>
        </w:rPr>
      </w:r>
      <w:bookmarkStart w:id="23" w:name="Tc_1y82AdfgvUKTJX5g6FOiCw_0_2"/>
      <w:bookmarkStart w:id="24" w:name="Tc_iuGJVeYE-kCPftzu8MykqA_0_1"/>
      <w:bookmarkStart w:id="25" w:name="Tc_6U6xpmIm20yfz3nHRN3s5A_0_0"/>
      <w:bookmarkStart w:id="26" w:name="_0b67aa34_c169_429a_9db4_f6b2e7cf4f7b"/>
      <w:bookmarkStart w:id="27" w:name="Tc_1y82AdfgvUKTJX5g6FOiCw_0_2"/>
      <w:bookmarkStart w:id="28" w:name="Tc_iuGJVeYE-kCPftzu8MykqA_0_1"/>
      <w:bookmarkStart w:id="29" w:name="Tc_6U6xpmIm20yfz3nHRN3s5A_0_0"/>
      <w:bookmarkStart w:id="30" w:name="_0b67aa34_c169_429a_9db4_f6b2e7cf4f7b"/>
      <w:bookmarkEnd w:id="27"/>
      <w:bookmarkEnd w:id="28"/>
      <w:bookmarkEnd w:id="29"/>
      <w:bookmarkEnd w:id="30"/>
    </w:p>
    <w:tbl>
      <w:tblPr>
        <w:tblW w:w="8208" w:type="dxa"/>
        <w:jc w:val="left"/>
        <w:tblInd w:w="0" w:type="dxa"/>
        <w:tblCellMar>
          <w:top w:w="28" w:type="dxa"/>
          <w:left w:w="28" w:type="dxa"/>
          <w:bottom w:w="28" w:type="dxa"/>
          <w:right w:w="28" w:type="dxa"/>
        </w:tblCellMar>
      </w:tblPr>
      <w:tblGrid>
        <w:gridCol w:w="3166"/>
        <w:gridCol w:w="1561"/>
        <w:gridCol w:w="3481"/>
      </w:tblGrid>
      <w:tr>
        <w:trPr/>
        <w:tc>
          <w:tcPr>
            <w:tcW w:w="31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LVLU</w:t>
            </w:r>
          </w:p>
        </w:tc>
        <w:tc>
          <w:tcPr>
            <w:tcW w:w="348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Market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4"/>
        </w:rPr>
        <w:t xml:space="preserve"> ☒   </w:t>
      </w:r>
      <w:r>
        <w:rPr>
          <w:rFonts w:ascii="Times New Roman;Times;serif" w:hAnsi="Times New Roman;Times;serif"/>
          <w:sz w:val="18"/>
        </w:rPr>
        <w:t>No </w:t>
      </w:r>
      <w:r>
        <w:rPr>
          <w:rFonts w:ascii="Times New Roman;Times;serif" w:hAnsi="Times New Roman;Times;serif"/>
          <w:sz w:val="24"/>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4"/>
        </w:rPr>
        <w:t>  ☒   </w:t>
      </w:r>
      <w:r>
        <w:rPr>
          <w:rFonts w:ascii="Times New Roman;Times;serif" w:hAnsi="Times New Roman;Times;serif"/>
          <w:sz w:val="18"/>
        </w:rPr>
        <w:t>No  </w:t>
      </w:r>
      <w:r>
        <w:rPr>
          <w:rFonts w:ascii="Times New Roman;Times;serif" w:hAnsi="Times New Roman;Times;serif"/>
          <w:sz w:val="24"/>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pPr>
      <w:r>
        <w:rPr/>
        <w:t>​</w:t>
      </w:r>
    </w:p>
    <w:p>
      <w:pPr>
        <w:pStyle w:val="Normal"/>
        <w:spacing w:before="0" w:after="0"/>
        <w:rPr>
          <w:sz w:val="4"/>
          <w:szCs w:val="4"/>
        </w:rPr>
      </w:pPr>
      <w:r>
        <w:rPr>
          <w:sz w:val="4"/>
          <w:szCs w:val="4"/>
        </w:rPr>
      </w:r>
      <w:bookmarkStart w:id="31" w:name="Tc_m0NFMV4vt0yuk5rdVFGOuQ_3_0"/>
      <w:bookmarkStart w:id="32" w:name="Tc_vUjjYUeV40iqk-XCFZAEyw_2_3"/>
      <w:bookmarkStart w:id="33" w:name="Tc_EmA0twJEFE6D2tQhv6puUw_2_1"/>
      <w:bookmarkStart w:id="34" w:name="Tc_xcAx-lmo0USos0F0SLuJZA_2_0"/>
      <w:bookmarkStart w:id="35" w:name="Tc_9-Fpym6VMku-hnxp6eS3JQ_1_4"/>
      <w:bookmarkStart w:id="36" w:name="Tc_staH-QOXW02ZwtOvOLhY6A_1_1"/>
      <w:bookmarkStart w:id="37" w:name="Tc_3Pihx4Ay10i1Ve1pj6DLag_1_0"/>
      <w:bookmarkStart w:id="38" w:name="_802ff32d_6140_48ee_8c95_2d5393b7c353"/>
      <w:bookmarkStart w:id="39" w:name="Tc_m0NFMV4vt0yuk5rdVFGOuQ_3_0"/>
      <w:bookmarkStart w:id="40" w:name="Tc_vUjjYUeV40iqk-XCFZAEyw_2_3"/>
      <w:bookmarkStart w:id="41" w:name="Tc_EmA0twJEFE6D2tQhv6puUw_2_1"/>
      <w:bookmarkStart w:id="42" w:name="Tc_xcAx-lmo0USos0F0SLuJZA_2_0"/>
      <w:bookmarkStart w:id="43" w:name="Tc_9-Fpym6VMku-hnxp6eS3JQ_1_4"/>
      <w:bookmarkStart w:id="44" w:name="Tc_staH-QOXW02ZwtOvOLhY6A_1_1"/>
      <w:bookmarkStart w:id="45" w:name="Tc_3Pihx4Ay10i1Ve1pj6DLag_1_0"/>
      <w:bookmarkStart w:id="46" w:name="_802ff32d_6140_48ee_8c95_2d5393b7c353"/>
      <w:bookmarkEnd w:id="39"/>
      <w:bookmarkEnd w:id="40"/>
      <w:bookmarkEnd w:id="41"/>
      <w:bookmarkEnd w:id="42"/>
      <w:bookmarkEnd w:id="43"/>
      <w:bookmarkEnd w:id="44"/>
      <w:bookmarkEnd w:id="45"/>
      <w:bookmarkEnd w:id="46"/>
    </w:p>
    <w:tbl>
      <w:tblPr>
        <w:tblW w:w="4965" w:type="dxa"/>
        <w:jc w:val="left"/>
        <w:tblInd w:w="0" w:type="dxa"/>
        <w:tblCellMar>
          <w:top w:w="0" w:type="dxa"/>
          <w:left w:w="0" w:type="dxa"/>
          <w:bottom w:w="0" w:type="dxa"/>
          <w:right w:w="0" w:type="dxa"/>
        </w:tblCellMar>
      </w:tblPr>
      <w:tblGrid>
        <w:gridCol w:w="2056"/>
        <w:gridCol w:w="376"/>
        <w:gridCol w:w="146"/>
        <w:gridCol w:w="2026"/>
        <w:gridCol w:w="361"/>
      </w:tblGrid>
      <w:tr>
        <w:trPr/>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Large accelerated filer</w:t>
            </w:r>
          </w:p>
        </w:tc>
        <w:tc>
          <w:tcPr>
            <w:tcW w:w="376" w:type="dxa"/>
            <w:tcBorders/>
            <w:shd w:fill="auto" w:val="clear"/>
            <w:vAlign w:val="center"/>
          </w:tcPr>
          <w:p>
            <w:pPr>
              <w:pStyle w:val="TableContents"/>
              <w:spacing w:before="0" w:after="0"/>
              <w:ind w:left="0" w:right="0" w:hanging="0"/>
              <w:rPr/>
            </w:pPr>
            <w:r>
              <w:rPr/>
              <w:t>☐</w:t>
            </w:r>
            <w:r>
              <w:rPr>
                <w:rFonts w:ascii="Segoe UI Symbol" w:hAnsi="Segoe UI Symbol"/>
                <w:sz w:val="18"/>
              </w:rPr>
              <w:t>,</w:t>
            </w:r>
          </w:p>
        </w:tc>
        <w:tc>
          <w:tcPr>
            <w:tcW w:w="146" w:type="dxa"/>
            <w:tcBorders/>
            <w:shd w:fill="auto" w:val="clear"/>
            <w:vAlign w:val="center"/>
          </w:tcPr>
          <w:p>
            <w:pPr>
              <w:pStyle w:val="TableContents"/>
              <w:spacing w:before="0" w:after="0"/>
              <w:ind w:left="0" w:right="0" w:hanging="0"/>
              <w:rPr/>
            </w:pPr>
            <w:r>
              <w:rPr/>
              <w:t> </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Accelerated filer</w:t>
            </w:r>
          </w:p>
        </w:tc>
        <w:tc>
          <w:tcPr>
            <w:tcW w:w="361" w:type="dxa"/>
            <w:tcBorders/>
            <w:shd w:fill="auto" w:val="clear"/>
            <w:vAlign w:val="center"/>
          </w:tcPr>
          <w:p>
            <w:pPr>
              <w:pStyle w:val="TableContents"/>
              <w:spacing w:before="0" w:after="0"/>
              <w:ind w:left="0" w:right="0" w:hanging="0"/>
              <w:rPr/>
            </w:pPr>
            <w:r>
              <w:rPr/>
              <w:t>☒</w:t>
            </w:r>
          </w:p>
        </w:tc>
      </w:tr>
      <w:tr>
        <w:trPr/>
        <w:tc>
          <w:tcPr>
            <w:tcW w:w="20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Non-accelerated filer</w:t>
            </w:r>
          </w:p>
        </w:tc>
        <w:tc>
          <w:tcPr>
            <w:tcW w:w="37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Smaller reporting company</w:t>
            </w:r>
          </w:p>
        </w:tc>
        <w:tc>
          <w:tcPr>
            <w:tcW w:w="361" w:type="dxa"/>
            <w:tcBorders/>
            <w:shd w:fill="auto" w:val="clear"/>
            <w:vAlign w:val="center"/>
          </w:tcPr>
          <w:p>
            <w:pPr>
              <w:pStyle w:val="TableContents"/>
              <w:spacing w:before="0" w:after="0"/>
              <w:ind w:left="0" w:right="0" w:hanging="0"/>
              <w:rPr/>
            </w:pPr>
            <w:r>
              <w:rPr/>
              <w:t>☒</w:t>
            </w:r>
          </w:p>
        </w:tc>
      </w:tr>
      <w:tr>
        <w:trPr/>
        <w:tc>
          <w:tcPr>
            <w:tcW w:w="20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Emerging growth company</w:t>
            </w:r>
          </w:p>
        </w:tc>
        <w:tc>
          <w:tcPr>
            <w:tcW w:w="37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2026" w:type="dxa"/>
            <w:tcBorders/>
            <w:shd w:fill="auto" w:val="clear"/>
            <w:vAlign w:val="center"/>
          </w:tcPr>
          <w:p>
            <w:pPr>
              <w:pStyle w:val="TableContents"/>
              <w:spacing w:before="0" w:after="0"/>
              <w:ind w:left="0" w:right="0" w:hanging="0"/>
              <w:rPr/>
            </w:pPr>
            <w:r>
              <w:rPr/>
              <w:t> </w:t>
            </w:r>
          </w:p>
        </w:tc>
        <w:tc>
          <w:tcPr>
            <w:tcW w:w="36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4"/>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4"/>
        </w:rPr>
        <w:t>☐    </w:t>
      </w:r>
      <w:r>
        <w:rPr>
          <w:rFonts w:ascii="Times New Roman;Times;serif" w:hAnsi="Times New Roman;Times;serif"/>
          <w:sz w:val="18"/>
        </w:rPr>
        <w:t>No  </w:t>
      </w:r>
      <w:r>
        <w:rPr>
          <w:rFonts w:ascii="Times New Roman;Times;serif" w:hAnsi="Times New Roman;Times;serif"/>
          <w:sz w:val="24"/>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As of May 5, 2023, there were 39,737,701 shares of the registrant’s common stock, par value $0.001, outstanding.</w:t>
      </w:r>
    </w:p>
    <w:p>
      <w:pPr>
        <w:pStyle w:val="TextBody"/>
        <w:spacing w:before="0" w:after="0"/>
        <w:ind w:left="0" w:right="0" w:hanging="0"/>
        <w:rPr/>
      </w:pPr>
      <w:r>
        <w:rPr/>
        <w:t>​</w:t>
      </w:r>
    </w:p>
    <w:p>
      <w:pPr>
        <w:pStyle w:val="TextBody"/>
        <w:pBdr>
          <w:top w:val="single" w:sz="2"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right"/>
        <w:rPr>
          <w:rFonts w:ascii="Times New Roman;Times;serif" w:hAnsi="Times New Roman;Times;serif"/>
          <w:b/>
          <w:sz w:val="20"/>
        </w:rPr>
      </w:pPr>
      <w:bookmarkStart w:id="47" w:name="TOC"/>
      <w:bookmarkStart w:id="48" w:name="_e905ff38_4146_4085_b777_1c0fe8320ffa"/>
      <w:bookmarkEnd w:id="47"/>
      <w:bookmarkEnd w:id="48"/>
      <w:r>
        <w:rPr>
          <w:rFonts w:ascii="Times New Roman;Times;serif" w:hAnsi="Times New Roman;Times;serif"/>
          <w:b/>
          <w:sz w:val="20"/>
        </w:rPr>
        <w:t>TABLE OF CONTENTS</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111"/>
        <w:gridCol w:w="8782"/>
        <w:gridCol w:w="646"/>
      </w:tblGrid>
      <w:tr>
        <w:trPr/>
        <w:tc>
          <w:tcPr>
            <w:tcW w:w="1111" w:type="dxa"/>
            <w:tcBorders/>
            <w:shd w:fill="auto" w:val="clear"/>
            <w:vAlign w:val="center"/>
          </w:tcPr>
          <w:p>
            <w:pPr>
              <w:pStyle w:val="TableContents"/>
              <w:spacing w:before="0" w:after="0"/>
              <w:ind w:left="0" w:right="0" w:hanging="0"/>
              <w:rPr/>
            </w:pPr>
            <w:r>
              <w:rPr/>
              <w:t> </w:t>
            </w:r>
          </w:p>
        </w:tc>
        <w:tc>
          <w:tcPr>
            <w:tcW w:w="8782" w:type="dxa"/>
            <w:tcBorders/>
            <w:shd w:fill="auto" w:val="clear"/>
            <w:vAlign w:val="center"/>
          </w:tcPr>
          <w:p>
            <w:pPr>
              <w:pStyle w:val="TableContents"/>
              <w:spacing w:before="0" w:after="0"/>
              <w:ind w:left="0" w:right="0" w:hanging="0"/>
              <w:rPr/>
            </w:pPr>
            <w:r>
              <w:rPr/>
              <w:t> </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Page</w:t>
            </w:r>
          </w:p>
        </w:tc>
      </w:tr>
      <w:tr>
        <w:trPr/>
        <w:tc>
          <w:tcPr>
            <w:tcW w:w="1111" w:type="dxa"/>
            <w:tcBorders/>
            <w:shd w:fill="auto" w:val="clear"/>
            <w:vAlign w:val="center"/>
          </w:tcPr>
          <w:p>
            <w:pPr>
              <w:pStyle w:val="TableContents"/>
              <w:spacing w:before="0" w:after="0"/>
              <w:ind w:left="0" w:right="0" w:hanging="0"/>
              <w:rPr/>
            </w:pPr>
            <w:hyperlink w:anchor="PARTIFINANCIALINFORMATION_735439">
              <w:r>
                <w:rPr>
                  <w:rStyle w:val="InternetLink"/>
                  <w:rFonts w:ascii="Times New Roman;Times;serif" w:hAnsi="Times New Roman;Times;serif"/>
                  <w:b/>
                  <w:i w:val="false"/>
                  <w:caps w:val="false"/>
                  <w:smallCaps w:val="false"/>
                  <w:sz w:val="24"/>
                </w:rPr>
                <w:t>PART I</w:t>
              </w:r>
            </w:hyperlink>
          </w:p>
        </w:tc>
        <w:tc>
          <w:tcPr>
            <w:tcW w:w="8782" w:type="dxa"/>
            <w:tcBorders/>
            <w:shd w:fill="auto" w:val="clear"/>
            <w:vAlign w:val="center"/>
          </w:tcPr>
          <w:p>
            <w:pPr>
              <w:pStyle w:val="TableContents"/>
              <w:spacing w:before="0" w:after="0"/>
              <w:ind w:left="0" w:right="0" w:hanging="0"/>
              <w:rPr/>
            </w:pPr>
            <w:hyperlink w:anchor="PARTIFINANCIALINFORMATION_735439">
              <w:r>
                <w:rPr>
                  <w:rStyle w:val="InternetLink"/>
                  <w:rFonts w:ascii="Times New Roman;Times;serif" w:hAnsi="Times New Roman;Times;serif"/>
                  <w:b/>
                  <w:i w:val="false"/>
                  <w:caps w:val="false"/>
                  <w:smallCaps w:val="false"/>
                  <w:sz w:val="24"/>
                </w:rPr>
                <w:t>FINANCIAL INFORMATION</w:t>
              </w:r>
            </w:hyperlink>
          </w:p>
        </w:tc>
        <w:tc>
          <w:tcPr>
            <w:tcW w:w="646"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p>
        </w:tc>
      </w:tr>
      <w:tr>
        <w:trPr/>
        <w:tc>
          <w:tcPr>
            <w:tcW w:w="1111" w:type="dxa"/>
            <w:tcBorders/>
            <w:shd w:fill="auto" w:val="clear"/>
            <w:vAlign w:val="center"/>
          </w:tcPr>
          <w:p>
            <w:pPr>
              <w:pStyle w:val="TableContents"/>
              <w:spacing w:before="0" w:after="0"/>
              <w:ind w:left="0" w:right="0" w:hanging="0"/>
              <w:rPr/>
            </w:pPr>
            <w:hyperlink w:anchor="Item1FinancialStatements_894553">
              <w:r>
                <w:rPr>
                  <w:rStyle w:val="InternetLink"/>
                  <w:rFonts w:ascii="Times New Roman;Times;serif" w:hAnsi="Times New Roman;Times;serif"/>
                  <w:b w:val="false"/>
                  <w:i w:val="false"/>
                  <w:caps w:val="false"/>
                  <w:smallCaps w:val="false"/>
                  <w:sz w:val="24"/>
                </w:rPr>
                <w:t>Item 1.</w:t>
              </w:r>
            </w:hyperlink>
          </w:p>
        </w:tc>
        <w:tc>
          <w:tcPr>
            <w:tcW w:w="8782" w:type="dxa"/>
            <w:tcBorders/>
            <w:shd w:fill="auto" w:val="clear"/>
            <w:vAlign w:val="center"/>
          </w:tcPr>
          <w:p>
            <w:pPr>
              <w:pStyle w:val="TableContents"/>
              <w:spacing w:before="0" w:after="0"/>
              <w:ind w:left="0" w:right="0" w:hanging="0"/>
              <w:rPr/>
            </w:pPr>
            <w:hyperlink w:anchor="Item1FinancialStatements_894553">
              <w:r>
                <w:rPr>
                  <w:rStyle w:val="InternetLink"/>
                  <w:rFonts w:ascii="Times New Roman;Times;serif" w:hAnsi="Times New Roman;Times;serif"/>
                  <w:b w:val="false"/>
                  <w:i w:val="false"/>
                  <w:caps w:val="false"/>
                  <w:smallCaps w:val="false"/>
                  <w:sz w:val="24"/>
                </w:rPr>
                <w:t>Financial Statements (unaudited)</w:t>
              </w:r>
            </w:hyperlink>
          </w:p>
        </w:tc>
        <w:tc>
          <w:tcPr>
            <w:tcW w:w="646" w:type="dxa"/>
            <w:tcBorders/>
            <w:shd w:fill="auto" w:val="clear"/>
            <w:vAlign w:val="center"/>
          </w:tcPr>
          <w:p>
            <w:pPr>
              <w:pStyle w:val="TableContents"/>
              <w:spacing w:before="0" w:after="0"/>
              <w:ind w:left="0" w:right="0" w:hanging="0"/>
              <w:jc w:val="right"/>
              <w:rPr/>
            </w:pPr>
            <w:r>
              <w:rPr/>
              <w:t>​</w:t>
            </w:r>
          </w:p>
        </w:tc>
      </w:tr>
      <w:tr>
        <w:trPr/>
        <w:tc>
          <w:tcPr>
            <w:tcW w:w="1111" w:type="dxa"/>
            <w:tcBorders/>
            <w:shd w:fill="auto" w:val="clear"/>
            <w:vAlign w:val="center"/>
          </w:tcPr>
          <w:p>
            <w:pPr>
              <w:pStyle w:val="TableContents"/>
              <w:spacing w:before="0" w:after="0"/>
              <w:ind w:left="0" w:right="0" w:hanging="0"/>
              <w:rPr/>
            </w:pPr>
            <w:r>
              <w:rPr/>
              <w:t>​</w:t>
            </w:r>
          </w:p>
        </w:tc>
        <w:tc>
          <w:tcPr>
            <w:tcW w:w="8782" w:type="dxa"/>
            <w:tcBorders/>
            <w:shd w:fill="auto" w:val="clear"/>
            <w:vAlign w:val="center"/>
          </w:tcPr>
          <w:p>
            <w:pPr>
              <w:pStyle w:val="TableContents"/>
              <w:spacing w:before="0" w:after="0"/>
              <w:ind w:left="0" w:right="0" w:hanging="0"/>
              <w:rPr/>
            </w:pPr>
            <w:hyperlink w:anchor="CondensedConsolidatedBalanceSheets_47417">
              <w:r>
                <w:rPr>
                  <w:rStyle w:val="InternetLink"/>
                  <w:rFonts w:ascii="Times New Roman;Times;serif" w:hAnsi="Times New Roman;Times;serif"/>
                  <w:b w:val="false"/>
                  <w:i w:val="false"/>
                  <w:caps w:val="false"/>
                  <w:smallCaps w:val="false"/>
                  <w:sz w:val="24"/>
                </w:rPr>
                <w:t>Condensed Consolidated Balance Sheets as of April 2, 2023 and January 1, 2023</w:t>
              </w:r>
            </w:hyperlink>
            <w:r>
              <w:rPr>
                <w:rFonts w:ascii="Times New Roman;Times;serif" w:hAnsi="Times New Roman;Times;serif"/>
                <w:sz w:val="24"/>
              </w:rPr>
              <w:t xml:space="preserve">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5</w:t>
            </w:r>
          </w:p>
        </w:tc>
      </w:tr>
      <w:tr>
        <w:trPr/>
        <w:tc>
          <w:tcPr>
            <w:tcW w:w="1111" w:type="dxa"/>
            <w:tcBorders/>
            <w:shd w:fill="auto" w:val="clear"/>
            <w:vAlign w:val="center"/>
          </w:tcPr>
          <w:p>
            <w:pPr>
              <w:pStyle w:val="TableContents"/>
              <w:spacing w:before="0" w:after="0"/>
              <w:ind w:left="0" w:right="0" w:hanging="0"/>
              <w:rPr/>
            </w:pPr>
            <w:r>
              <w:rPr/>
              <w:t>​</w:t>
            </w:r>
          </w:p>
        </w:tc>
        <w:tc>
          <w:tcPr>
            <w:tcW w:w="8782" w:type="dxa"/>
            <w:tcBorders/>
            <w:shd w:fill="auto" w:val="clear"/>
            <w:vAlign w:val="center"/>
          </w:tcPr>
          <w:p>
            <w:pPr>
              <w:pStyle w:val="TableContents"/>
              <w:spacing w:before="0" w:after="0"/>
              <w:ind w:left="0" w:right="0" w:hanging="0"/>
              <w:rPr/>
            </w:pPr>
            <w:hyperlink w:anchor="CondensedConsolidatedStatementsofOperati">
              <w:r>
                <w:rPr>
                  <w:rStyle w:val="InternetLink"/>
                  <w:rFonts w:ascii="Times New Roman;Times;serif" w:hAnsi="Times New Roman;Times;serif"/>
                  <w:b w:val="false"/>
                  <w:i w:val="false"/>
                  <w:caps w:val="false"/>
                  <w:smallCaps w:val="false"/>
                  <w:sz w:val="24"/>
                </w:rPr>
                <w:t>Condensed Consolidated Statements of Operations and Comprehensive (Loss) Income for the thirteen weeks ended April 2, 2023 and April 3, 2022</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6</w:t>
            </w:r>
          </w:p>
        </w:tc>
      </w:tr>
      <w:tr>
        <w:trPr/>
        <w:tc>
          <w:tcPr>
            <w:tcW w:w="1111" w:type="dxa"/>
            <w:tcBorders/>
            <w:shd w:fill="auto" w:val="clear"/>
            <w:vAlign w:val="center"/>
          </w:tcPr>
          <w:p>
            <w:pPr>
              <w:pStyle w:val="TableContents"/>
              <w:spacing w:before="0" w:after="0"/>
              <w:ind w:left="0" w:right="0" w:hanging="0"/>
              <w:rPr/>
            </w:pPr>
            <w:r>
              <w:rPr/>
              <w:t>​</w:t>
            </w:r>
          </w:p>
        </w:tc>
        <w:tc>
          <w:tcPr>
            <w:tcW w:w="8782" w:type="dxa"/>
            <w:tcBorders/>
            <w:shd w:fill="auto" w:val="clear"/>
            <w:vAlign w:val="center"/>
          </w:tcPr>
          <w:p>
            <w:pPr>
              <w:pStyle w:val="TableContents"/>
              <w:spacing w:before="0" w:after="0"/>
              <w:ind w:left="0" w:right="0" w:hanging="0"/>
              <w:rPr/>
            </w:pPr>
            <w:hyperlink w:anchor="StockholdersEquity_449154">
              <w:r>
                <w:rPr>
                  <w:rStyle w:val="InternetLink"/>
                  <w:rFonts w:ascii="Times New Roman;Times;serif" w:hAnsi="Times New Roman;Times;serif"/>
                  <w:b w:val="false"/>
                  <w:i w:val="false"/>
                  <w:caps w:val="false"/>
                  <w:smallCaps w:val="false"/>
                  <w:sz w:val="24"/>
                </w:rPr>
                <w:t>Condensed Consolidated Statements of Stockholders’ Equity for the thirteen weeks ended April 2, 2023 and April 3, 2022</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7</w:t>
            </w:r>
          </w:p>
        </w:tc>
      </w:tr>
      <w:tr>
        <w:trPr/>
        <w:tc>
          <w:tcPr>
            <w:tcW w:w="1111" w:type="dxa"/>
            <w:tcBorders/>
            <w:shd w:fill="auto" w:val="clear"/>
            <w:vAlign w:val="center"/>
          </w:tcPr>
          <w:p>
            <w:pPr>
              <w:pStyle w:val="TableContents"/>
              <w:spacing w:before="0" w:after="0"/>
              <w:ind w:left="0" w:right="0" w:hanging="0"/>
              <w:rPr/>
            </w:pPr>
            <w:r>
              <w:rPr/>
              <w:t>​</w:t>
            </w:r>
          </w:p>
        </w:tc>
        <w:tc>
          <w:tcPr>
            <w:tcW w:w="8782" w:type="dxa"/>
            <w:tcBorders/>
            <w:shd w:fill="auto" w:val="clear"/>
            <w:vAlign w:val="center"/>
          </w:tcPr>
          <w:p>
            <w:pPr>
              <w:pStyle w:val="TableContents"/>
              <w:spacing w:before="0" w:after="0"/>
              <w:ind w:left="0" w:right="0" w:hanging="0"/>
              <w:rPr/>
            </w:pPr>
            <w:hyperlink w:anchor="CondensedConsolidatedStatementsofCashFlo">
              <w:r>
                <w:rPr>
                  <w:rStyle w:val="InternetLink"/>
                  <w:rFonts w:ascii="Times New Roman;Times;serif" w:hAnsi="Times New Roman;Times;serif"/>
                  <w:b w:val="false"/>
                  <w:i w:val="false"/>
                  <w:caps w:val="false"/>
                  <w:smallCaps w:val="false"/>
                  <w:sz w:val="24"/>
                </w:rPr>
                <w:t>Condensed Consolidated Statements of Cash Flows for the thirteen weeks ended April 2, 2023 and April 3, 2022</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r>
      <w:tr>
        <w:trPr/>
        <w:tc>
          <w:tcPr>
            <w:tcW w:w="1111" w:type="dxa"/>
            <w:tcBorders/>
            <w:shd w:fill="auto" w:val="clear"/>
            <w:vAlign w:val="center"/>
          </w:tcPr>
          <w:p>
            <w:pPr>
              <w:pStyle w:val="TableContents"/>
              <w:spacing w:before="0" w:after="0"/>
              <w:ind w:left="0" w:right="0" w:hanging="0"/>
              <w:rPr/>
            </w:pPr>
            <w:r>
              <w:rPr/>
              <w:t>​</w:t>
            </w:r>
          </w:p>
        </w:tc>
        <w:tc>
          <w:tcPr>
            <w:tcW w:w="8782" w:type="dxa"/>
            <w:tcBorders/>
            <w:shd w:fill="auto" w:val="clear"/>
            <w:vAlign w:val="center"/>
          </w:tcPr>
          <w:p>
            <w:pPr>
              <w:pStyle w:val="TableContents"/>
              <w:spacing w:before="0" w:after="0"/>
              <w:ind w:left="0" w:right="0" w:hanging="0"/>
              <w:rPr/>
            </w:pPr>
            <w:hyperlink w:anchor="DescriptionofBusinessOrganizationandLiqu">
              <w:r>
                <w:rPr>
                  <w:rStyle w:val="InternetLink"/>
                  <w:rFonts w:ascii="Times New Roman;Times;serif" w:hAnsi="Times New Roman;Times;serif"/>
                  <w:b w:val="false"/>
                  <w:i w:val="false"/>
                  <w:caps w:val="false"/>
                  <w:smallCaps w:val="false"/>
                  <w:sz w:val="24"/>
                </w:rPr>
                <w:t>Notes to Condensed Consolidated Financial Statements</w:t>
              </w:r>
            </w:hyperlink>
            <w:r>
              <w:rPr>
                <w:rFonts w:ascii="Times New Roman;Times;serif" w:hAnsi="Times New Roman;Times;serif"/>
                <w:sz w:val="24"/>
              </w:rPr>
              <w:t xml:space="preserve">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10</w:t>
            </w:r>
          </w:p>
        </w:tc>
      </w:tr>
      <w:tr>
        <w:trPr/>
        <w:tc>
          <w:tcPr>
            <w:tcW w:w="1111" w:type="dxa"/>
            <w:tcBorders/>
            <w:shd w:fill="auto"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4"/>
                </w:rPr>
                <w:t>Item 2.</w:t>
              </w:r>
            </w:hyperlink>
          </w:p>
        </w:tc>
        <w:tc>
          <w:tcPr>
            <w:tcW w:w="8782" w:type="dxa"/>
            <w:tcBorders/>
            <w:shd w:fill="auto"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4"/>
                </w:rPr>
                <w:t>Management’s Discussion and Analysis of Financial Condition and Results of Operations</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26</w:t>
            </w:r>
          </w:p>
        </w:tc>
      </w:tr>
      <w:tr>
        <w:trPr/>
        <w:tc>
          <w:tcPr>
            <w:tcW w:w="1111"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4"/>
                </w:rPr>
                <w:t>Item 3.</w:t>
              </w:r>
            </w:hyperlink>
          </w:p>
        </w:tc>
        <w:tc>
          <w:tcPr>
            <w:tcW w:w="8782"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4"/>
                </w:rPr>
                <w:t>Quantitative and Qualitative Disclosures About Market Risk</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36</w:t>
            </w:r>
          </w:p>
        </w:tc>
      </w:tr>
      <w:tr>
        <w:trPr/>
        <w:tc>
          <w:tcPr>
            <w:tcW w:w="1111" w:type="dxa"/>
            <w:tcBorders/>
            <w:shd w:fill="auto" w:val="clear"/>
            <w:vAlign w:val="center"/>
          </w:tcPr>
          <w:p>
            <w:pPr>
              <w:pStyle w:val="TableContents"/>
              <w:spacing w:before="0" w:after="0"/>
              <w:ind w:left="0" w:right="0" w:hanging="0"/>
              <w:rPr/>
            </w:pPr>
            <w:hyperlink w:anchor="Item4ControlsandProcedures_489265">
              <w:r>
                <w:rPr>
                  <w:rStyle w:val="InternetLink"/>
                  <w:rFonts w:ascii="Times New Roman;Times;serif" w:hAnsi="Times New Roman;Times;serif"/>
                  <w:b w:val="false"/>
                  <w:i w:val="false"/>
                  <w:caps w:val="false"/>
                  <w:smallCaps w:val="false"/>
                  <w:sz w:val="24"/>
                </w:rPr>
                <w:t>Item 4.</w:t>
              </w:r>
            </w:hyperlink>
          </w:p>
        </w:tc>
        <w:tc>
          <w:tcPr>
            <w:tcW w:w="8782" w:type="dxa"/>
            <w:tcBorders/>
            <w:shd w:fill="auto" w:val="clear"/>
            <w:vAlign w:val="center"/>
          </w:tcPr>
          <w:p>
            <w:pPr>
              <w:pStyle w:val="TableContents"/>
              <w:spacing w:before="0" w:after="0"/>
              <w:ind w:left="0" w:right="0" w:hanging="0"/>
              <w:rPr/>
            </w:pPr>
            <w:hyperlink w:anchor="Item4ControlsandProcedures_489265">
              <w:r>
                <w:rPr>
                  <w:rStyle w:val="InternetLink"/>
                  <w:rFonts w:ascii="Times New Roman;Times;serif" w:hAnsi="Times New Roman;Times;serif"/>
                  <w:b w:val="false"/>
                  <w:i w:val="false"/>
                  <w:caps w:val="false"/>
                  <w:smallCaps w:val="false"/>
                  <w:sz w:val="24"/>
                </w:rPr>
                <w:t>Controls and Procedures</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36</w:t>
            </w:r>
          </w:p>
        </w:tc>
      </w:tr>
      <w:tr>
        <w:trPr/>
        <w:tc>
          <w:tcPr>
            <w:tcW w:w="1111" w:type="dxa"/>
            <w:tcBorders/>
            <w:shd w:fill="auto" w:val="clear"/>
            <w:vAlign w:val="center"/>
          </w:tcPr>
          <w:p>
            <w:pPr>
              <w:pStyle w:val="TableContents"/>
              <w:spacing w:before="0" w:after="0"/>
              <w:ind w:left="0" w:right="0" w:hanging="0"/>
              <w:rPr/>
            </w:pPr>
            <w:r>
              <w:rPr/>
              <w:t>​</w:t>
            </w:r>
          </w:p>
        </w:tc>
        <w:tc>
          <w:tcPr>
            <w:tcW w:w="8782"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r>
      <w:tr>
        <w:trPr/>
        <w:tc>
          <w:tcPr>
            <w:tcW w:w="1111" w:type="dxa"/>
            <w:tcBorders/>
            <w:shd w:fill="auto" w:val="clear"/>
            <w:vAlign w:val="center"/>
          </w:tcPr>
          <w:p>
            <w:pPr>
              <w:pStyle w:val="TableContents"/>
              <w:spacing w:before="0" w:after="0"/>
              <w:ind w:left="0" w:right="0" w:hanging="0"/>
              <w:rPr/>
            </w:pPr>
            <w:hyperlink w:anchor="PARTIIOTHERINFORMATION_807620">
              <w:r>
                <w:rPr>
                  <w:rStyle w:val="InternetLink"/>
                  <w:rFonts w:ascii="Times New Roman;Times;serif" w:hAnsi="Times New Roman;Times;serif"/>
                  <w:b/>
                  <w:i w:val="false"/>
                  <w:caps w:val="false"/>
                  <w:smallCaps w:val="false"/>
                  <w:sz w:val="24"/>
                </w:rPr>
                <w:t>PART II</w:t>
              </w:r>
            </w:hyperlink>
          </w:p>
        </w:tc>
        <w:tc>
          <w:tcPr>
            <w:tcW w:w="8782" w:type="dxa"/>
            <w:tcBorders/>
            <w:shd w:fill="auto" w:val="clear"/>
            <w:vAlign w:val="center"/>
          </w:tcPr>
          <w:p>
            <w:pPr>
              <w:pStyle w:val="TableContents"/>
              <w:spacing w:before="0" w:after="0"/>
              <w:ind w:left="0" w:right="0" w:hanging="0"/>
              <w:rPr/>
            </w:pPr>
            <w:hyperlink w:anchor="PARTIIOTHERINFORMATION_807620">
              <w:r>
                <w:rPr>
                  <w:rStyle w:val="InternetLink"/>
                  <w:caps w:val="false"/>
                  <w:smallCaps w:val="false"/>
                </w:rPr>
                <w:t> </w:t>
              </w:r>
            </w:hyperlink>
            <w:hyperlink w:anchor="PARTIIOTHERINFORMATION_807620">
              <w:r>
                <w:rPr>
                  <w:rStyle w:val="InternetLink"/>
                  <w:rFonts w:ascii="Times New Roman;Times;serif" w:hAnsi="Times New Roman;Times;serif"/>
                  <w:b/>
                  <w:i w:val="false"/>
                  <w:caps w:val="false"/>
                  <w:smallCaps w:val="false"/>
                  <w:sz w:val="24"/>
                </w:rPr>
                <w:t>OTHER INFORMATION</w:t>
              </w:r>
            </w:hyperlink>
          </w:p>
        </w:tc>
        <w:tc>
          <w:tcPr>
            <w:tcW w:w="646" w:type="dxa"/>
            <w:tcBorders/>
            <w:shd w:fill="auto" w:val="clear"/>
            <w:vAlign w:val="center"/>
          </w:tcPr>
          <w:p>
            <w:pPr>
              <w:pStyle w:val="TableContents"/>
              <w:spacing w:before="0" w:after="0"/>
              <w:ind w:left="0" w:right="0" w:hanging="0"/>
              <w:jc w:val="right"/>
              <w:rPr/>
            </w:pPr>
            <w:r>
              <w:rPr/>
              <w:t>​</w:t>
            </w:r>
          </w:p>
        </w:tc>
      </w:tr>
      <w:tr>
        <w:trPr/>
        <w:tc>
          <w:tcPr>
            <w:tcW w:w="1111" w:type="dxa"/>
            <w:tcBorders/>
            <w:shd w:fill="auto" w:val="clear"/>
            <w:vAlign w:val="center"/>
          </w:tcPr>
          <w:p>
            <w:pPr>
              <w:pStyle w:val="TableContents"/>
              <w:spacing w:before="0" w:after="0"/>
              <w:ind w:left="0" w:right="0" w:hanging="0"/>
              <w:rPr/>
            </w:pPr>
            <w:hyperlink w:anchor="Item1LegalProceedings_569580">
              <w:r>
                <w:rPr>
                  <w:rStyle w:val="InternetLink"/>
                  <w:rFonts w:ascii="Times New Roman;Times;serif" w:hAnsi="Times New Roman;Times;serif"/>
                  <w:b w:val="false"/>
                  <w:i w:val="false"/>
                  <w:caps w:val="false"/>
                  <w:smallCaps w:val="false"/>
                  <w:sz w:val="24"/>
                </w:rPr>
                <w:t>Item 1.</w:t>
              </w:r>
            </w:hyperlink>
          </w:p>
        </w:tc>
        <w:tc>
          <w:tcPr>
            <w:tcW w:w="8782" w:type="dxa"/>
            <w:tcBorders/>
            <w:shd w:fill="auto" w:val="clear"/>
            <w:vAlign w:val="center"/>
          </w:tcPr>
          <w:p>
            <w:pPr>
              <w:pStyle w:val="TableContents"/>
              <w:spacing w:before="0" w:after="0"/>
              <w:ind w:left="0" w:right="0" w:hanging="0"/>
              <w:rPr/>
            </w:pPr>
            <w:hyperlink w:anchor="Item1LegalProceedings_569580">
              <w:r>
                <w:rPr>
                  <w:rStyle w:val="InternetLink"/>
                  <w:rFonts w:ascii="Times New Roman;Times;serif" w:hAnsi="Times New Roman;Times;serif"/>
                  <w:b w:val="false"/>
                  <w:i w:val="false"/>
                  <w:caps w:val="false"/>
                  <w:smallCaps w:val="false"/>
                  <w:sz w:val="24"/>
                </w:rPr>
                <w:t>Legal Proceedings</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shd w:fill="auto" w:val="clear"/>
            <w:vAlign w:val="center"/>
          </w:tcPr>
          <w:p>
            <w:pPr>
              <w:pStyle w:val="TableContents"/>
              <w:spacing w:before="0" w:after="0"/>
              <w:ind w:left="0" w:right="0" w:hanging="0"/>
              <w:rPr/>
            </w:pPr>
            <w:hyperlink w:anchor="Item1ARiskFactors_224374">
              <w:r>
                <w:rPr>
                  <w:rStyle w:val="InternetLink"/>
                  <w:rFonts w:ascii="Times New Roman;Times;serif" w:hAnsi="Times New Roman;Times;serif"/>
                  <w:b w:val="false"/>
                  <w:i w:val="false"/>
                  <w:caps w:val="false"/>
                  <w:smallCaps w:val="false"/>
                  <w:sz w:val="24"/>
                </w:rPr>
                <w:t>Item 1A.</w:t>
              </w:r>
            </w:hyperlink>
          </w:p>
        </w:tc>
        <w:tc>
          <w:tcPr>
            <w:tcW w:w="8782" w:type="dxa"/>
            <w:tcBorders/>
            <w:shd w:fill="auto" w:val="clear"/>
            <w:vAlign w:val="center"/>
          </w:tcPr>
          <w:p>
            <w:pPr>
              <w:pStyle w:val="TableContents"/>
              <w:spacing w:before="0" w:after="0"/>
              <w:ind w:left="0" w:right="0" w:hanging="0"/>
              <w:rPr/>
            </w:pPr>
            <w:hyperlink w:anchor="Item1ARiskFactors_224374">
              <w:r>
                <w:rPr>
                  <w:rStyle w:val="InternetLink"/>
                  <w:rFonts w:ascii="Times New Roman;Times;serif" w:hAnsi="Times New Roman;Times;serif"/>
                  <w:b w:val="false"/>
                  <w:i w:val="false"/>
                  <w:caps w:val="false"/>
                  <w:smallCaps w:val="false"/>
                  <w:sz w:val="24"/>
                </w:rPr>
                <w:t>Risk Factors</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shd w:fill="auto"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4"/>
                </w:rPr>
                <w:t>Item 2.</w:t>
              </w:r>
            </w:hyperlink>
          </w:p>
        </w:tc>
        <w:tc>
          <w:tcPr>
            <w:tcW w:w="8782" w:type="dxa"/>
            <w:tcBorders/>
            <w:shd w:fill="auto"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4"/>
                </w:rPr>
                <w:t>Unregistered Sales of Equity Securities and Use of Proceeds</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shd w:fill="auto" w:val="clear"/>
            <w:vAlign w:val="center"/>
          </w:tcPr>
          <w:p>
            <w:pPr>
              <w:pStyle w:val="TableContents"/>
              <w:spacing w:before="0" w:after="0"/>
              <w:ind w:left="0" w:right="0" w:hanging="0"/>
              <w:rPr/>
            </w:pPr>
            <w:hyperlink w:anchor="Item3DefaultsUponSeniorSecurities_546631">
              <w:r>
                <w:rPr>
                  <w:rStyle w:val="InternetLink"/>
                  <w:rFonts w:ascii="Times New Roman;Times;serif" w:hAnsi="Times New Roman;Times;serif"/>
                  <w:b w:val="false"/>
                  <w:i w:val="false"/>
                  <w:caps w:val="false"/>
                  <w:smallCaps w:val="false"/>
                  <w:sz w:val="24"/>
                </w:rPr>
                <w:t>Item 3.</w:t>
              </w:r>
            </w:hyperlink>
          </w:p>
        </w:tc>
        <w:tc>
          <w:tcPr>
            <w:tcW w:w="8782" w:type="dxa"/>
            <w:tcBorders/>
            <w:shd w:fill="auto" w:val="clear"/>
            <w:vAlign w:val="center"/>
          </w:tcPr>
          <w:p>
            <w:pPr>
              <w:pStyle w:val="TableContents"/>
              <w:spacing w:before="0" w:after="0"/>
              <w:ind w:left="0" w:right="0" w:hanging="0"/>
              <w:rPr/>
            </w:pPr>
            <w:hyperlink w:anchor="Item3DefaultsUponSeniorSecurities_546631">
              <w:r>
                <w:rPr>
                  <w:rStyle w:val="InternetLink"/>
                  <w:rFonts w:ascii="Times New Roman;Times;serif" w:hAnsi="Times New Roman;Times;serif"/>
                  <w:b w:val="false"/>
                  <w:i w:val="false"/>
                  <w:caps w:val="false"/>
                  <w:smallCaps w:val="false"/>
                  <w:sz w:val="24"/>
                </w:rPr>
                <w:t>Defaults Upon Senior Securities</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shd w:fill="auto" w:val="clear"/>
            <w:vAlign w:val="center"/>
          </w:tcPr>
          <w:p>
            <w:pPr>
              <w:pStyle w:val="TableContents"/>
              <w:spacing w:before="0" w:after="0"/>
              <w:ind w:left="0" w:right="0" w:hanging="0"/>
              <w:rPr/>
            </w:pPr>
            <w:hyperlink w:anchor="Item4MineSafetyDisclosures_84191">
              <w:r>
                <w:rPr>
                  <w:rStyle w:val="InternetLink"/>
                  <w:rFonts w:ascii="Times New Roman;Times;serif" w:hAnsi="Times New Roman;Times;serif"/>
                  <w:b w:val="false"/>
                  <w:i w:val="false"/>
                  <w:caps w:val="false"/>
                  <w:smallCaps w:val="false"/>
                  <w:sz w:val="24"/>
                </w:rPr>
                <w:t>Item 4.</w:t>
              </w:r>
            </w:hyperlink>
          </w:p>
        </w:tc>
        <w:tc>
          <w:tcPr>
            <w:tcW w:w="8782" w:type="dxa"/>
            <w:tcBorders/>
            <w:shd w:fill="auto" w:val="clear"/>
            <w:vAlign w:val="center"/>
          </w:tcPr>
          <w:p>
            <w:pPr>
              <w:pStyle w:val="TableContents"/>
              <w:spacing w:before="0" w:after="0"/>
              <w:ind w:left="0" w:right="0" w:hanging="0"/>
              <w:rPr/>
            </w:pPr>
            <w:hyperlink w:anchor="Item4MineSafetyDisclosures_84191">
              <w:r>
                <w:rPr>
                  <w:rStyle w:val="InternetLink"/>
                  <w:rFonts w:ascii="Times New Roman;Times;serif" w:hAnsi="Times New Roman;Times;serif"/>
                  <w:b w:val="false"/>
                  <w:i w:val="false"/>
                  <w:caps w:val="false"/>
                  <w:smallCaps w:val="false"/>
                  <w:sz w:val="24"/>
                </w:rPr>
                <w:t>Mine Safety Disclosures</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shd w:fill="auto" w:val="clear"/>
            <w:vAlign w:val="center"/>
          </w:tcPr>
          <w:p>
            <w:pPr>
              <w:pStyle w:val="TableContents"/>
              <w:spacing w:before="0" w:after="0"/>
              <w:ind w:left="0" w:right="0" w:hanging="0"/>
              <w:rPr/>
            </w:pPr>
            <w:hyperlink w:anchor="Item5OtherInformation_793305">
              <w:r>
                <w:rPr>
                  <w:rStyle w:val="InternetLink"/>
                  <w:rFonts w:ascii="Times New Roman;Times;serif" w:hAnsi="Times New Roman;Times;serif"/>
                  <w:b w:val="false"/>
                  <w:i w:val="false"/>
                  <w:caps w:val="false"/>
                  <w:smallCaps w:val="false"/>
                  <w:sz w:val="24"/>
                </w:rPr>
                <w:t>Item 5.</w:t>
              </w:r>
            </w:hyperlink>
          </w:p>
        </w:tc>
        <w:tc>
          <w:tcPr>
            <w:tcW w:w="8782" w:type="dxa"/>
            <w:tcBorders/>
            <w:shd w:fill="auto" w:val="clear"/>
            <w:vAlign w:val="center"/>
          </w:tcPr>
          <w:p>
            <w:pPr>
              <w:pStyle w:val="TableContents"/>
              <w:spacing w:before="0" w:after="0"/>
              <w:ind w:left="0" w:right="0" w:hanging="0"/>
              <w:rPr/>
            </w:pPr>
            <w:hyperlink w:anchor="Item5OtherInformation_793305">
              <w:r>
                <w:rPr>
                  <w:rStyle w:val="InternetLink"/>
                  <w:rFonts w:ascii="Times New Roman;Times;serif" w:hAnsi="Times New Roman;Times;serif"/>
                  <w:b w:val="false"/>
                  <w:i w:val="false"/>
                  <w:caps w:val="false"/>
                  <w:smallCaps w:val="false"/>
                  <w:sz w:val="24"/>
                </w:rPr>
                <w:t>Other Information</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shd w:fill="auto" w:val="clear"/>
            <w:vAlign w:val="center"/>
          </w:tcPr>
          <w:p>
            <w:pPr>
              <w:pStyle w:val="TableContents"/>
              <w:spacing w:before="0" w:after="0"/>
              <w:ind w:left="0" w:right="0" w:hanging="0"/>
              <w:rPr/>
            </w:pPr>
            <w:hyperlink w:anchor="Item6Exhibits_785378">
              <w:r>
                <w:rPr>
                  <w:rStyle w:val="InternetLink"/>
                  <w:rFonts w:ascii="Times New Roman;Times;serif" w:hAnsi="Times New Roman;Times;serif"/>
                  <w:b w:val="false"/>
                  <w:i w:val="false"/>
                  <w:caps w:val="false"/>
                  <w:smallCaps w:val="false"/>
                  <w:sz w:val="24"/>
                </w:rPr>
                <w:t>Item 6.</w:t>
              </w:r>
            </w:hyperlink>
          </w:p>
        </w:tc>
        <w:tc>
          <w:tcPr>
            <w:tcW w:w="8782" w:type="dxa"/>
            <w:tcBorders/>
            <w:shd w:fill="auto" w:val="clear"/>
            <w:vAlign w:val="center"/>
          </w:tcPr>
          <w:p>
            <w:pPr>
              <w:pStyle w:val="TableContents"/>
              <w:spacing w:before="0" w:after="0"/>
              <w:ind w:left="0" w:right="0" w:hanging="0"/>
              <w:rPr/>
            </w:pPr>
            <w:hyperlink w:anchor="Item6Exhibits_785378">
              <w:r>
                <w:rPr>
                  <w:rStyle w:val="InternetLink"/>
                  <w:rFonts w:ascii="Times New Roman;Times;serif" w:hAnsi="Times New Roman;Times;serif"/>
                  <w:b w:val="false"/>
                  <w:i w:val="false"/>
                  <w:caps w:val="false"/>
                  <w:smallCaps w:val="false"/>
                  <w:sz w:val="24"/>
                </w:rPr>
                <w:t>Exhibits</w:t>
              </w:r>
            </w:hyperlink>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38</w:t>
            </w:r>
          </w:p>
        </w:tc>
      </w:tr>
      <w:tr>
        <w:trPr/>
        <w:tc>
          <w:tcPr>
            <w:tcW w:w="1111" w:type="dxa"/>
            <w:tcBorders/>
            <w:shd w:fill="auto" w:val="clear"/>
            <w:vAlign w:val="center"/>
          </w:tcPr>
          <w:p>
            <w:pPr>
              <w:pStyle w:val="TableContents"/>
              <w:spacing w:before="0" w:after="0"/>
              <w:ind w:left="0" w:right="0" w:hanging="0"/>
              <w:rPr/>
            </w:pPr>
            <w:hyperlink w:anchor="SIGNATURES_813814">
              <w:r>
                <w:rPr>
                  <w:rStyle w:val="InternetLink"/>
                  <w:rFonts w:ascii="Times New Roman;Times;serif" w:hAnsi="Times New Roman;Times;serif"/>
                  <w:b w:val="false"/>
                  <w:i w:val="false"/>
                  <w:caps w:val="false"/>
                  <w:smallCaps w:val="false"/>
                  <w:sz w:val="24"/>
                </w:rPr>
                <w:t>Signatures</w:t>
              </w:r>
            </w:hyperlink>
          </w:p>
        </w:tc>
        <w:tc>
          <w:tcPr>
            <w:tcW w:w="8782" w:type="dxa"/>
            <w:tcBorders/>
            <w:shd w:fill="auto" w:val="clear"/>
            <w:vAlign w:val="center"/>
          </w:tcPr>
          <w:p>
            <w:pPr>
              <w:pStyle w:val="TableContents"/>
              <w:spacing w:before="0" w:after="283"/>
              <w:ind w:left="0" w:right="0" w:hanging="0"/>
              <w:rPr>
                <w:sz w:val="4"/>
                <w:szCs w:val="4"/>
              </w:rPr>
            </w:pPr>
            <w:r>
              <w:rPr>
                <w:sz w:val="4"/>
                <w:szCs w:val="4"/>
              </w:rPr>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12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49" w:name="_b211f400_3ce2_4793_997f_7e10dc57a043"/>
      <w:bookmarkEnd w:id="49"/>
      <w:r>
        <w:rPr>
          <w:rFonts w:ascii="Times New Roman;Times;serif" w:hAnsi="Times New Roman;Times;serif"/>
          <w:b/>
          <w:sz w:val="20"/>
        </w:rPr>
        <w:t>FORWARD-LOOKING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successfully maintain our desired merchandise assortment or manage our inventory effectively and attract a sufficient number of customers or sell sufficient quantities of our merchandise; the unpredictability and adverse effects of the COVID-19 pandemic; our ability to anticipate, identify, measure, and respond quickly to new and rapidly changing fashion trends, customer preferences and demands, and other factors; our efforts to acquire or retain customers; our ability to maintain a high level of engagement with our customers and increase their spending with us; our ability to provide high-quality customer support; our ability to maintain a strong community around the Lulus brand with engaged customers and influencers; our ability to operate in the highly competitive retail apparel industry; our ability to successfully implement our growth strategy; our reliance on third parties to drive traffic to our platform; our use of social media, influencers, affiliate marketing, email, text messages, and direct mail; our exposure to international business uncertainties, including inflation, interest rates and fuel prices; our reliance on consumer discretionary spending; system security risk issues, including any real or perceived failure to protect confidential or personal information against security breaches and disruption of our internal operations or information technology systems; any disruption caused by continual updates, augmentation and additions to our technology systems; our reliance on email and other messaging services; risks associated with sourcing, manufacturing, and warehousing; any disruptions to our three distribution facilities; our reliance on independent third-party transportation providers for substantially all of our merchandise shipments and any disruptions or increased transportation costs; risks associated with infringement upon the trademarks, copyrights or other intellectual property rights of third parties, including the risk that we could acquire merchandise from our suppliers without the full right to sell it; and the other important factors discussed in Part I, Item 1A, “Risk Factors” in our Annual Report on Form 10-K and our other filings with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Times;serif" w:hAnsi="Times New Roman;Times;serif"/>
          <w:sz w:val="24"/>
        </w:rPr>
        <w:t>.</w:t>
      </w:r>
    </w:p>
    <w:p>
      <w:pPr>
        <w:pStyle w:val="TextBody"/>
        <w:spacing w:before="0" w:after="240"/>
        <w:ind w:left="0" w:right="0" w:hanging="0"/>
        <w:jc w:val="both"/>
        <w:rPr/>
      </w:pPr>
      <w:r>
        <w:rPr/>
        <w:t>​</w:t>
      </w:r>
    </w:p>
    <w:p>
      <w:pPr>
        <w:pStyle w:val="TextBody"/>
        <w:spacing w:before="0" w:after="12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0" w:name="_f9bec523_e54e_49fb_a549_d4b97371a9ad"/>
      <w:bookmarkEnd w:id="50"/>
      <w:r>
        <w:rPr>
          <w:rFonts w:ascii="Times New Roman;Times;serif" w:hAnsi="Times New Roman;Times;serif"/>
          <w:b/>
          <w:sz w:val="20"/>
        </w:rPr>
        <w:t>BASIS OF PRESENTATION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Quarterly Report on Form 10-Q to the terms “Lulus,” “we,” “us,” “our,” or the “Company” refer to Lulu’s Fashion Lounge Holdings, Inc. and its consolidated subsidiaries.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fiscal year is a “52-53 week” year ending on the Sunday closest in proximity to December 31, such that each quarterly period will be 13 weeks in length, except during a 53-week year when the fourth quarter will be 14 weeks. References herein to “fiscal 2023” and/or “2023” relate to the year ending December 31, 2023 and “fiscal 2022” and/or “2022” relate to the year ended January 1, 2023. </w:t>
      </w:r>
      <w:r>
        <w:rPr>
          <w:rFonts w:ascii="Times New Roman;Times;serif" w:hAnsi="Times New Roman;Times;serif"/>
          <w:sz w:val="20"/>
          <w:highlight w:val="white"/>
        </w:rPr>
        <w:t>The years ended December 31, 2023 and January 1, 2023 were 52-week years.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Net Debt which are non-GAAP (accounting principles generally accepted in the United States of America) financial measures. See “Management’s Discussion and Analysis of Financial Condition and Results of Operations—Non-GAAP Financial Measures” for a discussion of Adjusted EBITDA, Adjusted EBITDA Margin and Net Debt, as well as a reconciliation of net (loss) income to Adjusted EBITDA and a reconciliation to non-GAAP Net Debt from Total Debt. Net (loss) income is the most directly comparable financial measure to Adjusted EBITDA and Total Debt is the most directly comparable financial measure to Net Debt, required by, or presented in accordance with GAAP.</w:t>
      </w:r>
    </w:p>
    <w:p>
      <w:pPr>
        <w:pStyle w:val="TextBody"/>
        <w:spacing w:before="0" w:after="0"/>
        <w:ind w:left="0" w:right="0" w:hanging="0"/>
        <w:rPr/>
      </w:pPr>
      <w:r>
        <w:rPr/>
        <w:t>​</w:t>
      </w:r>
    </w:p>
    <w:p>
      <w:pPr>
        <w:pStyle w:val="TextBody"/>
        <w:spacing w:before="0" w:after="24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1" w:name="PARTIFINANCIALINFORMATION_735439"/>
      <w:bookmarkStart w:id="52" w:name="_a7418f16_4d87_4d46_9a36_33a0e42b56df"/>
      <w:bookmarkEnd w:id="51"/>
      <w:bookmarkEnd w:id="52"/>
      <w:r>
        <w:rPr>
          <w:rFonts w:ascii="Times New Roman;Times;serif" w:hAnsi="Times New Roman;Times;serif"/>
          <w:b/>
          <w:sz w:val="20"/>
        </w:rPr>
        <w:t>PART I—FINANCIAL INFORMATION</w:t>
      </w:r>
    </w:p>
    <w:p>
      <w:pPr>
        <w:pStyle w:val="TextBody"/>
        <w:spacing w:before="0" w:after="240"/>
        <w:ind w:left="0" w:right="0" w:hanging="0"/>
        <w:rPr>
          <w:rFonts w:ascii="Times New Roman;Times;serif" w:hAnsi="Times New Roman;Times;serif"/>
          <w:b w:val="false"/>
          <w:sz w:val="20"/>
        </w:rPr>
      </w:pPr>
      <w:bookmarkStart w:id="53" w:name="Item1FinancialStatements_894553"/>
      <w:bookmarkEnd w:id="53"/>
      <w:r>
        <w:rPr>
          <w:rFonts w:ascii="Times New Roman;Times;serif" w:hAnsi="Times New Roman;Times;serif"/>
          <w:b w:val="false"/>
          <w:sz w:val="20"/>
        </w:rPr>
        <w:t>Item 1. Financial Statements.</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bookmarkStart w:id="54" w:name="CondensedConsolidatedBalanceSheets_47417"/>
      <w:bookmarkEnd w:id="54"/>
      <w:r>
        <w:rPr>
          <w:rFonts w:ascii="Times New Roman;Times;serif" w:hAnsi="Times New Roman;Times;serif"/>
          <w:b/>
          <w:sz w:val="24"/>
        </w:rPr>
        <w:t>Condensed Consolidated Balance Sheets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and per share amounts)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55" w:name="Tc_IkPxIQn7qEaiZkC-Om2beA_40_5"/>
      <w:bookmarkStart w:id="56" w:name="Tc_bXxqiU005U671fKFcv8h_w_40_2"/>
      <w:bookmarkStart w:id="57" w:name="Tc_whnEYujsOkGJXQztEl_XhA_40_0"/>
      <w:bookmarkStart w:id="58" w:name="Tc_DY1ucmADJE-hmZXD_3TeWg_39_0"/>
      <w:bookmarkStart w:id="59" w:name="Tc__o2ga9HGMk6uvsCbBRVhNw_38_0"/>
      <w:bookmarkStart w:id="60" w:name="Tc_RXXOQvwHCkqSlunGh8YJZA_37_0"/>
      <w:bookmarkStart w:id="61" w:name="Tc_QN2xY4nVv0-Bl6YHuMXkqg_36_0"/>
      <w:bookmarkStart w:id="62" w:name="_5c34f0e9_0c5d_4ec0_bd65_b4c89893608d_3"/>
      <w:bookmarkStart w:id="63" w:name="_5c34f0e9_0c5d_4ec0_bd65_b4c89893608d_2"/>
      <w:bookmarkStart w:id="64" w:name="_5c34f0e9_0c5d_4ec0_bd65_b4c89893608d"/>
      <w:bookmarkStart w:id="65" w:name="Tc_38Yfvor3kEWuWnDxKzMUPg_35_0"/>
      <w:bookmarkStart w:id="66" w:name="Tc_CEjNYr-Lm0Cg9poyjvBGIg_34_0"/>
      <w:bookmarkStart w:id="67" w:name="Tc_29Uuszj8aE2vvwmWFg89zQ_32_0"/>
      <w:bookmarkStart w:id="68" w:name="Tc_pdFVKB66fk-G74OrkKANVA_31_0"/>
      <w:bookmarkStart w:id="69" w:name="Tc_7zHlTKbvrUCRoQq6yoUWew_30_0"/>
      <w:bookmarkStart w:id="70" w:name="Tc_ZQKAkvpbVk66dfAu0ssyPg_29_0"/>
      <w:bookmarkStart w:id="71" w:name="Tc_dgG5oeFBk0yoTXgxjEU_bw_28_0"/>
      <w:bookmarkStart w:id="72" w:name="Tc_3C9_jqB2WUeCDwAbsiciXA_27_0"/>
      <w:bookmarkStart w:id="73" w:name="Tc_W6WB9QbRy0Kgs0-HfmFncQ_26_0"/>
      <w:bookmarkStart w:id="74" w:name="Tc_K33qRZvJSEixMY1WE-LVhQ_25_0"/>
      <w:bookmarkStart w:id="75" w:name="Tc_xLEpg4ETmkelxVbOAc6LAg_24_0"/>
      <w:bookmarkStart w:id="76" w:name="Tc_UvCiMDCxJkG4u0ZPbmwdgQ_23_0"/>
      <w:bookmarkStart w:id="77" w:name="Tc_sc5EvE8xfE2iqwlX1ZqwYQ_22_5"/>
      <w:bookmarkStart w:id="78" w:name="Tc_iSDdoy_kYk-d1831JB06fg_22_2"/>
      <w:bookmarkStart w:id="79" w:name="Tc_yyktgv5ZjUCkesCkn5Ha1A_22_0"/>
      <w:bookmarkStart w:id="80" w:name="Tc_5RsbRIRIokKTXjbqSnnUlA_21_0"/>
      <w:bookmarkStart w:id="81" w:name="Tc_UIg5pkZz9Ea1MAfEXNhTWQ_20_0"/>
      <w:bookmarkStart w:id="82" w:name="Tc_7TX9Id1xQUypVAnkRFALhw_18_5"/>
      <w:bookmarkStart w:id="83" w:name="Tc_a921tQdL4kWcGbi2j3njWw_18_2"/>
      <w:bookmarkStart w:id="84" w:name="Tc_IvNoumvwD0WUaHSWYWCPeA_18_0"/>
      <w:bookmarkStart w:id="85" w:name="Tc_qlCjaYEmWE-fzpuSdiVmHw_17_0"/>
      <w:bookmarkStart w:id="86" w:name="Tc_nuDim8-c8ky1YXfD4PLOTw_16_0"/>
      <w:bookmarkStart w:id="87" w:name="Tc_dThldsshTE6i4D_xTPfRiA_15_0"/>
      <w:bookmarkStart w:id="88" w:name="Tc_I1E_bJN67ki4b4mFjZmIsQ_14_0"/>
      <w:bookmarkStart w:id="89" w:name="Tc_8xkqWqXgvUeMLLBDDl-l-w_13_0"/>
      <w:bookmarkStart w:id="90" w:name="Tc_TzcAtMnmvUuRVBVVWYoALA_12_0"/>
      <w:bookmarkStart w:id="91" w:name="Tc_vlU9F0NQnU-RFn6x_T9Cvg_11_0"/>
      <w:bookmarkStart w:id="92" w:name="Tc_sNBNdRcyN0a0YkcF577ibg_10_0"/>
      <w:bookmarkStart w:id="93" w:name="Tc_ajyFAuLnckOZ-VDAYlCCUA_9_0"/>
      <w:bookmarkStart w:id="94" w:name="Tc_KJuEahjwB0mkiJfU82NrCQ_8_0"/>
      <w:bookmarkStart w:id="95" w:name="Tc_q46SqaieFECO8XRagtzyGA_7_0"/>
      <w:bookmarkStart w:id="96" w:name="Tc_Ds5W92wc7UaOrKX7b30dLg_6_0"/>
      <w:bookmarkStart w:id="97" w:name="Tc_SZHmwT7PsEm78HY1JFlWwA_5_5"/>
      <w:bookmarkStart w:id="98" w:name="Tc_ZcQKeOQhZ0CBwI-qCVYXBw_5_2"/>
      <w:bookmarkStart w:id="99" w:name="Tc_T-RES2I300i2aOUZ1eoTIQ_5_0"/>
      <w:bookmarkStart w:id="100" w:name="Tc_ZcLLToqViEyAsw_NfE7MTw_4_0"/>
      <w:bookmarkStart w:id="101" w:name="Tc_U_cxebdxNkaHsr3l6eULdA_3_0"/>
      <w:bookmarkStart w:id="102" w:name="Tc_txw2fjjoI0qiwh536YY9Qw_2_5"/>
      <w:bookmarkStart w:id="103" w:name="Tc_CTxiWNpVBkabvC3OzeX20Q_2_2"/>
      <w:bookmarkStart w:id="104" w:name="Tc_g6AoOAV06UKZ2X3J4x4MMQ_1_5"/>
      <w:bookmarkStart w:id="105" w:name="Tc_NAaE6ijaz0aQG8FcT7KBpg_1_2"/>
      <w:bookmarkStart w:id="106" w:name="_d943d634_e491_424e_b4f8_b70695775018"/>
      <w:bookmarkStart w:id="107" w:name="Tc_IkPxIQn7qEaiZkC-Om2beA_40_5"/>
      <w:bookmarkStart w:id="108" w:name="Tc_bXxqiU005U671fKFcv8h_w_40_2"/>
      <w:bookmarkStart w:id="109" w:name="Tc_whnEYujsOkGJXQztEl_XhA_40_0"/>
      <w:bookmarkStart w:id="110" w:name="Tc_DY1ucmADJE-hmZXD_3TeWg_39_0"/>
      <w:bookmarkStart w:id="111" w:name="Tc__o2ga9HGMk6uvsCbBRVhNw_38_0"/>
      <w:bookmarkStart w:id="112" w:name="Tc_RXXOQvwHCkqSlunGh8YJZA_37_0"/>
      <w:bookmarkStart w:id="113" w:name="Tc_QN2xY4nVv0-Bl6YHuMXkqg_36_0"/>
      <w:bookmarkStart w:id="114" w:name="_5c34f0e9_0c5d_4ec0_bd65_b4c89893608d_3"/>
      <w:bookmarkStart w:id="115" w:name="_5c34f0e9_0c5d_4ec0_bd65_b4c89893608d_2"/>
      <w:bookmarkStart w:id="116" w:name="_5c34f0e9_0c5d_4ec0_bd65_b4c89893608d"/>
      <w:bookmarkStart w:id="117" w:name="Tc_38Yfvor3kEWuWnDxKzMUPg_35_0"/>
      <w:bookmarkStart w:id="118" w:name="Tc_CEjNYr-Lm0Cg9poyjvBGIg_34_0"/>
      <w:bookmarkStart w:id="119" w:name="Tc_29Uuszj8aE2vvwmWFg89zQ_32_0"/>
      <w:bookmarkStart w:id="120" w:name="Tc_pdFVKB66fk-G74OrkKANVA_31_0"/>
      <w:bookmarkStart w:id="121" w:name="Tc_7zHlTKbvrUCRoQq6yoUWew_30_0"/>
      <w:bookmarkStart w:id="122" w:name="Tc_ZQKAkvpbVk66dfAu0ssyPg_29_0"/>
      <w:bookmarkStart w:id="123" w:name="Tc_dgG5oeFBk0yoTXgxjEU_bw_28_0"/>
      <w:bookmarkStart w:id="124" w:name="Tc_3C9_jqB2WUeCDwAbsiciXA_27_0"/>
      <w:bookmarkStart w:id="125" w:name="Tc_W6WB9QbRy0Kgs0-HfmFncQ_26_0"/>
      <w:bookmarkStart w:id="126" w:name="Tc_K33qRZvJSEixMY1WE-LVhQ_25_0"/>
      <w:bookmarkStart w:id="127" w:name="Tc_xLEpg4ETmkelxVbOAc6LAg_24_0"/>
      <w:bookmarkStart w:id="128" w:name="Tc_UvCiMDCxJkG4u0ZPbmwdgQ_23_0"/>
      <w:bookmarkStart w:id="129" w:name="Tc_sc5EvE8xfE2iqwlX1ZqwYQ_22_5"/>
      <w:bookmarkStart w:id="130" w:name="Tc_iSDdoy_kYk-d1831JB06fg_22_2"/>
      <w:bookmarkStart w:id="131" w:name="Tc_yyktgv5ZjUCkesCkn5Ha1A_22_0"/>
      <w:bookmarkStart w:id="132" w:name="Tc_5RsbRIRIokKTXjbqSnnUlA_21_0"/>
      <w:bookmarkStart w:id="133" w:name="Tc_UIg5pkZz9Ea1MAfEXNhTWQ_20_0"/>
      <w:bookmarkStart w:id="134" w:name="Tc_7TX9Id1xQUypVAnkRFALhw_18_5"/>
      <w:bookmarkStart w:id="135" w:name="Tc_a921tQdL4kWcGbi2j3njWw_18_2"/>
      <w:bookmarkStart w:id="136" w:name="Tc_IvNoumvwD0WUaHSWYWCPeA_18_0"/>
      <w:bookmarkStart w:id="137" w:name="Tc_qlCjaYEmWE-fzpuSdiVmHw_17_0"/>
      <w:bookmarkStart w:id="138" w:name="Tc_nuDim8-c8ky1YXfD4PLOTw_16_0"/>
      <w:bookmarkStart w:id="139" w:name="Tc_dThldsshTE6i4D_xTPfRiA_15_0"/>
      <w:bookmarkStart w:id="140" w:name="Tc_I1E_bJN67ki4b4mFjZmIsQ_14_0"/>
      <w:bookmarkStart w:id="141" w:name="Tc_8xkqWqXgvUeMLLBDDl-l-w_13_0"/>
      <w:bookmarkStart w:id="142" w:name="Tc_TzcAtMnmvUuRVBVVWYoALA_12_0"/>
      <w:bookmarkStart w:id="143" w:name="Tc_vlU9F0NQnU-RFn6x_T9Cvg_11_0"/>
      <w:bookmarkStart w:id="144" w:name="Tc_sNBNdRcyN0a0YkcF577ibg_10_0"/>
      <w:bookmarkStart w:id="145" w:name="Tc_ajyFAuLnckOZ-VDAYlCCUA_9_0"/>
      <w:bookmarkStart w:id="146" w:name="Tc_KJuEahjwB0mkiJfU82NrCQ_8_0"/>
      <w:bookmarkStart w:id="147" w:name="Tc_q46SqaieFECO8XRagtzyGA_7_0"/>
      <w:bookmarkStart w:id="148" w:name="Tc_Ds5W92wc7UaOrKX7b30dLg_6_0"/>
      <w:bookmarkStart w:id="149" w:name="Tc_SZHmwT7PsEm78HY1JFlWwA_5_5"/>
      <w:bookmarkStart w:id="150" w:name="Tc_ZcQKeOQhZ0CBwI-qCVYXBw_5_2"/>
      <w:bookmarkStart w:id="151" w:name="Tc_T-RES2I300i2aOUZ1eoTIQ_5_0"/>
      <w:bookmarkStart w:id="152" w:name="Tc_ZcLLToqViEyAsw_NfE7MTw_4_0"/>
      <w:bookmarkStart w:id="153" w:name="Tc_U_cxebdxNkaHsr3l6eULdA_3_0"/>
      <w:bookmarkStart w:id="154" w:name="Tc_txw2fjjoI0qiwh536YY9Qw_2_5"/>
      <w:bookmarkStart w:id="155" w:name="Tc_CTxiWNpVBkabvC3OzeX20Q_2_2"/>
      <w:bookmarkStart w:id="156" w:name="Tc_g6AoOAV06UKZ2X3J4x4MMQ_1_5"/>
      <w:bookmarkStart w:id="157" w:name="Tc_NAaE6ijaz0aQG8FcT7KBpg_1_2"/>
      <w:bookmarkStart w:id="158" w:name="_d943d634_e491_424e_b4f8_b7069577501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539" w:type="dxa"/>
        <w:jc w:val="left"/>
        <w:tblInd w:w="0" w:type="dxa"/>
        <w:tblCellMar>
          <w:top w:w="0" w:type="dxa"/>
          <w:left w:w="0" w:type="dxa"/>
          <w:bottom w:w="0" w:type="dxa"/>
          <w:right w:w="0" w:type="dxa"/>
        </w:tblCellMar>
      </w:tblPr>
      <w:tblGrid>
        <w:gridCol w:w="7879"/>
        <w:gridCol w:w="326"/>
        <w:gridCol w:w="196"/>
        <w:gridCol w:w="785"/>
        <w:gridCol w:w="326"/>
        <w:gridCol w:w="196"/>
        <w:gridCol w:w="831"/>
      </w:tblGrid>
      <w:tr>
        <w:trPr/>
        <w:tc>
          <w:tcPr>
            <w:tcW w:w="78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003165" cy="175260"/>
                      <wp:effectExtent l="0" t="0" r="0" b="0"/>
                      <wp:wrapNone/>
                      <wp:docPr id="4" name="Frame3"/>
                      <a:graphic xmlns:a="http://schemas.openxmlformats.org/drawingml/2006/main">
                        <a:graphicData uri="http://schemas.microsoft.com/office/word/2010/wordprocessingShape">
                          <wps:wsp>
                            <wps:cNvSpPr txBox="1"/>
                            <wps:spPr>
                              <a:xfrm>
                                <a:off x="0" y="0"/>
                                <a:ext cx="5003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8475" cy="175260"/>
                      <wp:effectExtent l="0" t="0" r="0" b="0"/>
                      <wp:wrapNone/>
                      <wp:docPr id="7" name="Frame6"/>
                      <a:graphic xmlns:a="http://schemas.openxmlformats.org/drawingml/2006/main">
                        <a:graphicData uri="http://schemas.microsoft.com/office/word/2010/wordprocessingShape">
                          <wps:wsp>
                            <wps:cNvSpPr txBox="1"/>
                            <wps:spPr>
                              <a:xfrm>
                                <a:off x="0" y="0"/>
                                <a:ext cx="4984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7685" cy="175260"/>
                      <wp:effectExtent l="0" t="0" r="0" b="0"/>
                      <wp:wrapNone/>
                      <wp:docPr id="10" name="Frame9"/>
                      <a:graphic xmlns:a="http://schemas.openxmlformats.org/drawingml/2006/main">
                        <a:graphicData uri="http://schemas.microsoft.com/office/word/2010/wordprocessingShape">
                          <wps:wsp>
                            <wps:cNvSpPr txBox="1"/>
                            <wps:spPr>
                              <a:xfrm>
                                <a:off x="0" y="0"/>
                                <a:ext cx="527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8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26" w:type="dxa"/>
            <w:tcBorders/>
            <w:shd w:fill="auto" w:val="clear"/>
            <w:vAlign w:val="center"/>
          </w:tcPr>
          <w:p>
            <w:pPr>
              <w:pStyle w:val="TableContents"/>
              <w:spacing w:before="0" w:after="1"/>
              <w:ind w:left="0" w:right="0" w:hanging="0"/>
              <w:rPr/>
            </w:pPr>
            <w:r>
              <w:rPr/>
              <w:t>    </w:t>
            </w:r>
          </w:p>
        </w:tc>
        <w:tc>
          <w:tcPr>
            <w:tcW w:w="102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78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shd w:fill="auto" w:val="clear"/>
            <w:vAlign w:val="center"/>
          </w:tcPr>
          <w:p>
            <w:pPr>
              <w:pStyle w:val="TableContents"/>
              <w:spacing w:before="0" w:after="1"/>
              <w:ind w:left="0" w:right="0" w:hanging="0"/>
              <w:rPr/>
            </w:pPr>
            <w:r>
              <w:rPr/>
              <w:t>​</w:t>
            </w:r>
          </w:p>
        </w:tc>
        <w:tc>
          <w:tcPr>
            <w:tcW w:w="102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7879" w:type="dxa"/>
            <w:tcBorders/>
            <w:shd w:fill="CCEEFF" w:val="clear"/>
            <w:vAlign w:val="center"/>
          </w:tcPr>
          <w:p>
            <w:pPr>
              <w:pStyle w:val="TableContents"/>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85"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31" w:type="dxa"/>
            <w:tcBorders/>
            <w:shd w:fill="CCEEFF" w:val="clear"/>
            <w:vAlign w:val="center"/>
          </w:tcPr>
          <w:p>
            <w:pPr>
              <w:pStyle w:val="TableContents"/>
              <w:spacing w:before="0" w:after="1"/>
              <w:ind w:left="0" w:right="0" w:hanging="0"/>
              <w:rPr/>
            </w:pPr>
            <w:r>
              <w:rPr/>
              <w:t>​</w:t>
            </w:r>
          </w:p>
        </w:tc>
      </w:tr>
      <w:tr>
        <w:trPr/>
        <w:tc>
          <w:tcPr>
            <w:tcW w:w="7879"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785"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831" w:type="dxa"/>
            <w:tcBorders/>
            <w:shd w:fill="auto" w:val="clear"/>
            <w:vAlign w:val="center"/>
          </w:tcPr>
          <w:p>
            <w:pPr>
              <w:pStyle w:val="TableContents"/>
              <w:spacing w:before="0" w:after="1"/>
              <w:ind w:left="0" w:right="0" w:hanging="0"/>
              <w:jc w:val="right"/>
              <w:rPr/>
            </w:pPr>
            <w:r>
              <w:rPr/>
              <w:t>  </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7,829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10,219</w:t>
            </w:r>
          </w:p>
        </w:tc>
      </w:tr>
      <w:tr>
        <w:trPr/>
        <w:tc>
          <w:tcPr>
            <w:tcW w:w="78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7,234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3,908</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Inventory, net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51,830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43,186</w:t>
            </w:r>
          </w:p>
        </w:tc>
      </w:tr>
      <w:tr>
        <w:trPr/>
        <w:tc>
          <w:tcPr>
            <w:tcW w:w="78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Assets for recovery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6,752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3,890</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Income tax refund receivable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3,724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4,078</w:t>
            </w:r>
          </w:p>
        </w:tc>
      </w:tr>
      <w:tr>
        <w:trPr/>
        <w:tc>
          <w:tcPr>
            <w:tcW w:w="78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Prepaids and other current assets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4,033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3,738</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81,402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69,019</w:t>
            </w:r>
          </w:p>
        </w:tc>
      </w:tr>
      <w:tr>
        <w:trPr/>
        <w:tc>
          <w:tcPr>
            <w:tcW w:w="7879"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4,319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4,391</w:t>
            </w:r>
          </w:p>
        </w:tc>
      </w:tr>
      <w:tr>
        <w:trPr/>
        <w:tc>
          <w:tcPr>
            <w:tcW w:w="7879"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35,430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35,430</w:t>
            </w:r>
          </w:p>
        </w:tc>
      </w:tr>
      <w:tr>
        <w:trPr/>
        <w:tc>
          <w:tcPr>
            <w:tcW w:w="7879"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Tradename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r>
      <w:tr>
        <w:trPr/>
        <w:tc>
          <w:tcPr>
            <w:tcW w:w="7879"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3,196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3,090</w:t>
            </w:r>
          </w:p>
        </w:tc>
      </w:tr>
      <w:tr>
        <w:trPr/>
        <w:tc>
          <w:tcPr>
            <w:tcW w:w="7879"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Lease right-of-use assets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31,432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32,514</w:t>
            </w:r>
          </w:p>
        </w:tc>
      </w:tr>
      <w:tr>
        <w:trPr/>
        <w:tc>
          <w:tcPr>
            <w:tcW w:w="7879"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5,278</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4,251</w:t>
            </w:r>
          </w:p>
        </w:tc>
      </w:tr>
      <w:tr>
        <w:trPr/>
        <w:tc>
          <w:tcPr>
            <w:tcW w:w="78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8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179,566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167,204</w:t>
            </w:r>
          </w:p>
        </w:tc>
      </w:tr>
      <w:tr>
        <w:trPr/>
        <w:tc>
          <w:tcPr>
            <w:tcW w:w="787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85"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31" w:type="dxa"/>
            <w:tcBorders/>
            <w:shd w:fill="CCEEFF" w:val="clear"/>
            <w:vAlign w:val="center"/>
          </w:tcPr>
          <w:p>
            <w:pPr>
              <w:pStyle w:val="TableContents"/>
              <w:spacing w:before="0" w:after="1"/>
              <w:ind w:left="0" w:right="0" w:hanging="0"/>
              <w:rPr/>
            </w:pPr>
            <w:r>
              <w:rPr/>
              <w:t>​</w:t>
            </w:r>
          </w:p>
        </w:tc>
      </w:tr>
      <w:tr>
        <w:trPr/>
        <w:tc>
          <w:tcPr>
            <w:tcW w:w="7879" w:type="dxa"/>
            <w:tcBorders/>
            <w:shd w:fill="auto" w:val="clear"/>
            <w:vAlign w:val="center"/>
          </w:tcPr>
          <w:p>
            <w:pPr>
              <w:pStyle w:val="TableContents"/>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85"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pPr>
            <w:r>
              <w:rPr/>
              <w:t>  </w:t>
            </w:r>
          </w:p>
        </w:tc>
      </w:tr>
      <w:tr>
        <w:trPr/>
        <w:tc>
          <w:tcPr>
            <w:tcW w:w="7879"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pPr>
            <w:r>
              <w:rPr/>
              <w:t>  </w:t>
            </w:r>
          </w:p>
        </w:tc>
      </w:tr>
      <w:tr>
        <w:trPr/>
        <w:tc>
          <w:tcPr>
            <w:tcW w:w="78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7,043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5,320</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26,678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17,976</w:t>
            </w:r>
          </w:p>
        </w:tc>
      </w:tr>
      <w:tr>
        <w:trPr/>
        <w:tc>
          <w:tcPr>
            <w:tcW w:w="78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Returns reserve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17,586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9,066</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Stored-value card liability</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11,130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10,828</w:t>
            </w:r>
          </w:p>
        </w:tc>
      </w:tr>
      <w:tr>
        <w:trPr/>
        <w:tc>
          <w:tcPr>
            <w:tcW w:w="78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Lease liabilities, current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4,775</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4,456</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67,212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47,646</w:t>
            </w:r>
          </w:p>
        </w:tc>
      </w:tr>
      <w:tr>
        <w:trPr/>
        <w:tc>
          <w:tcPr>
            <w:tcW w:w="78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Revolving line of credit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20,000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25,000</w:t>
            </w:r>
          </w:p>
        </w:tc>
      </w:tr>
      <w:tr>
        <w:trPr/>
        <w:tc>
          <w:tcPr>
            <w:tcW w:w="7879"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Lease liabilities, noncurrent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27,761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29,042</w:t>
            </w:r>
          </w:p>
        </w:tc>
      </w:tr>
      <w:tr>
        <w:trPr/>
        <w:tc>
          <w:tcPr>
            <w:tcW w:w="7879"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818</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623</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115,791</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102,311</w:t>
            </w:r>
          </w:p>
        </w:tc>
      </w:tr>
      <w:tr>
        <w:trPr/>
        <w:tc>
          <w:tcPr>
            <w:tcW w:w="7879"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85"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pPr>
            <w:r>
              <w:rPr/>
              <w:t>  </w:t>
            </w:r>
          </w:p>
        </w:tc>
      </w:tr>
      <w:tr>
        <w:trPr/>
        <w:tc>
          <w:tcPr>
            <w:tcW w:w="787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85"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31" w:type="dxa"/>
            <w:tcBorders/>
            <w:shd w:fill="CCEEFF" w:val="clear"/>
            <w:vAlign w:val="center"/>
          </w:tcPr>
          <w:p>
            <w:pPr>
              <w:pStyle w:val="TableContents"/>
              <w:spacing w:before="0" w:after="1"/>
              <w:ind w:left="0" w:right="0" w:hanging="0"/>
              <w:rPr/>
            </w:pPr>
            <w:r>
              <w:rPr/>
              <w:t>​</w:t>
            </w:r>
          </w:p>
        </w:tc>
      </w:tr>
      <w:tr>
        <w:trPr/>
        <w:tc>
          <w:tcPr>
            <w:tcW w:w="7879"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pPr>
            <w:r>
              <w:rPr/>
              <w:t>​</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Preferred stock: $0.001 par value, 10,000,000 shares authorized, and no shares issued or outstanding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7879" w:type="dxa"/>
            <w:tcBorders/>
            <w:shd w:fill="auto" w:val="clear"/>
            <w:vAlign w:val="center"/>
          </w:tcPr>
          <w:p>
            <w:pPr>
              <w:pStyle w:val="TableContents"/>
              <w:spacing w:before="0" w:after="1"/>
              <w:ind w:left="0" w:right="0" w:hanging="0"/>
              <w:rPr>
                <w:rFonts w:ascii="Times New Roman;Times;serif" w:hAnsi="Times New Roman;Times;serif"/>
                <w:sz w:val="24"/>
              </w:rPr>
            </w:pPr>
            <w:r>
              <w:rPr>
                <w:rFonts w:ascii="Times New Roman;Times;serif" w:hAnsi="Times New Roman;Times;serif"/>
                <w:sz w:val="16"/>
              </w:rPr>
              <w:t>Common stock: $0.001</w:t>
            </w:r>
            <w:r>
              <w:rPr>
                <w:rFonts w:ascii="Times New Roman;Times;serif" w:hAnsi="Times New Roman;Times;serif"/>
                <w:sz w:val="24"/>
              </w:rPr>
              <w:t xml:space="preserve"> </w:t>
            </w:r>
            <w:r>
              <w:rPr>
                <w:rFonts w:ascii="Times New Roman;Times;serif" w:hAnsi="Times New Roman;Times;serif"/>
                <w:sz w:val="16"/>
              </w:rPr>
              <w:t>par value, 250,000,000</w:t>
            </w:r>
            <w:r>
              <w:rPr>
                <w:rFonts w:ascii="Times New Roman;Times;serif" w:hAnsi="Times New Roman;Times;serif"/>
                <w:sz w:val="24"/>
              </w:rPr>
              <w:t xml:space="preserve"> </w:t>
            </w:r>
            <w:r>
              <w:rPr>
                <w:rFonts w:ascii="Times New Roman;Times;serif" w:hAnsi="Times New Roman;Times;serif"/>
                <w:sz w:val="16"/>
              </w:rPr>
              <w:t>shares authorized; and 39,727,187</w:t>
            </w:r>
            <w:r>
              <w:rPr>
                <w:rFonts w:ascii="Times New Roman;Times;serif" w:hAnsi="Times New Roman;Times;serif"/>
                <w:sz w:val="24"/>
              </w:rPr>
              <w:t xml:space="preserve"> </w:t>
            </w:r>
            <w:r>
              <w:rPr>
                <w:rFonts w:ascii="Times New Roman;Times;serif" w:hAnsi="Times New Roman;Times;serif"/>
                <w:sz w:val="16"/>
              </w:rPr>
              <w:t>and 39,259,328</w:t>
            </w:r>
            <w:r>
              <w:rPr>
                <w:rFonts w:ascii="Times New Roman;Times;serif" w:hAnsi="Times New Roman;Times;serif"/>
                <w:sz w:val="24"/>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4"/>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4"/>
              </w:rPr>
              <w:t xml:space="preserve"> </w:t>
            </w:r>
            <w:r>
              <w:rPr>
                <w:rFonts w:ascii="Times New Roman;Times;serif" w:hAnsi="Times New Roman;Times;serif"/>
                <w:sz w:val="16"/>
              </w:rPr>
              <w:t>as of April 2, 2023 and January 1, 2023, respectively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243,224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238,725</w:t>
            </w:r>
          </w:p>
        </w:tc>
      </w:tr>
      <w:tr>
        <w:trPr/>
        <w:tc>
          <w:tcPr>
            <w:tcW w:w="78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(179,489)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(173,871)</w:t>
            </w:r>
          </w:p>
        </w:tc>
      </w:tr>
      <w:tr>
        <w:trPr/>
        <w:tc>
          <w:tcPr>
            <w:tcW w:w="78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63,775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64,893</w:t>
            </w:r>
          </w:p>
        </w:tc>
      </w:tr>
      <w:tr>
        <w:trPr/>
        <w:tc>
          <w:tcPr>
            <w:tcW w:w="7879"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8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179,566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31" w:type="dxa"/>
            <w:tcBorders>
              <w:bottom w:val="double" w:sz="6" w:space="0" w:color="000000"/>
            </w:tcBorders>
            <w:shd w:fill="auto" w:val="clear"/>
            <w:tcMar>
              <w:bottom w:w="28" w:type="dxa"/>
            </w:tcMar>
            <w:vAlign w:val="center"/>
          </w:tcPr>
          <w:p>
            <w:pPr>
              <w:pStyle w:val="TableContents"/>
              <w:spacing w:before="0" w:after="1"/>
              <w:ind w:left="0" w:right="48" w:hanging="0"/>
              <w:jc w:val="right"/>
              <w:rPr>
                <w:rFonts w:ascii="Times New Roman;Times;serif" w:hAnsi="Times New Roman;Times;serif"/>
                <w:sz w:val="16"/>
              </w:rPr>
            </w:pPr>
            <w:r>
              <w:rPr>
                <w:rFonts w:ascii="Times New Roman;Times;serif" w:hAnsi="Times New Roman;Times;serif"/>
                <w:sz w:val="16"/>
              </w:rPr>
              <w:t>167,204</w:t>
            </w:r>
          </w:p>
        </w:tc>
      </w:tr>
    </w:tbl>
    <w:p>
      <w:pPr>
        <w:pStyle w:val="TextBody"/>
        <w:spacing w:before="0" w:after="240"/>
        <w:ind w:left="0" w:right="0" w:firstLine="360"/>
        <w:jc w:val="center"/>
        <w:rPr/>
      </w:pPr>
      <w:r>
        <w:rPr/>
        <w:t>​</w:t>
      </w:r>
    </w:p>
    <w:p>
      <w:pPr>
        <w:pStyle w:val="TextBody"/>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4"/>
        </w:rPr>
      </w:pPr>
      <w:bookmarkStart w:id="159" w:name="_a6e5c365_42ab_43c6_84a7_b2b55662d695"/>
      <w:bookmarkEnd w:id="159"/>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bookmarkStart w:id="160" w:name="CondensedConsolidatedStatementsofOperati"/>
      <w:bookmarkEnd w:id="160"/>
      <w:r>
        <w:rPr>
          <w:rFonts w:ascii="Times New Roman;Times;serif" w:hAnsi="Times New Roman;Times;serif"/>
          <w:b/>
          <w:sz w:val="24"/>
        </w:rPr>
        <w:t>Condensed Consolidated Statements of Operations and Comprehensive (Loss) Income</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and per share amounts)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161" w:name="Tc_jiniM5c-ak2NX25jq_kS6Q_23_0"/>
      <w:bookmarkStart w:id="162" w:name="Tc_pI3gZhPjME-VBohtCbKt1A_22_0"/>
      <w:bookmarkStart w:id="163" w:name="Tc_xzBVSN81l0SIjG0G_nfcDQ_21_0"/>
      <w:bookmarkStart w:id="164" w:name="Tc_7GpLB-seLkeBOF601zB-5A_20_5"/>
      <w:bookmarkStart w:id="165" w:name="Tc_K58N7YPebE-oBhsEPoKZHw_20_2"/>
      <w:bookmarkStart w:id="166" w:name="Tc_gwW8HmZQM0SEOs8eGYP1LQ_20_0"/>
      <w:bookmarkStart w:id="167" w:name="Tc_XaOOF6vHcU20GU2kbh-hZA_19_5"/>
      <w:bookmarkStart w:id="168" w:name="Tc_-k1qZ_VPdUK9gCP6fJdOeQ_19_2"/>
      <w:bookmarkStart w:id="169" w:name="Tc_9JLxuYgMNk-J4DDhTfouHA_19_0"/>
      <w:bookmarkStart w:id="170" w:name="Tc_P8bxrFrr5kyxswIFSgYgZQ_18_0"/>
      <w:bookmarkStart w:id="171" w:name="Tc_SnYli2OTWEuxc9dU-ntlGA_17_5"/>
      <w:bookmarkStart w:id="172" w:name="Tc_T_LT5roFJUarwAhu1DWMjA_17_2"/>
      <w:bookmarkStart w:id="173" w:name="Tc_fkjcq0qYQUeLwF8bNOIoMQ_17_0"/>
      <w:bookmarkStart w:id="174" w:name="Tc_ggSR26DyAkSKnCKvbunCyg_16_0"/>
      <w:bookmarkStart w:id="175" w:name="Tc_iZbADZC43UGeOjHCdQdJ3Q_15_0"/>
      <w:bookmarkStart w:id="176" w:name="Tc_VkBbQqsf-0Ce3PzfVK74jg_14_0"/>
      <w:bookmarkStart w:id="177" w:name="Tc__tWllTxmOE6T0DB0FENWuQ_13_0"/>
      <w:bookmarkStart w:id="178" w:name="Tc_g90hz9w-w0e8quJgmhuLVA_12_0"/>
      <w:bookmarkStart w:id="179" w:name="Tc_trlfXv4V0EuVjRqmuWdiFQ_11_0"/>
      <w:bookmarkStart w:id="180" w:name="Tc_QRlnJ6ms502673p_FCSmRg_10_0"/>
      <w:bookmarkStart w:id="181" w:name="Tc_FrgHNJGM8USKUWyy_qrabg_9_0"/>
      <w:bookmarkStart w:id="182" w:name="Tc_jJAhXd_COk2JUzjGMe75pQ_8_0"/>
      <w:bookmarkStart w:id="183" w:name="Tc_kLtI_YZK7EiTG6EK8hKa3A_7_0"/>
      <w:bookmarkStart w:id="184" w:name="Tc_a2nfhrBe4025foiMNH5X7A_6_0"/>
      <w:bookmarkStart w:id="185" w:name="Tc_zay2uN4-yUeNe2lEUunBKg_5_0"/>
      <w:bookmarkStart w:id="186" w:name="Tc_gC0DNK5kp0mtZk7rr_d5Wg_4_5"/>
      <w:bookmarkStart w:id="187" w:name="Tc_ytScaHiD5EymCBeaw-NR3w_4_2"/>
      <w:bookmarkStart w:id="188" w:name="Tc_HVMgDWTvd0moMl-lfYPUMg_4_0"/>
      <w:bookmarkStart w:id="189" w:name="Tc_UnUuhTxO60CNpYDSpKuDgA_3_5"/>
      <w:bookmarkStart w:id="190" w:name="Tc_m2e4z7jD2UWoEI2lhQk-ow_3_2"/>
      <w:bookmarkStart w:id="191" w:name="Tc_UiXx9gDqeUm6UOLWg-UPzg_2_5"/>
      <w:bookmarkStart w:id="192" w:name="Tc_vrpIC8y5r0aqv3l3T5oWMg_2_2"/>
      <w:bookmarkStart w:id="193" w:name="Tc_lvSfoZdBa062KJmjIMQLpw_1_2"/>
      <w:bookmarkStart w:id="194" w:name="_e8f6d46b_2ef9_4048_b0c0_1a6772b8081e"/>
      <w:bookmarkStart w:id="195" w:name="Tc_jiniM5c-ak2NX25jq_kS6Q_23_0"/>
      <w:bookmarkStart w:id="196" w:name="Tc_pI3gZhPjME-VBohtCbKt1A_22_0"/>
      <w:bookmarkStart w:id="197" w:name="Tc_xzBVSN81l0SIjG0G_nfcDQ_21_0"/>
      <w:bookmarkStart w:id="198" w:name="Tc_7GpLB-seLkeBOF601zB-5A_20_5"/>
      <w:bookmarkStart w:id="199" w:name="Tc_K58N7YPebE-oBhsEPoKZHw_20_2"/>
      <w:bookmarkStart w:id="200" w:name="Tc_gwW8HmZQM0SEOs8eGYP1LQ_20_0"/>
      <w:bookmarkStart w:id="201" w:name="Tc_XaOOF6vHcU20GU2kbh-hZA_19_5"/>
      <w:bookmarkStart w:id="202" w:name="Tc_-k1qZ_VPdUK9gCP6fJdOeQ_19_2"/>
      <w:bookmarkStart w:id="203" w:name="Tc_9JLxuYgMNk-J4DDhTfouHA_19_0"/>
      <w:bookmarkStart w:id="204" w:name="Tc_P8bxrFrr5kyxswIFSgYgZQ_18_0"/>
      <w:bookmarkStart w:id="205" w:name="Tc_SnYli2OTWEuxc9dU-ntlGA_17_5"/>
      <w:bookmarkStart w:id="206" w:name="Tc_T_LT5roFJUarwAhu1DWMjA_17_2"/>
      <w:bookmarkStart w:id="207" w:name="Tc_fkjcq0qYQUeLwF8bNOIoMQ_17_0"/>
      <w:bookmarkStart w:id="208" w:name="Tc_ggSR26DyAkSKnCKvbunCyg_16_0"/>
      <w:bookmarkStart w:id="209" w:name="Tc_iZbADZC43UGeOjHCdQdJ3Q_15_0"/>
      <w:bookmarkStart w:id="210" w:name="Tc_VkBbQqsf-0Ce3PzfVK74jg_14_0"/>
      <w:bookmarkStart w:id="211" w:name="Tc__tWllTxmOE6T0DB0FENWuQ_13_0"/>
      <w:bookmarkStart w:id="212" w:name="Tc_g90hz9w-w0e8quJgmhuLVA_12_0"/>
      <w:bookmarkStart w:id="213" w:name="Tc_trlfXv4V0EuVjRqmuWdiFQ_11_0"/>
      <w:bookmarkStart w:id="214" w:name="Tc_QRlnJ6ms502673p_FCSmRg_10_0"/>
      <w:bookmarkStart w:id="215" w:name="Tc_FrgHNJGM8USKUWyy_qrabg_9_0"/>
      <w:bookmarkStart w:id="216" w:name="Tc_jJAhXd_COk2JUzjGMe75pQ_8_0"/>
      <w:bookmarkStart w:id="217" w:name="Tc_kLtI_YZK7EiTG6EK8hKa3A_7_0"/>
      <w:bookmarkStart w:id="218" w:name="Tc_a2nfhrBe4025foiMNH5X7A_6_0"/>
      <w:bookmarkStart w:id="219" w:name="Tc_zay2uN4-yUeNe2lEUunBKg_5_0"/>
      <w:bookmarkStart w:id="220" w:name="Tc_gC0DNK5kp0mtZk7rr_d5Wg_4_5"/>
      <w:bookmarkStart w:id="221" w:name="Tc_ytScaHiD5EymCBeaw-NR3w_4_2"/>
      <w:bookmarkStart w:id="222" w:name="Tc_HVMgDWTvd0moMl-lfYPUMg_4_0"/>
      <w:bookmarkStart w:id="223" w:name="Tc_UnUuhTxO60CNpYDSpKuDgA_3_5"/>
      <w:bookmarkStart w:id="224" w:name="Tc_m2e4z7jD2UWoEI2lhQk-ow_3_2"/>
      <w:bookmarkStart w:id="225" w:name="Tc_UiXx9gDqeUm6UOLWg-UPzg_2_5"/>
      <w:bookmarkStart w:id="226" w:name="Tc_vrpIC8y5r0aqv3l3T5oWMg_2_2"/>
      <w:bookmarkStart w:id="227" w:name="Tc_lvSfoZdBa062KJmjIMQLpw_1_2"/>
      <w:bookmarkStart w:id="228" w:name="_e8f6d46b_2ef9_4048_b0c0_1a6772b8081e"/>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tbl>
      <w:tblPr>
        <w:tblW w:w="10539" w:type="dxa"/>
        <w:jc w:val="left"/>
        <w:tblInd w:w="0" w:type="dxa"/>
        <w:tblCellMar>
          <w:top w:w="0" w:type="dxa"/>
          <w:left w:w="0" w:type="dxa"/>
          <w:bottom w:w="0" w:type="dxa"/>
          <w:right w:w="0" w:type="dxa"/>
        </w:tblCellMar>
      </w:tblPr>
      <w:tblGrid>
        <w:gridCol w:w="7288"/>
        <w:gridCol w:w="326"/>
        <w:gridCol w:w="211"/>
        <w:gridCol w:w="1036"/>
        <w:gridCol w:w="326"/>
        <w:gridCol w:w="211"/>
        <w:gridCol w:w="1141"/>
      </w:tblGrid>
      <w:tr>
        <w:trPr/>
        <w:tc>
          <w:tcPr>
            <w:tcW w:w="72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627880" cy="175260"/>
                      <wp:effectExtent l="0" t="0" r="0" b="0"/>
                      <wp:wrapNone/>
                      <wp:docPr id="11" name="Frame10"/>
                      <a:graphic xmlns:a="http://schemas.openxmlformats.org/drawingml/2006/main">
                        <a:graphicData uri="http://schemas.microsoft.com/office/word/2010/wordprocessingShape">
                          <wps:wsp>
                            <wps:cNvSpPr txBox="1"/>
                            <wps:spPr>
                              <a:xfrm>
                                <a:off x="0" y="0"/>
                                <a:ext cx="4627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4535" cy="175260"/>
                      <wp:effectExtent l="0" t="0" r="0" b="0"/>
                      <wp:wrapNone/>
                      <wp:docPr id="17" name="Frame1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2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9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72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r>
      <w:tr>
        <w:trPr/>
        <w:tc>
          <w:tcPr>
            <w:tcW w:w="72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88"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90,976</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111,902</w:t>
            </w:r>
          </w:p>
        </w:tc>
      </w:tr>
      <w:tr>
        <w:trPr/>
        <w:tc>
          <w:tcPr>
            <w:tcW w:w="7288"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53,015</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58,924</w:t>
            </w:r>
          </w:p>
        </w:tc>
      </w:tr>
      <w:tr>
        <w:trPr/>
        <w:tc>
          <w:tcPr>
            <w:tcW w:w="7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37,961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52,978</w:t>
            </w:r>
          </w:p>
        </w:tc>
      </w:tr>
      <w:tr>
        <w:trPr/>
        <w:tc>
          <w:tcPr>
            <w:tcW w:w="7288"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19,489</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21,886</w:t>
            </w:r>
          </w:p>
        </w:tc>
      </w:tr>
      <w:tr>
        <w:trPr/>
        <w:tc>
          <w:tcPr>
            <w:tcW w:w="7288"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24,348</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27,834</w:t>
            </w:r>
          </w:p>
        </w:tc>
      </w:tr>
      <w:tr>
        <w:trPr/>
        <w:tc>
          <w:tcPr>
            <w:tcW w:w="7288"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(5,876)</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3,258</w:t>
            </w:r>
          </w:p>
        </w:tc>
      </w:tr>
      <w:tr>
        <w:trPr/>
        <w:tc>
          <w:tcPr>
            <w:tcW w:w="7288"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r>
      <w:tr>
        <w:trPr/>
        <w:tc>
          <w:tcPr>
            <w:tcW w:w="7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7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288"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7288"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income before (provision) benefit for income taxes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3,104</w:t>
            </w:r>
          </w:p>
        </w:tc>
      </w:tr>
      <w:tr>
        <w:trPr/>
        <w:tc>
          <w:tcPr>
            <w:tcW w:w="7288"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Income tax benefit (provision) </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(1,061)</w:t>
            </w:r>
          </w:p>
        </w:tc>
      </w:tr>
      <w:tr>
        <w:trPr/>
        <w:tc>
          <w:tcPr>
            <w:tcW w:w="7288"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(loss) income and comprehensive (loss) income</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2,043</w:t>
            </w:r>
          </w:p>
        </w:tc>
      </w:tr>
      <w:tr>
        <w:trPr/>
        <w:tc>
          <w:tcPr>
            <w:tcW w:w="7288"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(loss) income attributable to common stockholders</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2,043</w:t>
            </w:r>
          </w:p>
        </w:tc>
      </w:tr>
      <w:tr>
        <w:trPr/>
        <w:tc>
          <w:tcPr>
            <w:tcW w:w="7288"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(loss) income per share attributable to common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r>
      <w:tr>
        <w:trPr/>
        <w:tc>
          <w:tcPr>
            <w:tcW w:w="7288" w:type="dxa"/>
            <w:tcBorders/>
            <w:shd w:fill="auto" w:val="clear"/>
            <w:vAlign w:val="center"/>
          </w:tcPr>
          <w:p>
            <w:pPr>
              <w:pStyle w:val="TableContents"/>
              <w:spacing w:before="0" w:after="0"/>
              <w:ind w:left="0" w:right="0" w:hanging="0"/>
              <w:jc w:val="both"/>
              <w:rPr/>
            </w:pPr>
            <w:r>
              <w:rPr/>
              <w:t> </w:t>
            </w: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7288" w:type="dxa"/>
            <w:tcBorders/>
            <w:shd w:fill="CCEEFF" w:val="clear"/>
            <w:vAlign w:val="center"/>
          </w:tcPr>
          <w:p>
            <w:pPr>
              <w:pStyle w:val="TableContents"/>
              <w:spacing w:before="0" w:after="0"/>
              <w:ind w:left="0" w:right="0" w:hanging="0"/>
              <w:jc w:val="both"/>
              <w:rPr/>
            </w:pPr>
            <w:r>
              <w:rPr/>
              <w:t> </w:t>
            </w: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7288"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Weighted average shares used to compute net (loss) income per share attributable to common stockholders: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r>
      <w:tr>
        <w:trPr/>
        <w:tc>
          <w:tcPr>
            <w:tcW w:w="7288" w:type="dxa"/>
            <w:tcBorders/>
            <w:shd w:fill="CCEEFF" w:val="clear"/>
            <w:vAlign w:val="center"/>
          </w:tcPr>
          <w:p>
            <w:pPr>
              <w:pStyle w:val="TableContents"/>
              <w:spacing w:before="0" w:after="0"/>
              <w:ind w:left="0" w:right="0" w:hanging="0"/>
              <w:jc w:val="both"/>
              <w:rPr/>
            </w:pPr>
            <w:r>
              <w:rPr/>
              <w:t> </w:t>
            </w:r>
            <w:r>
              <w:rPr>
                <w:rFonts w:ascii="Times New Roman;Times;serif" w:hAnsi="Times New Roman;Times;serif"/>
                <w:sz w:val="20"/>
              </w:rPr>
              <w:t>Basic</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39,233,953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38,098,073</w:t>
            </w:r>
          </w:p>
        </w:tc>
      </w:tr>
      <w:tr>
        <w:trPr/>
        <w:tc>
          <w:tcPr>
            <w:tcW w:w="7288" w:type="dxa"/>
            <w:tcBorders/>
            <w:shd w:fill="auto" w:val="clear"/>
            <w:vAlign w:val="center"/>
          </w:tcPr>
          <w:p>
            <w:pPr>
              <w:pStyle w:val="TableContents"/>
              <w:spacing w:before="0" w:after="0"/>
              <w:ind w:left="0" w:right="0" w:hanging="0"/>
              <w:jc w:val="both"/>
              <w:rPr/>
            </w:pPr>
            <w:r>
              <w:rPr/>
              <w:t> </w:t>
            </w:r>
            <w:r>
              <w:rPr>
                <w:rFonts w:ascii="Times New Roman;Times;serif" w:hAnsi="Times New Roman;Times;serif"/>
                <w:sz w:val="20"/>
              </w:rPr>
              <w:t>Diluted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39,233,953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38,385,765</w:t>
            </w:r>
          </w:p>
        </w:tc>
      </w:tr>
    </w:tbl>
    <w:p>
      <w:pPr>
        <w:pStyle w:val="TextBody"/>
        <w:spacing w:before="0" w:after="0"/>
        <w:ind w:left="0" w:right="0" w:hanging="0"/>
        <w:rPr/>
      </w:pPr>
      <w:r>
        <w:rPr/>
        <w:t>​</w:t>
      </w:r>
    </w:p>
    <w:p>
      <w:pPr>
        <w:pStyle w:val="TextBody"/>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4"/>
        </w:rPr>
      </w:pPr>
      <w:bookmarkStart w:id="229" w:name="_a67cbbaa_8ab5_413d_ad14_a1969e547141"/>
      <w:bookmarkEnd w:id="229"/>
      <w:r>
        <w:rPr>
          <w:rFonts w:ascii="Times New Roman;Times;serif" w:hAnsi="Times New Roman;Times;serif"/>
          <w:b/>
          <w:sz w:val="24"/>
        </w:rPr>
        <w:t xml:space="preserve">LULU’S FASHION LOUNGE HOLDINGS, INC. </w:t>
      </w:r>
    </w:p>
    <w:p>
      <w:pPr>
        <w:pStyle w:val="TextBody"/>
        <w:spacing w:before="0" w:after="0"/>
        <w:ind w:left="0" w:right="0" w:hanging="0"/>
        <w:jc w:val="center"/>
        <w:rPr>
          <w:rFonts w:ascii="Times New Roman;Times;serif" w:hAnsi="Times New Roman;Times;serif"/>
          <w:b/>
          <w:sz w:val="24"/>
        </w:rPr>
      </w:pPr>
      <w:bookmarkStart w:id="230" w:name="StockholdersEquity_449154"/>
      <w:bookmarkEnd w:id="230"/>
      <w:r>
        <w:rPr>
          <w:rFonts w:ascii="Times New Roman;Times;serif" w:hAnsi="Times New Roman;Times;serif"/>
          <w:b/>
          <w:sz w:val="24"/>
        </w:rPr>
        <w:t>Condensed Consolidated Statements of Stockholders’ Equity</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amounts)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231" w:name="Tc_NDRTQ-QYxk2QbI7fr1YX6w_13_13"/>
      <w:bookmarkStart w:id="232" w:name="Tc_a5TDTVosuUK5aw30Ci5dOw_13_10"/>
      <w:bookmarkStart w:id="233" w:name="Tc_ODN7U_5MoUKNkOsSCj5IDw_13_7"/>
      <w:bookmarkStart w:id="234" w:name="Tc_kOs3u3TOOkyrKcTzqD1lQw_13_4"/>
      <w:bookmarkStart w:id="235" w:name="Tc_AO8EZruJHUyvpHKZYDVgZQ_13_0"/>
      <w:bookmarkStart w:id="236" w:name="Tc_Lcccjugahkuue60MaQX9TA_12_8"/>
      <w:bookmarkStart w:id="237" w:name="Tc_c4IJSKJGAUSb9SrW5wKgdg_12_5"/>
      <w:bookmarkStart w:id="238" w:name="Tc_0gFb1mVaH0GkZU4qc9cGjg_12_2"/>
      <w:bookmarkStart w:id="239" w:name="Tc_V9hnWrRRJkyD-0JrnS2hzw_12_0"/>
      <w:bookmarkStart w:id="240" w:name="Tc_FmDNNz2ICkqXQvYvhTk7fQ_11_11"/>
      <w:bookmarkStart w:id="241" w:name="Tc_P6CEgCNI_kihrRgTzg71yA_11_5"/>
      <w:bookmarkStart w:id="242" w:name="Tc_yCUEyiI1y0mO367zWazyXw_11_2"/>
      <w:bookmarkStart w:id="243" w:name="Tc_F8AMdKgccUaIuD0JM-Q6Pw_11_0"/>
      <w:bookmarkStart w:id="244" w:name="Tc_0rPtIioJVEyxKDxoA9r9tA_10_14"/>
      <w:bookmarkStart w:id="245" w:name="Tc_OgG3HuShjkyAQ0bm7lY1hQ_10_11"/>
      <w:bookmarkStart w:id="246" w:name="Tc_J9bmbbvciEuVAk-vIswu-g_10_8"/>
      <w:bookmarkStart w:id="247" w:name="Tc_HeR78-E5e0mH10kXzpdyQQ_10_5"/>
      <w:bookmarkStart w:id="248" w:name="Tc_IjV8_AZ46kGpcvvZTBqfwg_10_0"/>
      <w:bookmarkStart w:id="249" w:name="Tc_rJBXU9yf8USffju7XiwYvQ_9_11"/>
      <w:bookmarkStart w:id="250" w:name="Tc_bUd11liglECMPwmh7eR-uA_9_5"/>
      <w:bookmarkStart w:id="251" w:name="Tc_D6SzTYTFJEmcMnfgerz_gw_9_0"/>
      <w:bookmarkStart w:id="252" w:name="Tc_y9Xh83bY-UaBc2dzF7Ow7w_8_11"/>
      <w:bookmarkStart w:id="253" w:name="Tc_m9LfaGksCkaFBW2WSTPa2g_8_5"/>
      <w:bookmarkStart w:id="254" w:name="Tc_dTWCeOijt0iO8SH1cIobRA_8_0"/>
      <w:bookmarkStart w:id="255" w:name="Tc_P7dr3sUfC0md-x8LCLSdUA_7_14"/>
      <w:bookmarkStart w:id="256" w:name="Tc_WXWCkPC7AUeghOIHn0C9yg_7_11"/>
      <w:bookmarkStart w:id="257" w:name="Tc_r8w5lJquBUSpuEKKSBm_tQ_7_8"/>
      <w:bookmarkStart w:id="258" w:name="Tc_cnzsfdQHo0-nj9x6_QSJKA_7_5"/>
      <w:bookmarkStart w:id="259" w:name="Tc_4-Zt2hYneUOfRFv6f0Gr8Q_7_0"/>
      <w:bookmarkStart w:id="260" w:name="Tc_aMbsrvoASUCMdmia8nQr2w_6_11"/>
      <w:bookmarkStart w:id="261" w:name="Tc_50ujk1PfBUOyHtTBIUej8A_6_8"/>
      <w:bookmarkStart w:id="262" w:name="Tc_eo6Vr2axz0K0gva7ED0TKQ_6_0"/>
      <w:bookmarkStart w:id="263" w:name="Tc_i0JxBgkTHUusjB2dd2Btyg_5_13"/>
      <w:bookmarkStart w:id="264" w:name="Tc_hkAZXhReUEqeJPhxuqT7PA_5_10"/>
      <w:bookmarkStart w:id="265" w:name="Tc_rSFlYoq3Z0SJ9EfJBxsn3g_5_7"/>
      <w:bookmarkStart w:id="266" w:name="Tc_esmyH5phoEOTImfdiSpm7A_5_4"/>
      <w:bookmarkStart w:id="267" w:name="Tc_86zsYBwXSU-ovh7ldwFmKg_5_0"/>
      <w:bookmarkStart w:id="268" w:name="Tc_qDDTxzUfN0qS__I-wRxVYw_4_13"/>
      <w:bookmarkStart w:id="269" w:name="Tc_7chkAG1EZEKIFXpzkFTrZA_4_10"/>
      <w:bookmarkStart w:id="270" w:name="Tc_sMFYeZ7TdUeMhZmbjBZIWQ_4_7"/>
      <w:bookmarkStart w:id="271" w:name="Tc_RBmOapvOM0GCzQ1FYH3liA_4_4"/>
      <w:bookmarkStart w:id="272" w:name="Tc_IfABMwbUh0OSuSf-5NHAAQ_4_2"/>
      <w:bookmarkStart w:id="273" w:name="Tc_DtBtjZAi7kCXbnVNDDMdvQ_3_13"/>
      <w:bookmarkStart w:id="274" w:name="Tc_bCJMbbuj2UqftPZ7485mgw_3_10"/>
      <w:bookmarkStart w:id="275" w:name="Tc_myrySp-CxU2iZ-XrXgc2Mg_3_7"/>
      <w:bookmarkStart w:id="276" w:name="Tc_-IEr_7uH8U6ST2CviX770A_3_2"/>
      <w:bookmarkStart w:id="277" w:name="Tc_jrp-0WDJN06PmFZi5I6-ug_2_13"/>
      <w:bookmarkStart w:id="278" w:name="Tc_s-bWKCgwiUCprAUeA_oKLw_2_7"/>
      <w:bookmarkStart w:id="279" w:name="Tc_w1f17s_PqU2uovblKAA3UQ_1_2"/>
      <w:bookmarkStart w:id="280" w:name="_0546eec8_2122_4aba_8648_dcb761a56f8f"/>
      <w:bookmarkStart w:id="281" w:name="Tc_NDRTQ-QYxk2QbI7fr1YX6w_13_13"/>
      <w:bookmarkStart w:id="282" w:name="Tc_a5TDTVosuUK5aw30Ci5dOw_13_10"/>
      <w:bookmarkStart w:id="283" w:name="Tc_ODN7U_5MoUKNkOsSCj5IDw_13_7"/>
      <w:bookmarkStart w:id="284" w:name="Tc_kOs3u3TOOkyrKcTzqD1lQw_13_4"/>
      <w:bookmarkStart w:id="285" w:name="Tc_AO8EZruJHUyvpHKZYDVgZQ_13_0"/>
      <w:bookmarkStart w:id="286" w:name="Tc_Lcccjugahkuue60MaQX9TA_12_8"/>
      <w:bookmarkStart w:id="287" w:name="Tc_c4IJSKJGAUSb9SrW5wKgdg_12_5"/>
      <w:bookmarkStart w:id="288" w:name="Tc_0gFb1mVaH0GkZU4qc9cGjg_12_2"/>
      <w:bookmarkStart w:id="289" w:name="Tc_V9hnWrRRJkyD-0JrnS2hzw_12_0"/>
      <w:bookmarkStart w:id="290" w:name="Tc_FmDNNz2ICkqXQvYvhTk7fQ_11_11"/>
      <w:bookmarkStart w:id="291" w:name="Tc_P6CEgCNI_kihrRgTzg71yA_11_5"/>
      <w:bookmarkStart w:id="292" w:name="Tc_yCUEyiI1y0mO367zWazyXw_11_2"/>
      <w:bookmarkStart w:id="293" w:name="Tc_F8AMdKgccUaIuD0JM-Q6Pw_11_0"/>
      <w:bookmarkStart w:id="294" w:name="Tc_0rPtIioJVEyxKDxoA9r9tA_10_14"/>
      <w:bookmarkStart w:id="295" w:name="Tc_OgG3HuShjkyAQ0bm7lY1hQ_10_11"/>
      <w:bookmarkStart w:id="296" w:name="Tc_J9bmbbvciEuVAk-vIswu-g_10_8"/>
      <w:bookmarkStart w:id="297" w:name="Tc_HeR78-E5e0mH10kXzpdyQQ_10_5"/>
      <w:bookmarkStart w:id="298" w:name="Tc_IjV8_AZ46kGpcvvZTBqfwg_10_0"/>
      <w:bookmarkStart w:id="299" w:name="Tc_rJBXU9yf8USffju7XiwYvQ_9_11"/>
      <w:bookmarkStart w:id="300" w:name="Tc_bUd11liglECMPwmh7eR-uA_9_5"/>
      <w:bookmarkStart w:id="301" w:name="Tc_D6SzTYTFJEmcMnfgerz_gw_9_0"/>
      <w:bookmarkStart w:id="302" w:name="Tc_y9Xh83bY-UaBc2dzF7Ow7w_8_11"/>
      <w:bookmarkStart w:id="303" w:name="Tc_m9LfaGksCkaFBW2WSTPa2g_8_5"/>
      <w:bookmarkStart w:id="304" w:name="Tc_dTWCeOijt0iO8SH1cIobRA_8_0"/>
      <w:bookmarkStart w:id="305" w:name="Tc_P7dr3sUfC0md-x8LCLSdUA_7_14"/>
      <w:bookmarkStart w:id="306" w:name="Tc_WXWCkPC7AUeghOIHn0C9yg_7_11"/>
      <w:bookmarkStart w:id="307" w:name="Tc_r8w5lJquBUSpuEKKSBm_tQ_7_8"/>
      <w:bookmarkStart w:id="308" w:name="Tc_cnzsfdQHo0-nj9x6_QSJKA_7_5"/>
      <w:bookmarkStart w:id="309" w:name="Tc_4-Zt2hYneUOfRFv6f0Gr8Q_7_0"/>
      <w:bookmarkStart w:id="310" w:name="Tc_aMbsrvoASUCMdmia8nQr2w_6_11"/>
      <w:bookmarkStart w:id="311" w:name="Tc_50ujk1PfBUOyHtTBIUej8A_6_8"/>
      <w:bookmarkStart w:id="312" w:name="Tc_eo6Vr2axz0K0gva7ED0TKQ_6_0"/>
      <w:bookmarkStart w:id="313" w:name="Tc_i0JxBgkTHUusjB2dd2Btyg_5_13"/>
      <w:bookmarkStart w:id="314" w:name="Tc_hkAZXhReUEqeJPhxuqT7PA_5_10"/>
      <w:bookmarkStart w:id="315" w:name="Tc_rSFlYoq3Z0SJ9EfJBxsn3g_5_7"/>
      <w:bookmarkStart w:id="316" w:name="Tc_esmyH5phoEOTImfdiSpm7A_5_4"/>
      <w:bookmarkStart w:id="317" w:name="Tc_86zsYBwXSU-ovh7ldwFmKg_5_0"/>
      <w:bookmarkStart w:id="318" w:name="Tc_qDDTxzUfN0qS__I-wRxVYw_4_13"/>
      <w:bookmarkStart w:id="319" w:name="Tc_7chkAG1EZEKIFXpzkFTrZA_4_10"/>
      <w:bookmarkStart w:id="320" w:name="Tc_sMFYeZ7TdUeMhZmbjBZIWQ_4_7"/>
      <w:bookmarkStart w:id="321" w:name="Tc_RBmOapvOM0GCzQ1FYH3liA_4_4"/>
      <w:bookmarkStart w:id="322" w:name="Tc_IfABMwbUh0OSuSf-5NHAAQ_4_2"/>
      <w:bookmarkStart w:id="323" w:name="Tc_DtBtjZAi7kCXbnVNDDMdvQ_3_13"/>
      <w:bookmarkStart w:id="324" w:name="Tc_bCJMbbuj2UqftPZ7485mgw_3_10"/>
      <w:bookmarkStart w:id="325" w:name="Tc_myrySp-CxU2iZ-XrXgc2Mg_3_7"/>
      <w:bookmarkStart w:id="326" w:name="Tc_-IEr_7uH8U6ST2CviX770A_3_2"/>
      <w:bookmarkStart w:id="327" w:name="Tc_jrp-0WDJN06PmFZi5I6-ug_2_13"/>
      <w:bookmarkStart w:id="328" w:name="Tc_s-bWKCgwiUCprAUeA_oKLw_2_7"/>
      <w:bookmarkStart w:id="329" w:name="Tc_w1f17s_PqU2uovblKAA3UQ_1_2"/>
      <w:bookmarkStart w:id="330" w:name="_0546eec8_2122_4aba_8648_dcb761a56f8f"/>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tbl>
      <w:tblPr>
        <w:tblW w:w="9736" w:type="dxa"/>
        <w:jc w:val="left"/>
        <w:tblInd w:w="0" w:type="dxa"/>
        <w:tblCellMar>
          <w:top w:w="0" w:type="dxa"/>
          <w:left w:w="0" w:type="dxa"/>
          <w:bottom w:w="0" w:type="dxa"/>
          <w:right w:w="0" w:type="dxa"/>
        </w:tblCellMar>
      </w:tblPr>
      <w:tblGrid>
        <w:gridCol w:w="4126"/>
        <w:gridCol w:w="326"/>
        <w:gridCol w:w="766"/>
        <w:gridCol w:w="326"/>
        <w:gridCol w:w="196"/>
        <w:gridCol w:w="375"/>
        <w:gridCol w:w="326"/>
        <w:gridCol w:w="181"/>
        <w:gridCol w:w="586"/>
        <w:gridCol w:w="326"/>
        <w:gridCol w:w="194"/>
        <w:gridCol w:w="677"/>
        <w:gridCol w:w="326"/>
        <w:gridCol w:w="232"/>
        <w:gridCol w:w="773"/>
      </w:tblGrid>
      <w:tr>
        <w:trPr/>
        <w:tc>
          <w:tcPr>
            <w:tcW w:w="4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620010" cy="175260"/>
                      <wp:effectExtent l="0" t="0" r="0" b="0"/>
                      <wp:wrapNone/>
                      <wp:docPr id="18" name="Frame17"/>
                      <a:graphic xmlns:a="http://schemas.openxmlformats.org/drawingml/2006/main">
                        <a:graphicData uri="http://schemas.microsoft.com/office/word/2010/wordprocessingShape">
                          <wps:wsp>
                            <wps:cNvSpPr txBox="1"/>
                            <wps:spPr>
                              <a:xfrm>
                                <a:off x="0" y="0"/>
                                <a:ext cx="2620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86410" cy="175260"/>
                      <wp:effectExtent l="0" t="0" r="0" b="0"/>
                      <wp:wrapNone/>
                      <wp:docPr id="20" name="Frame19"/>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38125" cy="175260"/>
                      <wp:effectExtent l="0" t="0" r="0" b="0"/>
                      <wp:wrapNone/>
                      <wp:docPr id="23" name="Frame22"/>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14935" cy="175260"/>
                      <wp:effectExtent l="0" t="0" r="0" b="0"/>
                      <wp:wrapNone/>
                      <wp:docPr id="25" name="Frame24"/>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72110" cy="175260"/>
                      <wp:effectExtent l="0" t="0" r="0" b="0"/>
                      <wp:wrapNone/>
                      <wp:docPr id="26" name="Frame25"/>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3190" cy="175260"/>
                      <wp:effectExtent l="0" t="0" r="0" b="0"/>
                      <wp:wrapNone/>
                      <wp:docPr id="28" name="Frame27"/>
                      <a:graphic xmlns:a="http://schemas.openxmlformats.org/drawingml/2006/main">
                        <a:graphicData uri="http://schemas.microsoft.com/office/word/2010/wordprocessingShape">
                          <wps:wsp>
                            <wps:cNvSpPr txBox="1"/>
                            <wps:spPr>
                              <a:xfrm>
                                <a:off x="0" y="0"/>
                                <a:ext cx="123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29895" cy="175260"/>
                      <wp:effectExtent l="0" t="0" r="0" b="0"/>
                      <wp:wrapNone/>
                      <wp:docPr id="29" name="Frame28"/>
                      <a:graphic xmlns:a="http://schemas.openxmlformats.org/drawingml/2006/main">
                        <a:graphicData uri="http://schemas.microsoft.com/office/word/2010/wordprocessingShape">
                          <wps:wsp>
                            <wps:cNvSpPr txBox="1"/>
                            <wps:spPr>
                              <a:xfrm>
                                <a:off x="0" y="0"/>
                                <a:ext cx="429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7320" cy="175260"/>
                      <wp:effectExtent l="0" t="0" r="0" b="0"/>
                      <wp:wrapNone/>
                      <wp:docPr id="31" name="Frame30"/>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90855" cy="175260"/>
                      <wp:effectExtent l="0" t="0" r="0" b="0"/>
                      <wp:wrapNone/>
                      <wp:docPr id="32" name="Frame31"/>
                      <a:graphic xmlns:a="http://schemas.openxmlformats.org/drawingml/2006/main">
                        <a:graphicData uri="http://schemas.microsoft.com/office/word/2010/wordprocessingShape">
                          <wps:wsp>
                            <wps:cNvSpPr txBox="1"/>
                            <wps:spPr>
                              <a:xfrm>
                                <a:off x="0" y="0"/>
                                <a:ext cx="490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26"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rPr/>
            </w:pPr>
            <w:r>
              <w:rPr/>
              <w:t>​</w:t>
            </w:r>
          </w:p>
        </w:tc>
        <w:tc>
          <w:tcPr>
            <w:tcW w:w="5284"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Thirteen Weeks Ended April 2, 2023</w:t>
            </w:r>
          </w:p>
        </w:tc>
      </w:tr>
      <w:tr>
        <w:trPr/>
        <w:tc>
          <w:tcPr>
            <w:tcW w:w="4126"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37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shd w:fill="auto" w:val="clear"/>
            <w:vAlign w:val="center"/>
          </w:tcPr>
          <w:p>
            <w:pPr>
              <w:pStyle w:val="TableContents"/>
              <w:spacing w:before="0" w:after="0"/>
              <w:ind w:left="0" w:right="0" w:hanging="0"/>
              <w:rPr/>
            </w:pPr>
            <w:r>
              <w:rPr/>
              <w:t>​</w:t>
            </w:r>
          </w:p>
        </w:tc>
        <w:tc>
          <w:tcPr>
            <w:tcW w:w="194" w:type="dxa"/>
            <w:tcBorders/>
            <w:shd w:fill="auto" w:val="clear"/>
            <w:vAlign w:val="center"/>
          </w:tcPr>
          <w:p>
            <w:pPr>
              <w:pStyle w:val="TableContents"/>
              <w:spacing w:before="0" w:after="0"/>
              <w:ind w:left="0" w:right="0" w:hanging="0"/>
              <w:jc w:val="center"/>
              <w:rPr/>
            </w:pPr>
            <w:r>
              <w:rPr/>
              <w:t>​</w:t>
            </w:r>
          </w:p>
        </w:tc>
        <w:tc>
          <w:tcPr>
            <w:tcW w:w="67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4126"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rPr/>
            </w:pPr>
            <w:r>
              <w:rPr/>
              <w:t>​</w:t>
            </w:r>
          </w:p>
        </w:tc>
        <w:tc>
          <w:tcPr>
            <w:tcW w:w="166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shd w:fill="auto" w:val="clear"/>
            <w:vAlign w:val="center"/>
          </w:tcPr>
          <w:p>
            <w:pPr>
              <w:pStyle w:val="TableContents"/>
              <w:spacing w:before="0" w:after="0"/>
              <w:ind w:left="0" w:right="0" w:hanging="0"/>
              <w:rPr/>
            </w:pPr>
            <w:r>
              <w:rPr/>
              <w:t>​</w:t>
            </w:r>
          </w:p>
        </w:tc>
        <w:tc>
          <w:tcPr>
            <w:tcW w:w="7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shd w:fill="auto" w:val="clear"/>
            <w:vAlign w:val="center"/>
          </w:tcPr>
          <w:p>
            <w:pPr>
              <w:pStyle w:val="TableContents"/>
              <w:spacing w:before="0" w:after="0"/>
              <w:ind w:left="0" w:right="0" w:hanging="0"/>
              <w:rPr/>
            </w:pPr>
            <w:r>
              <w:rPr/>
              <w:t>​</w:t>
            </w:r>
          </w:p>
        </w:tc>
        <w:tc>
          <w:tcPr>
            <w:tcW w:w="8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0"/>
              <w:ind w:left="0" w:right="0" w:hanging="0"/>
              <w:rPr/>
            </w:pPr>
            <w:r>
              <w:rPr/>
              <w:t>​</w:t>
            </w:r>
          </w:p>
        </w:tc>
        <w:tc>
          <w:tcPr>
            <w:tcW w:w="10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4126"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0"/>
              <w:ind w:left="0" w:right="0" w:hanging="0"/>
              <w:rPr/>
            </w:pPr>
            <w:r>
              <w:rPr/>
              <w:t>    </w:t>
            </w:r>
          </w:p>
        </w:tc>
        <w:tc>
          <w:tcPr>
            <w:tcW w:w="7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shd w:fill="auto" w:val="clear"/>
            <w:vAlign w:val="center"/>
          </w:tcPr>
          <w:p>
            <w:pPr>
              <w:pStyle w:val="TableContents"/>
              <w:spacing w:before="0" w:after="0"/>
              <w:ind w:left="0" w:right="0" w:hanging="0"/>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shd w:fill="auto" w:val="clear"/>
            <w:vAlign w:val="center"/>
          </w:tcPr>
          <w:p>
            <w:pPr>
              <w:pStyle w:val="TableContents"/>
              <w:spacing w:before="0" w:after="0"/>
              <w:ind w:left="0" w:right="0" w:hanging="0"/>
              <w:rPr/>
            </w:pPr>
            <w:r>
              <w:rPr/>
              <w:t>    </w:t>
            </w:r>
          </w:p>
        </w:tc>
        <w:tc>
          <w:tcPr>
            <w:tcW w:w="10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4126" w:type="dxa"/>
            <w:tcBorders/>
            <w:shd w:fill="CCEEFF"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January 1, 2023</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39,259,328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238,725</w:t>
            </w:r>
          </w:p>
        </w:tc>
        <w:tc>
          <w:tcPr>
            <w:tcW w:w="326"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(173,871)</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64,893</w:t>
            </w:r>
          </w:p>
        </w:tc>
      </w:tr>
      <w:tr>
        <w:trPr/>
        <w:tc>
          <w:tcPr>
            <w:tcW w:w="412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common stock for vesting of restricted stock units (RSUs)</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491,769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4"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412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common stock for special compensation award</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208,914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rPr/>
            </w:pPr>
            <w:r>
              <w:rPr/>
              <w:t>​</w:t>
            </w:r>
          </w:p>
        </w:tc>
        <w:tc>
          <w:tcPr>
            <w:tcW w:w="6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pPr>
            <w:r>
              <w:rPr/>
              <w:t>—</w:t>
            </w:r>
          </w:p>
        </w:tc>
      </w:tr>
      <w:tr>
        <w:trPr/>
        <w:tc>
          <w:tcPr>
            <w:tcW w:w="412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common stock for employee stock purchase plan (ESPP)</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47,502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c>
          <w:tcPr>
            <w:tcW w:w="326" w:type="dxa"/>
            <w:tcBorders/>
            <w:shd w:fill="auto" w:val="clear"/>
            <w:vAlign w:val="center"/>
          </w:tcPr>
          <w:p>
            <w:pPr>
              <w:pStyle w:val="TableContents"/>
              <w:spacing w:before="0" w:after="0"/>
              <w:ind w:left="0" w:right="0" w:hanging="0"/>
              <w:rPr/>
            </w:pPr>
            <w:r>
              <w:rPr/>
              <w:t>​</w:t>
            </w:r>
          </w:p>
        </w:tc>
        <w:tc>
          <w:tcPr>
            <w:tcW w:w="194"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r>
      <w:tr>
        <w:trPr/>
        <w:tc>
          <w:tcPr>
            <w:tcW w:w="412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Shares withheld for withholding tax on RSUs</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(277,606)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c>
          <w:tcPr>
            <w:tcW w:w="326"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rPr/>
            </w:pPr>
            <w:r>
              <w:rPr/>
              <w:t>​</w:t>
            </w:r>
          </w:p>
        </w:tc>
        <w:tc>
          <w:tcPr>
            <w:tcW w:w="6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r>
      <w:tr>
        <w:trPr/>
        <w:tc>
          <w:tcPr>
            <w:tcW w:w="412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Forfeited shares of restricted stock</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(2,720)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4"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pPr>
            <w:r>
              <w:rPr/>
              <w:t>—</w:t>
            </w:r>
          </w:p>
        </w:tc>
      </w:tr>
      <w:tr>
        <w:trPr/>
        <w:tc>
          <w:tcPr>
            <w:tcW w:w="412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Equity-based compensation expense</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4,892</w:t>
            </w:r>
          </w:p>
        </w:tc>
        <w:tc>
          <w:tcPr>
            <w:tcW w:w="326"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rPr/>
            </w:pPr>
            <w:r>
              <w:rPr/>
              <w:t>​</w:t>
            </w:r>
          </w:p>
        </w:tc>
        <w:tc>
          <w:tcPr>
            <w:tcW w:w="6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4,892</w:t>
            </w:r>
          </w:p>
        </w:tc>
      </w:tr>
      <w:tr>
        <w:trPr/>
        <w:tc>
          <w:tcPr>
            <w:tcW w:w="412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(loss) and comprehensive (loss)</w:t>
            </w:r>
          </w:p>
        </w:tc>
        <w:tc>
          <w:tcPr>
            <w:tcW w:w="326" w:type="dxa"/>
            <w:tcBorders/>
            <w:shd w:fill="auto" w:val="clear"/>
            <w:vAlign w:val="center"/>
          </w:tcPr>
          <w:p>
            <w:pPr>
              <w:pStyle w:val="TableContents"/>
              <w:spacing w:before="0" w:after="0"/>
              <w:ind w:left="0" w:right="0" w:hanging="0"/>
              <w:rPr/>
            </w:pPr>
            <w:r>
              <w:rPr/>
              <w:t>​</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7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(5,618)</w:t>
            </w:r>
          </w:p>
        </w:tc>
        <w:tc>
          <w:tcPr>
            <w:tcW w:w="326" w:type="dxa"/>
            <w:tcBorders/>
            <w:shd w:fill="auto" w:val="clear"/>
            <w:vAlign w:val="center"/>
          </w:tcPr>
          <w:p>
            <w:pPr>
              <w:pStyle w:val="TableContents"/>
              <w:spacing w:before="0" w:after="0"/>
              <w:ind w:left="0" w:right="0" w:hanging="0"/>
              <w:rPr/>
            </w:pPr>
            <w:r>
              <w:rPr/>
              <w:t>​</w:t>
            </w:r>
          </w:p>
        </w:tc>
        <w:tc>
          <w:tcPr>
            <w:tcW w:w="23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7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(5,618)</w:t>
            </w:r>
          </w:p>
        </w:tc>
      </w:tr>
      <w:tr>
        <w:trPr/>
        <w:tc>
          <w:tcPr>
            <w:tcW w:w="4126" w:type="dxa"/>
            <w:tcBorders/>
            <w:shd w:fill="CCEEFF"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April 2, 2023</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39,727,187</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243,224</w:t>
            </w:r>
          </w:p>
        </w:tc>
        <w:tc>
          <w:tcPr>
            <w:tcW w:w="326" w:type="dxa"/>
            <w:tcBorders/>
            <w:shd w:fill="CCEEFF" w:val="clear"/>
            <w:vAlign w:val="center"/>
          </w:tcPr>
          <w:p>
            <w:pPr>
              <w:pStyle w:val="TableContents"/>
              <w:spacing w:before="0" w:after="0"/>
              <w:ind w:left="0" w:right="0" w:hanging="0"/>
              <w:rPr/>
            </w:pPr>
            <w:r>
              <w:rPr/>
              <w:t>​</w:t>
            </w:r>
          </w:p>
        </w:tc>
        <w:tc>
          <w:tcPr>
            <w:tcW w:w="19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(179,489)</w:t>
            </w:r>
          </w:p>
        </w:tc>
        <w:tc>
          <w:tcPr>
            <w:tcW w:w="326" w:type="dxa"/>
            <w:tcBorders/>
            <w:shd w:fill="CCEEFF" w:val="clear"/>
            <w:vAlign w:val="center"/>
          </w:tcPr>
          <w:p>
            <w:pPr>
              <w:pStyle w:val="TableContents"/>
              <w:spacing w:before="0" w:after="0"/>
              <w:ind w:left="0" w:right="0" w:hanging="0"/>
              <w:rPr/>
            </w:pPr>
            <w:r>
              <w:rPr/>
              <w:t>​</w:t>
            </w:r>
          </w:p>
        </w:tc>
        <w:tc>
          <w:tcPr>
            <w:tcW w:w="23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73"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63,775</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331" w:name="Tc_1CQswiNx4UK6jd83l-q58g_13_13"/>
      <w:bookmarkStart w:id="332" w:name="Tc_FpDGhoQXUkyZHkPt9CWpjQ_13_10"/>
      <w:bookmarkStart w:id="333" w:name="Tc_cMTqRoBaSUm74_lxVnszvw_13_7"/>
      <w:bookmarkStart w:id="334" w:name="Tc_DT3KtiMfM0qfd7MRgkvBSg_13_4"/>
      <w:bookmarkStart w:id="335" w:name="Tc_sIj47xTYEkCLrKV2IL5GWQ_13_0"/>
      <w:bookmarkStart w:id="336" w:name="Tc_Vj_ZnMVj8kynXe_Mj6AI3A_12_8"/>
      <w:bookmarkStart w:id="337" w:name="Tc_WkbolzraZEqz1kV71j5pHA_12_5"/>
      <w:bookmarkStart w:id="338" w:name="Tc_gY-P9icPeEKgEzlAn9ZJ6w_12_2"/>
      <w:bookmarkStart w:id="339" w:name="Tc_2KOOIguU_0i7OFl-Ujypkw_12_0"/>
      <w:bookmarkStart w:id="340" w:name="Tc_vsCF_joPvkO8Yxo9dYHtrQ_11_11"/>
      <w:bookmarkStart w:id="341" w:name="Tc_xfJu_mayKkC5oeBfdWlaKA_11_5"/>
      <w:bookmarkStart w:id="342" w:name="Tc_A9-4YwSoSUuPsr6VHaOMHw_11_2"/>
      <w:bookmarkStart w:id="343" w:name="Tc_8O9UWIT9yU-o3uueg2UUXg_11_0"/>
      <w:bookmarkStart w:id="344" w:name="Tc_GkZ4_KH6PUyISU094eEWxA_10_11"/>
      <w:bookmarkStart w:id="345" w:name="Tc_5stY8NZsbEGFpbLaV-7C4Q_10_5"/>
      <w:bookmarkStart w:id="346" w:name="Tc_cXgcAyDa2UWmv8xW_ri5_A_10_2"/>
      <w:bookmarkStart w:id="347" w:name="Tc_s5ojGONnYUOCP-vzBHiQFQ_10_0"/>
      <w:bookmarkStart w:id="348" w:name="Tc_JhtrLtBneEyF1e8IL0UrKw_9_11"/>
      <w:bookmarkStart w:id="349" w:name="Tc_1htq6X4K9kyHKKO_4tZZOw_9_5"/>
      <w:bookmarkStart w:id="350" w:name="Tc_iSyjNyPVO0uIL9Iu5qsKDg_9_2"/>
      <w:bookmarkStart w:id="351" w:name="Tc_A8D3sA2YWE-cRLBRQ3jCFg_9_0"/>
      <w:bookmarkStart w:id="352" w:name="Tc_4M7jDfnJ-E2Akc2VFXhthw_8_11"/>
      <w:bookmarkStart w:id="353" w:name="Tc_Dvext3faKkKc1g8z6yTXHQ_8_5"/>
      <w:bookmarkStart w:id="354" w:name="Tc_-MDarYPeHkiyMrlCz_-DAw_8_0"/>
      <w:bookmarkStart w:id="355" w:name="Tc_HdtPITuAOUSCXJMo0g9kxw_7_14"/>
      <w:bookmarkStart w:id="356" w:name="Tc_XpU4sLeCbkmP98dd21bZaA_7_11"/>
      <w:bookmarkStart w:id="357" w:name="Tc_KDS-mvYYn0iNAn01mrfd5w_7_8"/>
      <w:bookmarkStart w:id="358" w:name="Tc_H1zFiJV63k2WXytuB-zlsw_7_5"/>
      <w:bookmarkStart w:id="359" w:name="Tc_TePJ4fJVy0qXOZQCfPsX7w_7_0"/>
      <w:bookmarkStart w:id="360" w:name="Tc_fDfszyMyL0S3HEKFTH_L7Q_6_14"/>
      <w:bookmarkStart w:id="361" w:name="Tc_HRHR1enMYEOVRMnezvsb9Q_6_11"/>
      <w:bookmarkStart w:id="362" w:name="Tc__rUirdPQk0SvEyFIZibOhQ_6_0"/>
      <w:bookmarkStart w:id="363" w:name="Tc_NwMfeIsYl02NgOtztTXSlQ_5_13"/>
      <w:bookmarkStart w:id="364" w:name="Tc_WLaksRdJk0q5kGeLFz7ZLA_5_10"/>
      <w:bookmarkStart w:id="365" w:name="Tc_w7xj1YFxy0ehcLdgozWq9A_5_7"/>
      <w:bookmarkStart w:id="366" w:name="Tc_GQzbCLY_20mWPF_hknOcsQ_5_4"/>
      <w:bookmarkStart w:id="367" w:name="Tc_A9sdC-_4kEGTPbVO3Gdh5w_5_0"/>
      <w:bookmarkStart w:id="368" w:name="Tc_GbJ4VbXWnku_FNLxbvW6Xg_4_13"/>
      <w:bookmarkStart w:id="369" w:name="Tc_N_p5UGKclEmWcTdbA95aaA_4_10"/>
      <w:bookmarkStart w:id="370" w:name="Tc_7sNEmzc1BUy6sgQeJM3CGA_4_7"/>
      <w:bookmarkStart w:id="371" w:name="Tc_q_nC7swIW0SAo3eu2gCiAw_4_4"/>
      <w:bookmarkStart w:id="372" w:name="Tc_u_8e8HC-wk-HO7tGKsqFTQ_4_2"/>
      <w:bookmarkStart w:id="373" w:name="Tc_0gLg-f7CiU6d0Vxbz8j3OA_3_13"/>
      <w:bookmarkStart w:id="374" w:name="Tc_jinP6vW-fUOC809hIQ6GJg_3_10"/>
      <w:bookmarkStart w:id="375" w:name="Tc_xgrUjkApTUKZ0Luk-caMMA_3_7"/>
      <w:bookmarkStart w:id="376" w:name="Tc_Zd9JJfeOqkOQa8KXeJGISg_3_2"/>
      <w:bookmarkStart w:id="377" w:name="Tc_wbfKTFt7yUOXSA60EH5OSw_2_13"/>
      <w:bookmarkStart w:id="378" w:name="Tc_eQOSMnrC10aCpnnf6WDKPg_2_7"/>
      <w:bookmarkStart w:id="379" w:name="Tc_tMPxrVtxUUy4AIrAd7DuLg_1_2"/>
      <w:bookmarkStart w:id="380" w:name="_dbb584a0_7a49_4b5e_8380_df3b50f1be8a"/>
      <w:bookmarkStart w:id="381" w:name="Tc_1CQswiNx4UK6jd83l-q58g_13_13"/>
      <w:bookmarkStart w:id="382" w:name="Tc_FpDGhoQXUkyZHkPt9CWpjQ_13_10"/>
      <w:bookmarkStart w:id="383" w:name="Tc_cMTqRoBaSUm74_lxVnszvw_13_7"/>
      <w:bookmarkStart w:id="384" w:name="Tc_DT3KtiMfM0qfd7MRgkvBSg_13_4"/>
      <w:bookmarkStart w:id="385" w:name="Tc_sIj47xTYEkCLrKV2IL5GWQ_13_0"/>
      <w:bookmarkStart w:id="386" w:name="Tc_Vj_ZnMVj8kynXe_Mj6AI3A_12_8"/>
      <w:bookmarkStart w:id="387" w:name="Tc_WkbolzraZEqz1kV71j5pHA_12_5"/>
      <w:bookmarkStart w:id="388" w:name="Tc_gY-P9icPeEKgEzlAn9ZJ6w_12_2"/>
      <w:bookmarkStart w:id="389" w:name="Tc_2KOOIguU_0i7OFl-Ujypkw_12_0"/>
      <w:bookmarkStart w:id="390" w:name="Tc_vsCF_joPvkO8Yxo9dYHtrQ_11_11"/>
      <w:bookmarkStart w:id="391" w:name="Tc_xfJu_mayKkC5oeBfdWlaKA_11_5"/>
      <w:bookmarkStart w:id="392" w:name="Tc_A9-4YwSoSUuPsr6VHaOMHw_11_2"/>
      <w:bookmarkStart w:id="393" w:name="Tc_8O9UWIT9yU-o3uueg2UUXg_11_0"/>
      <w:bookmarkStart w:id="394" w:name="Tc_GkZ4_KH6PUyISU094eEWxA_10_11"/>
      <w:bookmarkStart w:id="395" w:name="Tc_5stY8NZsbEGFpbLaV-7C4Q_10_5"/>
      <w:bookmarkStart w:id="396" w:name="Tc_cXgcAyDa2UWmv8xW_ri5_A_10_2"/>
      <w:bookmarkStart w:id="397" w:name="Tc_s5ojGONnYUOCP-vzBHiQFQ_10_0"/>
      <w:bookmarkStart w:id="398" w:name="Tc_JhtrLtBneEyF1e8IL0UrKw_9_11"/>
      <w:bookmarkStart w:id="399" w:name="Tc_1htq6X4K9kyHKKO_4tZZOw_9_5"/>
      <w:bookmarkStart w:id="400" w:name="Tc_iSyjNyPVO0uIL9Iu5qsKDg_9_2"/>
      <w:bookmarkStart w:id="401" w:name="Tc_A8D3sA2YWE-cRLBRQ3jCFg_9_0"/>
      <w:bookmarkStart w:id="402" w:name="Tc_4M7jDfnJ-E2Akc2VFXhthw_8_11"/>
      <w:bookmarkStart w:id="403" w:name="Tc_Dvext3faKkKc1g8z6yTXHQ_8_5"/>
      <w:bookmarkStart w:id="404" w:name="Tc_-MDarYPeHkiyMrlCz_-DAw_8_0"/>
      <w:bookmarkStart w:id="405" w:name="Tc_HdtPITuAOUSCXJMo0g9kxw_7_14"/>
      <w:bookmarkStart w:id="406" w:name="Tc_XpU4sLeCbkmP98dd21bZaA_7_11"/>
      <w:bookmarkStart w:id="407" w:name="Tc_KDS-mvYYn0iNAn01mrfd5w_7_8"/>
      <w:bookmarkStart w:id="408" w:name="Tc_H1zFiJV63k2WXytuB-zlsw_7_5"/>
      <w:bookmarkStart w:id="409" w:name="Tc_TePJ4fJVy0qXOZQCfPsX7w_7_0"/>
      <w:bookmarkStart w:id="410" w:name="Tc_fDfszyMyL0S3HEKFTH_L7Q_6_14"/>
      <w:bookmarkStart w:id="411" w:name="Tc_HRHR1enMYEOVRMnezvsb9Q_6_11"/>
      <w:bookmarkStart w:id="412" w:name="Tc__rUirdPQk0SvEyFIZibOhQ_6_0"/>
      <w:bookmarkStart w:id="413" w:name="Tc_NwMfeIsYl02NgOtztTXSlQ_5_13"/>
      <w:bookmarkStart w:id="414" w:name="Tc_WLaksRdJk0q5kGeLFz7ZLA_5_10"/>
      <w:bookmarkStart w:id="415" w:name="Tc_w7xj1YFxy0ehcLdgozWq9A_5_7"/>
      <w:bookmarkStart w:id="416" w:name="Tc_GQzbCLY_20mWPF_hknOcsQ_5_4"/>
      <w:bookmarkStart w:id="417" w:name="Tc_A9sdC-_4kEGTPbVO3Gdh5w_5_0"/>
      <w:bookmarkStart w:id="418" w:name="Tc_GbJ4VbXWnku_FNLxbvW6Xg_4_13"/>
      <w:bookmarkStart w:id="419" w:name="Tc_N_p5UGKclEmWcTdbA95aaA_4_10"/>
      <w:bookmarkStart w:id="420" w:name="Tc_7sNEmzc1BUy6sgQeJM3CGA_4_7"/>
      <w:bookmarkStart w:id="421" w:name="Tc_q_nC7swIW0SAo3eu2gCiAw_4_4"/>
      <w:bookmarkStart w:id="422" w:name="Tc_u_8e8HC-wk-HO7tGKsqFTQ_4_2"/>
      <w:bookmarkStart w:id="423" w:name="Tc_0gLg-f7CiU6d0Vxbz8j3OA_3_13"/>
      <w:bookmarkStart w:id="424" w:name="Tc_jinP6vW-fUOC809hIQ6GJg_3_10"/>
      <w:bookmarkStart w:id="425" w:name="Tc_xgrUjkApTUKZ0Luk-caMMA_3_7"/>
      <w:bookmarkStart w:id="426" w:name="Tc_Zd9JJfeOqkOQa8KXeJGISg_3_2"/>
      <w:bookmarkStart w:id="427" w:name="Tc_wbfKTFt7yUOXSA60EH5OSw_2_13"/>
      <w:bookmarkStart w:id="428" w:name="Tc_eQOSMnrC10aCpnnf6WDKPg_2_7"/>
      <w:bookmarkStart w:id="429" w:name="Tc_tMPxrVtxUUy4AIrAd7DuLg_1_2"/>
      <w:bookmarkStart w:id="430" w:name="_dbb584a0_7a49_4b5e_8380_df3b50f1be8a"/>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tbl>
      <w:tblPr>
        <w:tblW w:w="9736" w:type="dxa"/>
        <w:jc w:val="left"/>
        <w:tblInd w:w="0" w:type="dxa"/>
        <w:tblCellMar>
          <w:top w:w="0" w:type="dxa"/>
          <w:left w:w="0" w:type="dxa"/>
          <w:bottom w:w="0" w:type="dxa"/>
          <w:right w:w="0" w:type="dxa"/>
        </w:tblCellMar>
      </w:tblPr>
      <w:tblGrid>
        <w:gridCol w:w="4126"/>
        <w:gridCol w:w="326"/>
        <w:gridCol w:w="766"/>
        <w:gridCol w:w="326"/>
        <w:gridCol w:w="196"/>
        <w:gridCol w:w="375"/>
        <w:gridCol w:w="326"/>
        <w:gridCol w:w="181"/>
        <w:gridCol w:w="586"/>
        <w:gridCol w:w="326"/>
        <w:gridCol w:w="194"/>
        <w:gridCol w:w="677"/>
        <w:gridCol w:w="326"/>
        <w:gridCol w:w="232"/>
        <w:gridCol w:w="773"/>
      </w:tblGrid>
      <w:tr>
        <w:trPr/>
        <w:tc>
          <w:tcPr>
            <w:tcW w:w="4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620010" cy="175260"/>
                      <wp:effectExtent l="0" t="0" r="0" b="0"/>
                      <wp:wrapNone/>
                      <wp:docPr id="33" name="Frame32"/>
                      <a:graphic xmlns:a="http://schemas.openxmlformats.org/drawingml/2006/main">
                        <a:graphicData uri="http://schemas.microsoft.com/office/word/2010/wordprocessingShape">
                          <wps:wsp>
                            <wps:cNvSpPr txBox="1"/>
                            <wps:spPr>
                              <a:xfrm>
                                <a:off x="0" y="0"/>
                                <a:ext cx="2620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6410" cy="175260"/>
                      <wp:effectExtent l="0" t="0" r="0" b="0"/>
                      <wp:wrapNone/>
                      <wp:docPr id="35" name="Frame34"/>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38125" cy="175260"/>
                      <wp:effectExtent l="0" t="0" r="0" b="0"/>
                      <wp:wrapNone/>
                      <wp:docPr id="38" name="Frame37"/>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14935" cy="175260"/>
                      <wp:effectExtent l="0" t="0" r="0" b="0"/>
                      <wp:wrapNone/>
                      <wp:docPr id="40" name="Frame39"/>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72110" cy="175260"/>
                      <wp:effectExtent l="0" t="0" r="0" b="0"/>
                      <wp:wrapNone/>
                      <wp:docPr id="41" name="Frame40"/>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3190" cy="175260"/>
                      <wp:effectExtent l="0" t="0" r="0" b="0"/>
                      <wp:wrapNone/>
                      <wp:docPr id="43" name="Frame42"/>
                      <a:graphic xmlns:a="http://schemas.openxmlformats.org/drawingml/2006/main">
                        <a:graphicData uri="http://schemas.microsoft.com/office/word/2010/wordprocessingShape">
                          <wps:wsp>
                            <wps:cNvSpPr txBox="1"/>
                            <wps:spPr>
                              <a:xfrm>
                                <a:off x="0" y="0"/>
                                <a:ext cx="123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29895" cy="175260"/>
                      <wp:effectExtent l="0" t="0" r="0" b="0"/>
                      <wp:wrapNone/>
                      <wp:docPr id="44" name="Frame43"/>
                      <a:graphic xmlns:a="http://schemas.openxmlformats.org/drawingml/2006/main">
                        <a:graphicData uri="http://schemas.microsoft.com/office/word/2010/wordprocessingShape">
                          <wps:wsp>
                            <wps:cNvSpPr txBox="1"/>
                            <wps:spPr>
                              <a:xfrm>
                                <a:off x="0" y="0"/>
                                <a:ext cx="429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7320" cy="175260"/>
                      <wp:effectExtent l="0" t="0" r="0" b="0"/>
                      <wp:wrapNone/>
                      <wp:docPr id="46" name="Frame45"/>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90855" cy="175260"/>
                      <wp:effectExtent l="0" t="0" r="0" b="0"/>
                      <wp:wrapNone/>
                      <wp:docPr id="47" name="Frame46"/>
                      <a:graphic xmlns:a="http://schemas.openxmlformats.org/drawingml/2006/main">
                        <a:graphicData uri="http://schemas.microsoft.com/office/word/2010/wordprocessingShape">
                          <wps:wsp>
                            <wps:cNvSpPr txBox="1"/>
                            <wps:spPr>
                              <a:xfrm>
                                <a:off x="0" y="0"/>
                                <a:ext cx="490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284"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Thirteen Weeks Ended April 3, 2022</w:t>
            </w:r>
          </w:p>
        </w:tc>
      </w:tr>
      <w:tr>
        <w:trPr/>
        <w:tc>
          <w:tcPr>
            <w:tcW w:w="4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37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shd w:fill="auto" w:val="clear"/>
            <w:vAlign w:val="center"/>
          </w:tcPr>
          <w:p>
            <w:pPr>
              <w:pStyle w:val="TableContents"/>
              <w:spacing w:before="0" w:after="0"/>
              <w:ind w:left="0" w:right="0" w:hanging="0"/>
              <w:rPr/>
            </w:pPr>
            <w:r>
              <w:rPr/>
              <w:t>​</w:t>
            </w:r>
          </w:p>
        </w:tc>
        <w:tc>
          <w:tcPr>
            <w:tcW w:w="194" w:type="dxa"/>
            <w:tcBorders/>
            <w:shd w:fill="auto" w:val="clear"/>
            <w:vAlign w:val="center"/>
          </w:tcPr>
          <w:p>
            <w:pPr>
              <w:pStyle w:val="TableContents"/>
              <w:spacing w:before="0" w:after="0"/>
              <w:ind w:left="0" w:right="0" w:hanging="0"/>
              <w:jc w:val="center"/>
              <w:rPr/>
            </w:pPr>
            <w:r>
              <w:rPr/>
              <w:t>​</w:t>
            </w:r>
          </w:p>
        </w:tc>
        <w:tc>
          <w:tcPr>
            <w:tcW w:w="67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4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6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shd w:fill="auto" w:val="clear"/>
            <w:vAlign w:val="center"/>
          </w:tcPr>
          <w:p>
            <w:pPr>
              <w:pStyle w:val="TableContents"/>
              <w:spacing w:before="0" w:after="0"/>
              <w:ind w:left="0" w:right="0" w:hanging="0"/>
              <w:rPr/>
            </w:pPr>
            <w:r>
              <w:rPr/>
              <w:t>​</w:t>
            </w:r>
          </w:p>
        </w:tc>
        <w:tc>
          <w:tcPr>
            <w:tcW w:w="7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shd w:fill="auto" w:val="clear"/>
            <w:vAlign w:val="center"/>
          </w:tcPr>
          <w:p>
            <w:pPr>
              <w:pStyle w:val="TableContents"/>
              <w:spacing w:before="0" w:after="0"/>
              <w:ind w:left="0" w:right="0" w:hanging="0"/>
              <w:rPr/>
            </w:pPr>
            <w:r>
              <w:rPr/>
              <w:t>​</w:t>
            </w:r>
          </w:p>
        </w:tc>
        <w:tc>
          <w:tcPr>
            <w:tcW w:w="8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0"/>
              <w:ind w:left="0" w:right="0" w:hanging="0"/>
              <w:rPr/>
            </w:pPr>
            <w:r>
              <w:rPr/>
              <w:t>​</w:t>
            </w:r>
          </w:p>
        </w:tc>
        <w:tc>
          <w:tcPr>
            <w:tcW w:w="10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4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0"/>
              <w:ind w:left="0" w:right="0" w:hanging="0"/>
              <w:rPr/>
            </w:pPr>
            <w:r>
              <w:rPr/>
              <w:t>    </w:t>
            </w:r>
          </w:p>
        </w:tc>
        <w:tc>
          <w:tcPr>
            <w:tcW w:w="7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shd w:fill="auto" w:val="clear"/>
            <w:vAlign w:val="center"/>
          </w:tcPr>
          <w:p>
            <w:pPr>
              <w:pStyle w:val="TableContents"/>
              <w:spacing w:before="0" w:after="0"/>
              <w:ind w:left="0" w:right="0" w:hanging="0"/>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shd w:fill="auto" w:val="clear"/>
            <w:vAlign w:val="center"/>
          </w:tcPr>
          <w:p>
            <w:pPr>
              <w:pStyle w:val="TableContents"/>
              <w:spacing w:before="0" w:after="0"/>
              <w:ind w:left="0" w:right="0" w:hanging="0"/>
              <w:rPr/>
            </w:pPr>
            <w:r>
              <w:rPr/>
              <w:t>    </w:t>
            </w:r>
          </w:p>
        </w:tc>
        <w:tc>
          <w:tcPr>
            <w:tcW w:w="10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4126" w:type="dxa"/>
            <w:tcBorders/>
            <w:shd w:fill="CCEEFF"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January 2, 2022</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38,421,124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222,080</w:t>
            </w:r>
          </w:p>
        </w:tc>
        <w:tc>
          <w:tcPr>
            <w:tcW w:w="326"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(177,596)</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44,522</w:t>
            </w:r>
          </w:p>
        </w:tc>
      </w:tr>
      <w:tr>
        <w:trPr/>
        <w:tc>
          <w:tcPr>
            <w:tcW w:w="412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common stock for vesting of restricted stock units (RSUs)</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228,387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auto" w:val="clear"/>
            <w:vAlign w:val="center"/>
          </w:tcPr>
          <w:p>
            <w:pPr>
              <w:pStyle w:val="TableContents"/>
              <w:spacing w:before="0" w:after="0"/>
              <w:ind w:left="0" w:right="0" w:hanging="0"/>
              <w:rPr/>
            </w:pPr>
            <w:r>
              <w:rPr/>
              <w:t>​</w:t>
            </w:r>
          </w:p>
        </w:tc>
        <w:tc>
          <w:tcPr>
            <w:tcW w:w="194"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pPr>
            <w:r>
              <w:rPr/>
              <w:t>—</w:t>
            </w:r>
          </w:p>
        </w:tc>
      </w:tr>
      <w:tr>
        <w:trPr/>
        <w:tc>
          <w:tcPr>
            <w:tcW w:w="412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common stock for special compensation award</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208,914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rPr/>
            </w:pPr>
            <w:r>
              <w:rPr/>
              <w:t>​</w:t>
            </w:r>
          </w:p>
        </w:tc>
        <w:tc>
          <w:tcPr>
            <w:tcW w:w="6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pPr>
            <w:r>
              <w:rPr/>
              <w:t>—</w:t>
            </w:r>
          </w:p>
        </w:tc>
      </w:tr>
      <w:tr>
        <w:trPr/>
        <w:tc>
          <w:tcPr>
            <w:tcW w:w="412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Shares withheld for withholding tax on RSUs</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(28,295)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(265)</w:t>
            </w:r>
          </w:p>
        </w:tc>
        <w:tc>
          <w:tcPr>
            <w:tcW w:w="326" w:type="dxa"/>
            <w:tcBorders/>
            <w:shd w:fill="auto" w:val="clear"/>
            <w:vAlign w:val="center"/>
          </w:tcPr>
          <w:p>
            <w:pPr>
              <w:pStyle w:val="TableContents"/>
              <w:spacing w:before="0" w:after="0"/>
              <w:ind w:left="0" w:right="0" w:hanging="0"/>
              <w:rPr/>
            </w:pPr>
            <w:r>
              <w:rPr/>
              <w:t>​</w:t>
            </w:r>
          </w:p>
        </w:tc>
        <w:tc>
          <w:tcPr>
            <w:tcW w:w="194"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(265)</w:t>
            </w:r>
          </w:p>
        </w:tc>
      </w:tr>
      <w:tr>
        <w:trPr/>
        <w:tc>
          <w:tcPr>
            <w:tcW w:w="412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Offering costs related to Initial Public Offering (IPO)</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c>
          <w:tcPr>
            <w:tcW w:w="326"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rPr/>
            </w:pPr>
            <w:r>
              <w:rPr/>
              <w:t>​</w:t>
            </w:r>
          </w:p>
        </w:tc>
        <w:tc>
          <w:tcPr>
            <w:tcW w:w="6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r>
      <w:tr>
        <w:trPr/>
        <w:tc>
          <w:tcPr>
            <w:tcW w:w="412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Settlement of distributions payable to former Class P unit holders</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2,648</w:t>
            </w:r>
          </w:p>
        </w:tc>
        <w:tc>
          <w:tcPr>
            <w:tcW w:w="326" w:type="dxa"/>
            <w:tcBorders/>
            <w:shd w:fill="auto" w:val="clear"/>
            <w:vAlign w:val="center"/>
          </w:tcPr>
          <w:p>
            <w:pPr>
              <w:pStyle w:val="TableContents"/>
              <w:spacing w:before="0" w:after="0"/>
              <w:ind w:left="0" w:right="0" w:hanging="0"/>
              <w:rPr/>
            </w:pPr>
            <w:r>
              <w:rPr/>
              <w:t>​</w:t>
            </w:r>
          </w:p>
        </w:tc>
        <w:tc>
          <w:tcPr>
            <w:tcW w:w="194"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773"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2,648</w:t>
            </w:r>
          </w:p>
        </w:tc>
      </w:tr>
      <w:tr>
        <w:trPr/>
        <w:tc>
          <w:tcPr>
            <w:tcW w:w="412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Equity-based compensation expense</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5,126</w:t>
            </w:r>
          </w:p>
        </w:tc>
        <w:tc>
          <w:tcPr>
            <w:tcW w:w="326" w:type="dxa"/>
            <w:tcBorders/>
            <w:shd w:fill="CCEEFF" w:val="clear"/>
            <w:vAlign w:val="center"/>
          </w:tcPr>
          <w:p>
            <w:pPr>
              <w:pStyle w:val="TableContents"/>
              <w:spacing w:before="0" w:after="0"/>
              <w:ind w:left="0" w:right="0" w:hanging="0"/>
              <w:rPr/>
            </w:pPr>
            <w:r>
              <w:rPr/>
              <w:t>​</w:t>
            </w:r>
          </w:p>
        </w:tc>
        <w:tc>
          <w:tcPr>
            <w:tcW w:w="194" w:type="dxa"/>
            <w:tcBorders/>
            <w:shd w:fill="CCEEFF" w:val="clear"/>
            <w:vAlign w:val="center"/>
          </w:tcPr>
          <w:p>
            <w:pPr>
              <w:pStyle w:val="TableContents"/>
              <w:spacing w:before="0" w:after="0"/>
              <w:ind w:left="0" w:right="0" w:hanging="0"/>
              <w:rPr/>
            </w:pPr>
            <w:r>
              <w:rPr/>
              <w:t>​</w:t>
            </w:r>
          </w:p>
        </w:tc>
        <w:tc>
          <w:tcPr>
            <w:tcW w:w="67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773"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5,126</w:t>
            </w:r>
          </w:p>
        </w:tc>
      </w:tr>
      <w:tr>
        <w:trPr/>
        <w:tc>
          <w:tcPr>
            <w:tcW w:w="412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income and comprehensive income</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7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2,043</w:t>
            </w:r>
          </w:p>
        </w:tc>
        <w:tc>
          <w:tcPr>
            <w:tcW w:w="326" w:type="dxa"/>
            <w:tcBorders/>
            <w:shd w:fill="auto" w:val="clear"/>
            <w:vAlign w:val="center"/>
          </w:tcPr>
          <w:p>
            <w:pPr>
              <w:pStyle w:val="TableContents"/>
              <w:spacing w:before="0" w:after="0"/>
              <w:ind w:left="0" w:right="0" w:hanging="0"/>
              <w:rPr/>
            </w:pPr>
            <w:r>
              <w:rPr/>
              <w:t>​</w:t>
            </w:r>
          </w:p>
        </w:tc>
        <w:tc>
          <w:tcPr>
            <w:tcW w:w="23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7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2,043</w:t>
            </w:r>
          </w:p>
        </w:tc>
      </w:tr>
      <w:tr>
        <w:trPr/>
        <w:tc>
          <w:tcPr>
            <w:tcW w:w="4126" w:type="dxa"/>
            <w:tcBorders/>
            <w:shd w:fill="CCEEFF"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April 3, 2022</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38,830,130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229,298</w:t>
            </w:r>
          </w:p>
        </w:tc>
        <w:tc>
          <w:tcPr>
            <w:tcW w:w="326" w:type="dxa"/>
            <w:tcBorders/>
            <w:shd w:fill="CCEEFF" w:val="clear"/>
            <w:vAlign w:val="center"/>
          </w:tcPr>
          <w:p>
            <w:pPr>
              <w:pStyle w:val="TableContents"/>
              <w:spacing w:before="0" w:after="0"/>
              <w:ind w:left="0" w:right="0" w:hanging="0"/>
              <w:rPr/>
            </w:pPr>
            <w:r>
              <w:rPr/>
              <w:t>​</w:t>
            </w:r>
          </w:p>
        </w:tc>
        <w:tc>
          <w:tcPr>
            <w:tcW w:w="19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(175,553)</w:t>
            </w:r>
          </w:p>
        </w:tc>
        <w:tc>
          <w:tcPr>
            <w:tcW w:w="326" w:type="dxa"/>
            <w:tcBorders/>
            <w:shd w:fill="CCEEFF" w:val="clear"/>
            <w:vAlign w:val="center"/>
          </w:tcPr>
          <w:p>
            <w:pPr>
              <w:pStyle w:val="TableContents"/>
              <w:spacing w:before="0" w:after="0"/>
              <w:ind w:left="0" w:right="0" w:hanging="0"/>
              <w:rPr/>
            </w:pPr>
            <w:r>
              <w:rPr/>
              <w:t>​</w:t>
            </w:r>
          </w:p>
        </w:tc>
        <w:tc>
          <w:tcPr>
            <w:tcW w:w="23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3"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53,784</w:t>
            </w:r>
          </w:p>
        </w:tc>
      </w:tr>
    </w:tbl>
    <w:p>
      <w:pPr>
        <w:pStyle w:val="TextBody"/>
        <w:spacing w:before="0" w:after="0"/>
        <w:ind w:left="0" w:right="0" w:hanging="0"/>
        <w:rPr/>
      </w:pPr>
      <w:r>
        <w:rPr/>
        <w:t>​</w:t>
      </w:r>
    </w:p>
    <w:p>
      <w:pPr>
        <w:pStyle w:val="TextBody"/>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4"/>
        </w:rPr>
      </w:pPr>
      <w:bookmarkStart w:id="431" w:name="_60fa6ece_5556_47cd_8742_e5ac7cd22444"/>
      <w:bookmarkEnd w:id="431"/>
      <w:r>
        <w:rPr>
          <w:rFonts w:ascii="Times New Roman;Times;serif" w:hAnsi="Times New Roman;Times;serif"/>
          <w:b/>
          <w:sz w:val="24"/>
        </w:rPr>
        <w:t xml:space="preserve">LULU’S FASHION LOUNGE HOLDINGS, INC. </w:t>
      </w:r>
    </w:p>
    <w:p>
      <w:pPr>
        <w:pStyle w:val="TextBody"/>
        <w:spacing w:before="0" w:after="0"/>
        <w:ind w:left="0" w:right="0" w:hanging="0"/>
        <w:jc w:val="center"/>
        <w:rPr>
          <w:rFonts w:ascii="Times New Roman;Times;serif" w:hAnsi="Times New Roman;Times;serif"/>
          <w:b/>
          <w:sz w:val="24"/>
        </w:rPr>
      </w:pPr>
      <w:bookmarkStart w:id="432" w:name="CondensedConsolidatedStatementsofCashFlo"/>
      <w:bookmarkEnd w:id="432"/>
      <w:r>
        <w:rPr>
          <w:rFonts w:ascii="Times New Roman;Times;serif" w:hAnsi="Times New Roman;Times;serif"/>
          <w:b/>
          <w:sz w:val="24"/>
        </w:rPr>
        <w:t>Condensed Consolidated Statements of Cash Flows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433" w:name="Tc_GShIlSFDdkKruLY5WXTxIg_46_5"/>
      <w:bookmarkStart w:id="434" w:name="Tc_eCbEFuZQTECtZmQPkiMbUw_44_5"/>
      <w:bookmarkStart w:id="435" w:name="Tc_or6e8TiGhUSXWUD1dos1mQ_44_2"/>
      <w:bookmarkStart w:id="436" w:name="Tc_ukGPGbVNxk-LmHVpsTAitA_44_0"/>
      <w:bookmarkStart w:id="437" w:name="Tc_32_J1qnOyEWzIpDIewDe3g_43_3"/>
      <w:bookmarkStart w:id="438" w:name="Tc_OoX4EQUMokiKWoCqTQjnNA_43_0"/>
      <w:bookmarkStart w:id="439" w:name="Tc_rHnnCtHEx0OuFtgLPEX-pw_42_5"/>
      <w:bookmarkStart w:id="440" w:name="Tc_TWYfzzqN4kKRLAb-oZj4nQ_42_2"/>
      <w:bookmarkStart w:id="441" w:name="Tc_LS0ZmsHf6UysNKPHT5oBMg_42_0"/>
      <w:bookmarkStart w:id="442" w:name="Tc_jeAbaWX9CkOfy3rwCLp-iw_41_0"/>
      <w:bookmarkStart w:id="443" w:name="Tc_Mtc6UwQG4E2pBy5Rsuls-Q_39_5"/>
      <w:bookmarkStart w:id="444" w:name="Tc_pPkY_sB0hkqCAPwYU3QMpA_39_2"/>
      <w:bookmarkStart w:id="445" w:name="Tc_NkMfdPxRxkWwJfora261hg_39_0"/>
      <w:bookmarkStart w:id="446" w:name="Tc_psavg5ksu0qmch_vp-nkQA_38_0"/>
      <w:bookmarkStart w:id="447" w:name="Tc_UT1lwHJEskalJQjjmlDiXg_37_0"/>
      <w:bookmarkStart w:id="448" w:name="Tc_LjzLSEKAOkC8XKhDPm5zgw_36_0"/>
      <w:bookmarkStart w:id="449" w:name="Tc_PTQRaGqrnU6jzSdyskvOUw_35_0"/>
      <w:bookmarkStart w:id="450" w:name="Tc_Y1CpTAkKJEqy8tL0Qg1M1Q_34_6"/>
      <w:bookmarkStart w:id="451" w:name="Tc_C-zDcJh1tUCAbVY-AGe2Qg_34_0"/>
      <w:bookmarkStart w:id="452" w:name="Tc_a-VFhEjsGUOMeGyWasGhAA_33_3"/>
      <w:bookmarkStart w:id="453" w:name="Tc_XCdctsk0yEqKpFu8kEWhnA_33_0"/>
      <w:bookmarkStart w:id="454" w:name="Tc_fEQdYZi0jEeJGVdEDb5NZQ_32_6"/>
      <w:bookmarkStart w:id="455" w:name="Tc_0cAw62BaVkuD8Zhv5rhZcw_32_0"/>
      <w:bookmarkStart w:id="456" w:name="Tc_f8fCZzAtBkODu0gX_V6r4A_31_6"/>
      <w:bookmarkStart w:id="457" w:name="Tc__qJmSeDXnUGEnBu3lQyMHw_31_0"/>
      <w:bookmarkStart w:id="458" w:name="Tc_pGPGil4Xdka6oblXNmcPYg_30_0"/>
      <w:bookmarkStart w:id="459" w:name="Tc_Ym-zN-3jTEKLwqmdbzLVkw_29_6"/>
      <w:bookmarkStart w:id="460" w:name="Tc_XDUQrhQdyUm6-0PPN6mE_w_29_0"/>
      <w:bookmarkStart w:id="461" w:name="Tc_7jUW6Hrg3EePI541PKL8oQ_28_0"/>
      <w:bookmarkStart w:id="462" w:name="Tc_BQHXhqx6Ck2jdHOQyGqHfw_27_0"/>
      <w:bookmarkStart w:id="463" w:name="Tc_JrjxPgnMaEKc7YZubW2bcw_26_3"/>
      <w:bookmarkStart w:id="464" w:name="Tc_KYLCjyXuEkqF2ptVX0Ie-Q_26_0"/>
      <w:bookmarkStart w:id="465" w:name="Tc_wJM7Ba70_0WegE7PTbezlQ_25_0"/>
      <w:bookmarkStart w:id="466" w:name="Tc_rNshrS6WD0y4PTqCkGTBxA_24_0"/>
      <w:bookmarkStart w:id="467" w:name="Tc_yjdZBrprQkijA4aq2tBSKA_23_0"/>
      <w:bookmarkStart w:id="468" w:name="Tc_C2VVvQfn60mz8MGdYuXOHg_22_0"/>
      <w:bookmarkStart w:id="469" w:name="Tc_4J5XpIdynE6pa5yCG9T5Ew_21_0"/>
      <w:bookmarkStart w:id="470" w:name="Tc_G7w5PVPONUiQUUscFVCoRg_20_0"/>
      <w:bookmarkStart w:id="471" w:name="Tc_GLlpgNucfESj-1EqYIqpfw_19_0"/>
      <w:bookmarkStart w:id="472" w:name="Tc_pj_untBDHE6DsM2ygzEitg_18_0"/>
      <w:bookmarkStart w:id="473" w:name="Tc_B8ndgVrn8UOTsfxGD3iBhg_17_0"/>
      <w:bookmarkStart w:id="474" w:name="Tc_7LWqvJQXAUinpDtURK3Beg_16_0"/>
      <w:bookmarkStart w:id="475" w:name="Tc_93r8BcJ9FEO4pO0tmw2q4A_15_0"/>
      <w:bookmarkStart w:id="476" w:name="Tc_XhcfPzsLHke4I1O7m9Q9gw_14_0"/>
      <w:bookmarkStart w:id="477" w:name="Tc_wE-PNo-JpECxsYGf-u8DTA_13_0"/>
      <w:bookmarkStart w:id="478" w:name="Tc_-TofNabCwUCPmXID5eM_vw_12_0"/>
      <w:bookmarkStart w:id="479" w:name="Tc_Q4DS7KqZ106feoECKrouRA_11_0"/>
      <w:bookmarkStart w:id="480" w:name="Tc_f9-WiJf-CUKgThvxifugkg_10_0"/>
      <w:bookmarkStart w:id="481" w:name="Tc_Bioc0ZxaUEmanZUkpKRklw_9_0"/>
      <w:bookmarkStart w:id="482" w:name="Tc_3P-DnwxBvke_b9I2qxvDeA_8_0"/>
      <w:bookmarkStart w:id="483" w:name="Tc_F0GVvcvXd029sb15T-Kv7w_7_0"/>
      <w:bookmarkStart w:id="484" w:name="Tc_t_t2V-khhEWUyoJLo4ZHcA_6_0"/>
      <w:bookmarkStart w:id="485" w:name="Tc_hxD-mHeWYEG7IjLcz0pfHg_5_5"/>
      <w:bookmarkStart w:id="486" w:name="Tc_9zWAqzv2Xku_ENcj4yOwJA_5_2"/>
      <w:bookmarkStart w:id="487" w:name="Tc_rBXCdC65kUqhfsgU-UJ9dA_5_0"/>
      <w:bookmarkStart w:id="488" w:name="Tc_lX_eZO0IC0-nmO2LYnVf-A_4_0"/>
      <w:bookmarkStart w:id="489" w:name="Tc_mS6Zv4LU6U65PEGqZaqRzg_3_5"/>
      <w:bookmarkStart w:id="490" w:name="Tc_U0C9LZNRfUu8LpLCxtz-OA_3_2"/>
      <w:bookmarkStart w:id="491" w:name="Tc_N4KQWwOncECbToADkj4aVg_2_5"/>
      <w:bookmarkStart w:id="492" w:name="Tc_mQ8Sotej-0G1HQEuI8QA_A_2_2"/>
      <w:bookmarkStart w:id="493" w:name="Tc_yLNobDiwh0WNUQ74vu0f5Q_1_2"/>
      <w:bookmarkStart w:id="494" w:name="_9e91f264_e05c_4b91_9aa3_8f6652224d63"/>
      <w:bookmarkStart w:id="495" w:name="Tc_GShIlSFDdkKruLY5WXTxIg_46_5"/>
      <w:bookmarkStart w:id="496" w:name="Tc_eCbEFuZQTECtZmQPkiMbUw_44_5"/>
      <w:bookmarkStart w:id="497" w:name="Tc_or6e8TiGhUSXWUD1dos1mQ_44_2"/>
      <w:bookmarkStart w:id="498" w:name="Tc_ukGPGbVNxk-LmHVpsTAitA_44_0"/>
      <w:bookmarkStart w:id="499" w:name="Tc_32_J1qnOyEWzIpDIewDe3g_43_3"/>
      <w:bookmarkStart w:id="500" w:name="Tc_OoX4EQUMokiKWoCqTQjnNA_43_0"/>
      <w:bookmarkStart w:id="501" w:name="Tc_rHnnCtHEx0OuFtgLPEX-pw_42_5"/>
      <w:bookmarkStart w:id="502" w:name="Tc_TWYfzzqN4kKRLAb-oZj4nQ_42_2"/>
      <w:bookmarkStart w:id="503" w:name="Tc_LS0ZmsHf6UysNKPHT5oBMg_42_0"/>
      <w:bookmarkStart w:id="504" w:name="Tc_jeAbaWX9CkOfy3rwCLp-iw_41_0"/>
      <w:bookmarkStart w:id="505" w:name="Tc_Mtc6UwQG4E2pBy5Rsuls-Q_39_5"/>
      <w:bookmarkStart w:id="506" w:name="Tc_pPkY_sB0hkqCAPwYU3QMpA_39_2"/>
      <w:bookmarkStart w:id="507" w:name="Tc_NkMfdPxRxkWwJfora261hg_39_0"/>
      <w:bookmarkStart w:id="508" w:name="Tc_psavg5ksu0qmch_vp-nkQA_38_0"/>
      <w:bookmarkStart w:id="509" w:name="Tc_UT1lwHJEskalJQjjmlDiXg_37_0"/>
      <w:bookmarkStart w:id="510" w:name="Tc_LjzLSEKAOkC8XKhDPm5zgw_36_0"/>
      <w:bookmarkStart w:id="511" w:name="Tc_PTQRaGqrnU6jzSdyskvOUw_35_0"/>
      <w:bookmarkStart w:id="512" w:name="Tc_Y1CpTAkKJEqy8tL0Qg1M1Q_34_6"/>
      <w:bookmarkStart w:id="513" w:name="Tc_C-zDcJh1tUCAbVY-AGe2Qg_34_0"/>
      <w:bookmarkStart w:id="514" w:name="Tc_a-VFhEjsGUOMeGyWasGhAA_33_3"/>
      <w:bookmarkStart w:id="515" w:name="Tc_XCdctsk0yEqKpFu8kEWhnA_33_0"/>
      <w:bookmarkStart w:id="516" w:name="Tc_fEQdYZi0jEeJGVdEDb5NZQ_32_6"/>
      <w:bookmarkStart w:id="517" w:name="Tc_0cAw62BaVkuD8Zhv5rhZcw_32_0"/>
      <w:bookmarkStart w:id="518" w:name="Tc_f8fCZzAtBkODu0gX_V6r4A_31_6"/>
      <w:bookmarkStart w:id="519" w:name="Tc__qJmSeDXnUGEnBu3lQyMHw_31_0"/>
      <w:bookmarkStart w:id="520" w:name="Tc_pGPGil4Xdka6oblXNmcPYg_30_0"/>
      <w:bookmarkStart w:id="521" w:name="Tc_Ym-zN-3jTEKLwqmdbzLVkw_29_6"/>
      <w:bookmarkStart w:id="522" w:name="Tc_XDUQrhQdyUm6-0PPN6mE_w_29_0"/>
      <w:bookmarkStart w:id="523" w:name="Tc_7jUW6Hrg3EePI541PKL8oQ_28_0"/>
      <w:bookmarkStart w:id="524" w:name="Tc_BQHXhqx6Ck2jdHOQyGqHfw_27_0"/>
      <w:bookmarkStart w:id="525" w:name="Tc_JrjxPgnMaEKc7YZubW2bcw_26_3"/>
      <w:bookmarkStart w:id="526" w:name="Tc_KYLCjyXuEkqF2ptVX0Ie-Q_26_0"/>
      <w:bookmarkStart w:id="527" w:name="Tc_wJM7Ba70_0WegE7PTbezlQ_25_0"/>
      <w:bookmarkStart w:id="528" w:name="Tc_rNshrS6WD0y4PTqCkGTBxA_24_0"/>
      <w:bookmarkStart w:id="529" w:name="Tc_yjdZBrprQkijA4aq2tBSKA_23_0"/>
      <w:bookmarkStart w:id="530" w:name="Tc_C2VVvQfn60mz8MGdYuXOHg_22_0"/>
      <w:bookmarkStart w:id="531" w:name="Tc_4J5XpIdynE6pa5yCG9T5Ew_21_0"/>
      <w:bookmarkStart w:id="532" w:name="Tc_G7w5PVPONUiQUUscFVCoRg_20_0"/>
      <w:bookmarkStart w:id="533" w:name="Tc_GLlpgNucfESj-1EqYIqpfw_19_0"/>
      <w:bookmarkStart w:id="534" w:name="Tc_pj_untBDHE6DsM2ygzEitg_18_0"/>
      <w:bookmarkStart w:id="535" w:name="Tc_B8ndgVrn8UOTsfxGD3iBhg_17_0"/>
      <w:bookmarkStart w:id="536" w:name="Tc_7LWqvJQXAUinpDtURK3Beg_16_0"/>
      <w:bookmarkStart w:id="537" w:name="Tc_93r8BcJ9FEO4pO0tmw2q4A_15_0"/>
      <w:bookmarkStart w:id="538" w:name="Tc_XhcfPzsLHke4I1O7m9Q9gw_14_0"/>
      <w:bookmarkStart w:id="539" w:name="Tc_wE-PNo-JpECxsYGf-u8DTA_13_0"/>
      <w:bookmarkStart w:id="540" w:name="Tc_-TofNabCwUCPmXID5eM_vw_12_0"/>
      <w:bookmarkStart w:id="541" w:name="Tc_Q4DS7KqZ106feoECKrouRA_11_0"/>
      <w:bookmarkStart w:id="542" w:name="Tc_f9-WiJf-CUKgThvxifugkg_10_0"/>
      <w:bookmarkStart w:id="543" w:name="Tc_Bioc0ZxaUEmanZUkpKRklw_9_0"/>
      <w:bookmarkStart w:id="544" w:name="Tc_3P-DnwxBvke_b9I2qxvDeA_8_0"/>
      <w:bookmarkStart w:id="545" w:name="Tc_F0GVvcvXd029sb15T-Kv7w_7_0"/>
      <w:bookmarkStart w:id="546" w:name="Tc_t_t2V-khhEWUyoJLo4ZHcA_6_0"/>
      <w:bookmarkStart w:id="547" w:name="Tc_hxD-mHeWYEG7IjLcz0pfHg_5_5"/>
      <w:bookmarkStart w:id="548" w:name="Tc_9zWAqzv2Xku_ENcj4yOwJA_5_2"/>
      <w:bookmarkStart w:id="549" w:name="Tc_rBXCdC65kUqhfsgU-UJ9dA_5_0"/>
      <w:bookmarkStart w:id="550" w:name="Tc_lX_eZO0IC0-nmO2LYnVf-A_4_0"/>
      <w:bookmarkStart w:id="551" w:name="Tc_mS6Zv4LU6U65PEGqZaqRzg_3_5"/>
      <w:bookmarkStart w:id="552" w:name="Tc_U0C9LZNRfUu8LpLCxtz-OA_3_2"/>
      <w:bookmarkStart w:id="553" w:name="Tc_N4KQWwOncECbToADkj4aVg_2_5"/>
      <w:bookmarkStart w:id="554" w:name="Tc_mQ8Sotej-0G1HQEuI8QA_A_2_2"/>
      <w:bookmarkStart w:id="555" w:name="Tc_yLNobDiwh0WNUQ74vu0f5Q_1_2"/>
      <w:bookmarkStart w:id="556" w:name="_9e91f264_e05c_4b91_9aa3_8f6652224d63"/>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tbl>
      <w:tblPr>
        <w:tblW w:w="8665" w:type="dxa"/>
        <w:jc w:val="left"/>
        <w:tblInd w:w="0" w:type="dxa"/>
        <w:tblCellMar>
          <w:top w:w="0" w:type="dxa"/>
          <w:left w:w="0" w:type="dxa"/>
          <w:bottom w:w="0" w:type="dxa"/>
          <w:right w:w="0" w:type="dxa"/>
        </w:tblCellMar>
      </w:tblPr>
      <w:tblGrid>
        <w:gridCol w:w="6136"/>
        <w:gridCol w:w="326"/>
        <w:gridCol w:w="196"/>
        <w:gridCol w:w="631"/>
        <w:gridCol w:w="326"/>
        <w:gridCol w:w="228"/>
        <w:gridCol w:w="822"/>
      </w:tblGrid>
      <w:tr>
        <w:trPr/>
        <w:tc>
          <w:tcPr>
            <w:tcW w:w="61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rPr/>
            </w:pPr>
            <w:r>
              <w:rPr/>
              <w:t>​</w:t>
            </w:r>
          </w:p>
        </w:tc>
      </w:tr>
      <w:tr>
        <w:trPr/>
        <w:tc>
          <w:tcPr>
            <w:tcW w:w="61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20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61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26" w:type="dxa"/>
            <w:tcBorders/>
            <w:shd w:fill="auto" w:val="clear"/>
            <w:vAlign w:val="center"/>
          </w:tcPr>
          <w:p>
            <w:pPr>
              <w:pStyle w:val="TableContents"/>
              <w:spacing w:before="0" w:after="0"/>
              <w:ind w:left="0" w:right="0" w:hanging="0"/>
              <w:jc w:val="center"/>
              <w:rPr/>
            </w:pPr>
            <w:r>
              <w:rPr/>
              <w:t>​</w:t>
            </w:r>
          </w:p>
        </w:tc>
        <w:tc>
          <w:tcPr>
            <w:tcW w:w="105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r>
      <w:tr>
        <w:trPr/>
        <w:tc>
          <w:tcPr>
            <w:tcW w:w="61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10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136" w:type="dxa"/>
            <w:tcBorders/>
            <w:shd w:fill="CCEEFF" w:val="clear"/>
            <w:vAlign w:val="center"/>
          </w:tcPr>
          <w:p>
            <w:pPr>
              <w:pStyle w:val="TableContents"/>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pPr>
            <w:r>
              <w:rPr/>
              <w:t>  </w:t>
            </w:r>
          </w:p>
        </w:tc>
      </w:tr>
      <w:tr>
        <w:trPr/>
        <w:tc>
          <w:tcPr>
            <w:tcW w:w="6136" w:type="dxa"/>
            <w:tcBorders/>
            <w:shd w:fill="auto"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Net (loss) income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(5,618)</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2,043</w:t>
            </w:r>
          </w:p>
        </w:tc>
      </w:tr>
      <w:tr>
        <w:trPr/>
        <w:tc>
          <w:tcPr>
            <w:tcW w:w="6136" w:type="dxa"/>
            <w:tcBorders/>
            <w:shd w:fill="CCEEFF"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Adjustments to reconcile net (loss) income to 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pPr>
            <w:r>
              <w:rPr/>
              <w:t>​</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1,121</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841</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864</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789</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Amortization of debt discount and debt issuance costs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Equity-based compensation expense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4,698</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5,758</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(2,105)</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(554)</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pPr>
            <w:r>
              <w:rPr/>
              <w:t>​</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(3,326)</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(2,213)</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Inventories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(8,644)</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(19,892)</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Assets for recovery</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(2,862)</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(2,928)</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taxes (receivable) payable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1,388</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1,636</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Prepaid and other 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(295)</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1,719</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7,136</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17,572</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28,554</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(803)</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26" w:type="dxa"/>
            <w:tcBorders/>
            <w:shd w:fill="auto" w:val="clear"/>
            <w:vAlign w:val="center"/>
          </w:tcPr>
          <w:p>
            <w:pPr>
              <w:pStyle w:val="TableContents"/>
              <w:spacing w:before="0" w:after="0"/>
              <w:ind w:left="0" w:right="0" w:hanging="0"/>
              <w:rPr/>
            </w:pPr>
            <w:r>
              <w:rPr/>
              <w:t> </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(470)</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3,705</w:t>
            </w:r>
          </w:p>
        </w:tc>
        <w:tc>
          <w:tcPr>
            <w:tcW w:w="326" w:type="dxa"/>
            <w:tcBorders/>
            <w:shd w:fill="CCEEFF" w:val="clear"/>
            <w:vAlign w:val="center"/>
          </w:tcPr>
          <w:p>
            <w:pPr>
              <w:pStyle w:val="TableContents"/>
              <w:spacing w:before="0" w:after="0"/>
              <w:ind w:left="0" w:right="0" w:hanging="0"/>
              <w:rPr/>
            </w:pPr>
            <w:r>
              <w:rPr/>
              <w:t> </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20,248</w:t>
            </w:r>
          </w:p>
        </w:tc>
      </w:tr>
      <w:tr>
        <w:trPr/>
        <w:tc>
          <w:tcPr>
            <w:tcW w:w="6136" w:type="dxa"/>
            <w:tcBorders/>
            <w:shd w:fill="auto" w:val="clear"/>
            <w:vAlign w:val="center"/>
          </w:tcPr>
          <w:p>
            <w:pPr>
              <w:pStyle w:val="TableContents"/>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pPr>
            <w:r>
              <w:rPr/>
              <w:t>  </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Capitalized software development costs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(551)</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(600)</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(518)</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(976)</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(1,069)</w:t>
            </w:r>
          </w:p>
        </w:tc>
        <w:tc>
          <w:tcPr>
            <w:tcW w:w="326" w:type="dxa"/>
            <w:tcBorders/>
            <w:shd w:fill="auto" w:val="clear"/>
            <w:vAlign w:val="center"/>
          </w:tcPr>
          <w:p>
            <w:pPr>
              <w:pStyle w:val="TableContents"/>
              <w:spacing w:before="0" w:after="0"/>
              <w:ind w:left="0" w:right="0" w:hanging="0"/>
              <w:rPr/>
            </w:pPr>
            <w:r>
              <w:rPr/>
              <w:t> </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(1,654)</w:t>
            </w:r>
          </w:p>
        </w:tc>
      </w:tr>
      <w:tr>
        <w:trPr/>
        <w:tc>
          <w:tcPr>
            <w:tcW w:w="6136" w:type="dxa"/>
            <w:tcBorders/>
            <w:shd w:fill="CCEEFF" w:val="clear"/>
            <w:vAlign w:val="center"/>
          </w:tcPr>
          <w:p>
            <w:pPr>
              <w:pStyle w:val="TableContents"/>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pPr>
            <w:r>
              <w:rPr/>
              <w:t>  </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borrowings on revolving line of credit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2,000</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pPr>
            <w:r>
              <w:rPr/>
              <w:t>—</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Repayments on revolving line of credit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(7,000)</w:t>
            </w:r>
          </w:p>
        </w:tc>
        <w:tc>
          <w:tcPr>
            <w:tcW w:w="326"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issuance of common stock under employee stock purchase plan (ESPP)</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pPr>
            <w:r>
              <w:rPr/>
              <w:t>—</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Principal payments on finance lease obligations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(245)</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pPr>
            <w:r>
              <w:rPr/>
              <w:t>—</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 of offering costs related to the IPO</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(542)</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Withholding tax payments related to vesting of RSUs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pPr>
            <w:r>
              <w:rPr/>
              <w:t>—</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auto" w:val="clear"/>
            <w:vAlign w:val="center"/>
          </w:tcPr>
          <w:p>
            <w:pPr>
              <w:pStyle w:val="TableContents"/>
              <w:spacing w:before="0" w:after="0"/>
              <w:ind w:left="0" w:right="0" w:hanging="0"/>
              <w:rPr/>
            </w:pPr>
            <w:r>
              <w:rPr/>
              <w:t> </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cash used in financing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(5,026)</w:t>
            </w:r>
          </w:p>
        </w:tc>
        <w:tc>
          <w:tcPr>
            <w:tcW w:w="326" w:type="dxa"/>
            <w:tcBorders/>
            <w:shd w:fill="CCEEFF" w:val="clear"/>
            <w:vAlign w:val="center"/>
          </w:tcPr>
          <w:p>
            <w:pPr>
              <w:pStyle w:val="TableContents"/>
              <w:spacing w:before="0" w:after="0"/>
              <w:ind w:left="0" w:right="0" w:hanging="0"/>
              <w:rPr/>
            </w:pPr>
            <w:r>
              <w:rPr/>
              <w:t> </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(10,563)</w:t>
            </w:r>
          </w:p>
        </w:tc>
      </w:tr>
      <w:tr>
        <w:trPr/>
        <w:tc>
          <w:tcPr>
            <w:tcW w:w="6136" w:type="dxa"/>
            <w:tcBorders/>
            <w:shd w:fill="auto"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Net (decrease) increase in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(2,390)</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8,031</w:t>
            </w:r>
          </w:p>
        </w:tc>
      </w:tr>
      <w:tr>
        <w:trPr/>
        <w:tc>
          <w:tcPr>
            <w:tcW w:w="6136" w:type="dxa"/>
            <w:tcBorders/>
            <w:shd w:fill="CCEEFF"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10,219</w:t>
            </w:r>
          </w:p>
        </w:tc>
        <w:tc>
          <w:tcPr>
            <w:tcW w:w="326" w:type="dxa"/>
            <w:tcBorders/>
            <w:shd w:fill="CCEEFF" w:val="clear"/>
            <w:vAlign w:val="center"/>
          </w:tcPr>
          <w:p>
            <w:pPr>
              <w:pStyle w:val="TableContents"/>
              <w:spacing w:before="0" w:after="0"/>
              <w:ind w:left="0" w:right="0" w:hanging="0"/>
              <w:rPr/>
            </w:pPr>
            <w:r>
              <w:rPr/>
              <w:t> </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11,908</w:t>
            </w:r>
          </w:p>
        </w:tc>
      </w:tr>
      <w:tr>
        <w:trPr/>
        <w:tc>
          <w:tcPr>
            <w:tcW w:w="6136" w:type="dxa"/>
            <w:tcBorders/>
            <w:shd w:fill="auto"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at end of period</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7,829</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19,939</w:t>
            </w:r>
          </w:p>
        </w:tc>
      </w:tr>
      <w:tr>
        <w:trPr/>
        <w:tc>
          <w:tcPr>
            <w:tcW w:w="613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822" w:type="dxa"/>
            <w:tcBorders/>
            <w:shd w:fill="CCEEFF" w:val="clear"/>
            <w:vAlign w:val="center"/>
          </w:tcPr>
          <w:p>
            <w:pPr>
              <w:pStyle w:val="TableContents"/>
              <w:spacing w:before="0" w:after="0"/>
              <w:ind w:left="0" w:right="0" w:hanging="0"/>
              <w:jc w:val="right"/>
              <w:rPr/>
            </w:pPr>
            <w:r>
              <w:rPr/>
              <w:t>​</w:t>
            </w:r>
          </w:p>
        </w:tc>
      </w:tr>
      <w:tr>
        <w:trPr/>
        <w:tc>
          <w:tcPr>
            <w:tcW w:w="6136" w:type="dxa"/>
            <w:tcBorders/>
            <w:shd w:fill="auto"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Reconciliation of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pPr>
            <w:r>
              <w:rPr/>
              <w:t>​</w:t>
            </w:r>
          </w:p>
        </w:tc>
      </w:tr>
      <w:tr>
        <w:trPr/>
        <w:tc>
          <w:tcPr>
            <w:tcW w:w="61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7,829</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19,433</w:t>
            </w:r>
          </w:p>
        </w:tc>
      </w:tr>
      <w:tr>
        <w:trPr/>
        <w:tc>
          <w:tcPr>
            <w:tcW w:w="61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r>
      <w:tr>
        <w:trPr/>
        <w:tc>
          <w:tcPr>
            <w:tcW w:w="6136" w:type="dxa"/>
            <w:tcBorders/>
            <w:shd w:fill="CCEEFF"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Total cash, cash equivalents and restricted cash at end of period</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7,829</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19,939</w:t>
            </w:r>
          </w:p>
        </w:tc>
      </w:tr>
      <w:tr>
        <w:trPr/>
        <w:tc>
          <w:tcPr>
            <w:tcW w:w="613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right"/>
              <w:rPr/>
            </w:pPr>
            <w:r>
              <w:rPr/>
              <w:t>​</w:t>
            </w:r>
          </w:p>
        </w:tc>
      </w:tr>
      <w:tr>
        <w:trPr/>
        <w:tc>
          <w:tcPr>
            <w:tcW w:w="613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0" w:type="dxa"/>
            <w:gridSpan w:val="2"/>
            <w:tcBorders/>
            <w:shd w:fill="CCEEFF" w:val="cle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(Continued)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Condensed Consolidated Statements of Cash Flows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557" w:name="Tc_ObsCGeq32Uu9zVL5levWGw_18_6"/>
      <w:bookmarkStart w:id="558" w:name="Tc_hx8j03kfjUCa5OzAfgblLQ_17_5"/>
      <w:bookmarkStart w:id="559" w:name="Tc_tu23x4VjkEaqM3ivLbnIhA_17_3"/>
      <w:bookmarkStart w:id="560" w:name="Tc_b0g5aROn4Eyh2X363vOK-w_17_2"/>
      <w:bookmarkStart w:id="561" w:name="Tc_8cAbNlBETECdNKyMySNgNg_17_0"/>
      <w:bookmarkStart w:id="562" w:name="Tc_uktg5cYcgU2nbLMFU0wcow_16_5"/>
      <w:bookmarkStart w:id="563" w:name="Tc_ckQ35_9eUkqn6Qn0npMswg_16_2"/>
      <w:bookmarkStart w:id="564" w:name="Tc_iQChEv9Po02bz_Xo4CGehQ_16_0"/>
      <w:bookmarkStart w:id="565" w:name="Tc_mvF9x_ypK0CoOSBbRqZ-pA_15_5"/>
      <w:bookmarkStart w:id="566" w:name="Tc_n-nZyJbPcka31j6eFBOfSQ_15_2"/>
      <w:bookmarkStart w:id="567" w:name="Tc_kOKzoVdGlkWQ0tEe0aOWOA_15_0"/>
      <w:bookmarkStart w:id="568" w:name="Tc_qhvkLvU_1kmVSEnt_uanCA_14_6"/>
      <w:bookmarkStart w:id="569" w:name="Tc__EyH-NYR6UqyV_Vl0aCmKg_14_5"/>
      <w:bookmarkStart w:id="570" w:name="Tc_56xn3S851kG65fYB6m__3g_14_2"/>
      <w:bookmarkStart w:id="571" w:name="Tc_q2XaQLTkpU2qtvhQvlSEwQ_14_0"/>
      <w:bookmarkStart w:id="572" w:name="Tc_7rOsTiD5lEeucgk5psARww_13_5"/>
      <w:bookmarkStart w:id="573" w:name="Tc_uxybrFqksEC3RSzZqtrNIA_13_3"/>
      <w:bookmarkStart w:id="574" w:name="Tc_gHkAry_7L0OQ2U9P54Pb9g_13_2"/>
      <w:bookmarkStart w:id="575" w:name="Tc_ezSYXuFXOkmltJrA8AgJlA_13_0"/>
      <w:bookmarkStart w:id="576" w:name="Tc_TaiSRMrpw0mMmApEXoBvvQ_12_5"/>
      <w:bookmarkStart w:id="577" w:name="Tc_EpBMHL8VSEKV4tswV1Rtzg_12_3"/>
      <w:bookmarkStart w:id="578" w:name="Tc_J5QRgGIcxUSJjpDGp0HmIQ_12_2"/>
      <w:bookmarkStart w:id="579" w:name="Tc_HaZ4Gyn-RkiG1ihh2kwQaw_12_0"/>
      <w:bookmarkStart w:id="580" w:name="Tc_VTbwxjH22EmkNq95h81ndA_11_0"/>
      <w:bookmarkStart w:id="581" w:name="Tc_zAIk54emokGLjST7TUwZ6g_9_6"/>
      <w:bookmarkStart w:id="582" w:name="Tc_8GMaqV-ZfkaXuj-baDqIyg_9_5"/>
      <w:bookmarkStart w:id="583" w:name="Tc_SooS_2GvqEegHJIUBvqT5A_9_2"/>
      <w:bookmarkStart w:id="584" w:name="Tc_2yoLiUByuUi6L-DlgaPj8Q_9_0"/>
      <w:bookmarkStart w:id="585" w:name="Tc_y97p1HxreUK1SiuXUWcIrA_8_5"/>
      <w:bookmarkStart w:id="586" w:name="Tc_OhpqLCbcH0aZUWbrgf60hw_8_2"/>
      <w:bookmarkStart w:id="587" w:name="Tc_stfykiSty0ex5zNLNOzlQw_8_0"/>
      <w:bookmarkStart w:id="588" w:name="Tc_4sZ0T_66zk6_mauBIWnWOA_7_5"/>
      <w:bookmarkStart w:id="589" w:name="Tc_dScCAqXx0kGFKNgkGxoaaA_7_2"/>
      <w:bookmarkStart w:id="590" w:name="Tc_EEzlXyV1gkeviMPsXpFKUw_7_0"/>
      <w:bookmarkStart w:id="591" w:name="Tc_2XXesPK80E6yd4pqrlyyvQ_6_5"/>
      <w:bookmarkStart w:id="592" w:name="Tc_fELvkhnzjEypk9Pz1wvrcw_6_2"/>
      <w:bookmarkStart w:id="593" w:name="Tc_MxaweGaQlkSSk4KrEuR1UA_6_0"/>
      <w:bookmarkStart w:id="594" w:name="Tc_4Z-KZOyDDUWuVcSiMdGecQ_5_0"/>
      <w:bookmarkStart w:id="595" w:name="Tc_TqH7x7uylkOfy1SQybHpZg_4_0"/>
      <w:bookmarkStart w:id="596" w:name="Tc_PajDeUQ54EunnRUWMrXTng_3_5"/>
      <w:bookmarkStart w:id="597" w:name="Tc_ON2I1tEAHU2DONu-9TWSJw_3_2"/>
      <w:bookmarkStart w:id="598" w:name="Tc_iOPHKQL9-ECv1OnFmCNo5A_2_5"/>
      <w:bookmarkStart w:id="599" w:name="Tc_XZZ-k-_6mU6DZNax499zug_2_2"/>
      <w:bookmarkStart w:id="600" w:name="Tc_hAK5o34GwUiMCwSQVga1vA_1_2"/>
      <w:bookmarkStart w:id="601" w:name="_e8ebb597_397a_4e9b_8c17_daa6018deb26"/>
      <w:bookmarkStart w:id="602" w:name="Tc_ObsCGeq32Uu9zVL5levWGw_18_6"/>
      <w:bookmarkStart w:id="603" w:name="Tc_hx8j03kfjUCa5OzAfgblLQ_17_5"/>
      <w:bookmarkStart w:id="604" w:name="Tc_tu23x4VjkEaqM3ivLbnIhA_17_3"/>
      <w:bookmarkStart w:id="605" w:name="Tc_b0g5aROn4Eyh2X363vOK-w_17_2"/>
      <w:bookmarkStart w:id="606" w:name="Tc_8cAbNlBETECdNKyMySNgNg_17_0"/>
      <w:bookmarkStart w:id="607" w:name="Tc_uktg5cYcgU2nbLMFU0wcow_16_5"/>
      <w:bookmarkStart w:id="608" w:name="Tc_ckQ35_9eUkqn6Qn0npMswg_16_2"/>
      <w:bookmarkStart w:id="609" w:name="Tc_iQChEv9Po02bz_Xo4CGehQ_16_0"/>
      <w:bookmarkStart w:id="610" w:name="Tc_mvF9x_ypK0CoOSBbRqZ-pA_15_5"/>
      <w:bookmarkStart w:id="611" w:name="Tc_n-nZyJbPcka31j6eFBOfSQ_15_2"/>
      <w:bookmarkStart w:id="612" w:name="Tc_kOKzoVdGlkWQ0tEe0aOWOA_15_0"/>
      <w:bookmarkStart w:id="613" w:name="Tc_qhvkLvU_1kmVSEnt_uanCA_14_6"/>
      <w:bookmarkStart w:id="614" w:name="Tc__EyH-NYR6UqyV_Vl0aCmKg_14_5"/>
      <w:bookmarkStart w:id="615" w:name="Tc_56xn3S851kG65fYB6m__3g_14_2"/>
      <w:bookmarkStart w:id="616" w:name="Tc_q2XaQLTkpU2qtvhQvlSEwQ_14_0"/>
      <w:bookmarkStart w:id="617" w:name="Tc_7rOsTiD5lEeucgk5psARww_13_5"/>
      <w:bookmarkStart w:id="618" w:name="Tc_uxybrFqksEC3RSzZqtrNIA_13_3"/>
      <w:bookmarkStart w:id="619" w:name="Tc_gHkAry_7L0OQ2U9P54Pb9g_13_2"/>
      <w:bookmarkStart w:id="620" w:name="Tc_ezSYXuFXOkmltJrA8AgJlA_13_0"/>
      <w:bookmarkStart w:id="621" w:name="Tc_TaiSRMrpw0mMmApEXoBvvQ_12_5"/>
      <w:bookmarkStart w:id="622" w:name="Tc_EpBMHL8VSEKV4tswV1Rtzg_12_3"/>
      <w:bookmarkStart w:id="623" w:name="Tc_J5QRgGIcxUSJjpDGp0HmIQ_12_2"/>
      <w:bookmarkStart w:id="624" w:name="Tc_HaZ4Gyn-RkiG1ihh2kwQaw_12_0"/>
      <w:bookmarkStart w:id="625" w:name="Tc_VTbwxjH22EmkNq95h81ndA_11_0"/>
      <w:bookmarkStart w:id="626" w:name="Tc_zAIk54emokGLjST7TUwZ6g_9_6"/>
      <w:bookmarkStart w:id="627" w:name="Tc_8GMaqV-ZfkaXuj-baDqIyg_9_5"/>
      <w:bookmarkStart w:id="628" w:name="Tc_SooS_2GvqEegHJIUBvqT5A_9_2"/>
      <w:bookmarkStart w:id="629" w:name="Tc_2yoLiUByuUi6L-DlgaPj8Q_9_0"/>
      <w:bookmarkStart w:id="630" w:name="Tc_y97p1HxreUK1SiuXUWcIrA_8_5"/>
      <w:bookmarkStart w:id="631" w:name="Tc_OhpqLCbcH0aZUWbrgf60hw_8_2"/>
      <w:bookmarkStart w:id="632" w:name="Tc_stfykiSty0ex5zNLNOzlQw_8_0"/>
      <w:bookmarkStart w:id="633" w:name="Tc_4sZ0T_66zk6_mauBIWnWOA_7_5"/>
      <w:bookmarkStart w:id="634" w:name="Tc_dScCAqXx0kGFKNgkGxoaaA_7_2"/>
      <w:bookmarkStart w:id="635" w:name="Tc_EEzlXyV1gkeviMPsXpFKUw_7_0"/>
      <w:bookmarkStart w:id="636" w:name="Tc_2XXesPK80E6yd4pqrlyyvQ_6_5"/>
      <w:bookmarkStart w:id="637" w:name="Tc_fELvkhnzjEypk9Pz1wvrcw_6_2"/>
      <w:bookmarkStart w:id="638" w:name="Tc_MxaweGaQlkSSk4KrEuR1UA_6_0"/>
      <w:bookmarkStart w:id="639" w:name="Tc_4Z-KZOyDDUWuVcSiMdGecQ_5_0"/>
      <w:bookmarkStart w:id="640" w:name="Tc_TqH7x7uylkOfy1SQybHpZg_4_0"/>
      <w:bookmarkStart w:id="641" w:name="Tc_PajDeUQ54EunnRUWMrXTng_3_5"/>
      <w:bookmarkStart w:id="642" w:name="Tc_ON2I1tEAHU2DONu-9TWSJw_3_2"/>
      <w:bookmarkStart w:id="643" w:name="Tc_iOPHKQL9-ECv1OnFmCNo5A_2_5"/>
      <w:bookmarkStart w:id="644" w:name="Tc_XZZ-k-_6mU6DZNax499zug_2_2"/>
      <w:bookmarkStart w:id="645" w:name="Tc_hAK5o34GwUiMCwSQVga1vA_1_2"/>
      <w:bookmarkStart w:id="646" w:name="_e8ebb597_397a_4e9b_8c17_daa6018deb26"/>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tbl>
      <w:tblPr>
        <w:tblW w:w="10539" w:type="dxa"/>
        <w:jc w:val="left"/>
        <w:tblInd w:w="0" w:type="dxa"/>
        <w:tblCellMar>
          <w:top w:w="0" w:type="dxa"/>
          <w:left w:w="0" w:type="dxa"/>
          <w:bottom w:w="0" w:type="dxa"/>
          <w:right w:w="0" w:type="dxa"/>
        </w:tblCellMar>
      </w:tblPr>
      <w:tblGrid>
        <w:gridCol w:w="7854"/>
        <w:gridCol w:w="326"/>
        <w:gridCol w:w="196"/>
        <w:gridCol w:w="511"/>
        <w:gridCol w:w="326"/>
        <w:gridCol w:w="196"/>
        <w:gridCol w:w="975"/>
        <w:gridCol w:w="155"/>
      </w:tblGrid>
      <w:tr>
        <w:trPr/>
        <w:tc>
          <w:tcPr>
            <w:tcW w:w="78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87290" cy="175260"/>
                      <wp:effectExtent l="0" t="0" r="0" b="0"/>
                      <wp:wrapNone/>
                      <wp:docPr id="48" name="Frame47"/>
                      <a:graphic xmlns:a="http://schemas.openxmlformats.org/drawingml/2006/main">
                        <a:graphicData uri="http://schemas.microsoft.com/office/word/2010/wordprocessingShape">
                          <wps:wsp>
                            <wps:cNvSpPr txBox="1"/>
                            <wps:spPr>
                              <a:xfrm>
                                <a:off x="0" y="0"/>
                                <a:ext cx="4987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4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24485" cy="175260"/>
                      <wp:effectExtent l="0" t="0" r="0" b="0"/>
                      <wp:wrapNone/>
                      <wp:docPr id="51" name="Frame50"/>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19125" cy="175260"/>
                      <wp:effectExtent l="0" t="0" r="0" b="0"/>
                      <wp:wrapNone/>
                      <wp:docPr id="54" name="Frame53"/>
                      <a:graphic xmlns:a="http://schemas.openxmlformats.org/drawingml/2006/main">
                        <a:graphicData uri="http://schemas.microsoft.com/office/word/2010/wordprocessingShape">
                          <wps:wsp>
                            <wps:cNvSpPr txBox="1"/>
                            <wps:spPr>
                              <a:xfrm>
                                <a:off x="0" y="0"/>
                                <a:ext cx="619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8425" cy="175260"/>
                      <wp:effectExtent l="0" t="0" r="0" b="0"/>
                      <wp:wrapNone/>
                      <wp:docPr id="55" name="Frame54"/>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8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20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5" w:type="dxa"/>
            <w:tcBorders/>
            <w:shd w:fill="auto" w:val="clear"/>
            <w:vAlign w:val="center"/>
          </w:tcPr>
          <w:p>
            <w:pPr>
              <w:pStyle w:val="TableContents"/>
              <w:spacing w:before="0" w:after="0"/>
              <w:ind w:left="0" w:right="0" w:hanging="0"/>
              <w:rPr/>
            </w:pPr>
            <w:r>
              <w:rPr/>
              <w:t>​</w:t>
            </w:r>
          </w:p>
        </w:tc>
      </w:tr>
      <w:tr>
        <w:trPr/>
        <w:tc>
          <w:tcPr>
            <w:tcW w:w="78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26" w:type="dxa"/>
            <w:tcBorders/>
            <w:shd w:fill="auto" w:val="clear"/>
            <w:vAlign w:val="center"/>
          </w:tcPr>
          <w:p>
            <w:pPr>
              <w:pStyle w:val="TableContents"/>
              <w:spacing w:before="0" w:after="0"/>
              <w:ind w:left="0" w:right="0" w:hanging="0"/>
              <w:rPr/>
            </w:pPr>
            <w:r>
              <w:rPr/>
              <w:t>​</w:t>
            </w:r>
          </w:p>
        </w:tc>
        <w:tc>
          <w:tcPr>
            <w:tcW w:w="11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155" w:type="dxa"/>
            <w:tcBorders/>
            <w:shd w:fill="auto" w:val="clear"/>
            <w:vAlign w:val="center"/>
          </w:tcPr>
          <w:p>
            <w:pPr>
              <w:pStyle w:val="TableContents"/>
              <w:spacing w:before="0" w:after="0"/>
              <w:ind w:left="0" w:right="0" w:hanging="0"/>
              <w:rPr/>
            </w:pPr>
            <w:r>
              <w:rPr/>
              <w:t>​</w:t>
            </w:r>
          </w:p>
        </w:tc>
      </w:tr>
      <w:tr>
        <w:trPr/>
        <w:tc>
          <w:tcPr>
            <w:tcW w:w="78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5" w:type="dxa"/>
            <w:tcBorders/>
            <w:shd w:fill="auto" w:val="clear"/>
            <w:vAlign w:val="center"/>
          </w:tcPr>
          <w:p>
            <w:pPr>
              <w:pStyle w:val="TableContents"/>
              <w:spacing w:before="0" w:after="0"/>
              <w:ind w:left="0" w:right="0" w:hanging="0"/>
              <w:rPr/>
            </w:pPr>
            <w:r>
              <w:rPr/>
              <w:t>​</w:t>
            </w:r>
          </w:p>
        </w:tc>
      </w:tr>
      <w:tr>
        <w:trPr/>
        <w:tc>
          <w:tcPr>
            <w:tcW w:w="7854"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Supplemental Disclosure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5"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7854" w:type="dxa"/>
            <w:tcBorders/>
            <w:shd w:fill="auto"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Cash paid (refunded) during the period for:</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5" w:type="dxa"/>
            <w:tcBorders/>
            <w:shd w:fill="auto" w:val="clear"/>
            <w:vAlign w:val="center"/>
          </w:tcPr>
          <w:p>
            <w:pPr>
              <w:pStyle w:val="TableContents"/>
              <w:spacing w:before="0" w:after="0"/>
              <w:ind w:left="0" w:right="0" w:hanging="0"/>
              <w:jc w:val="right"/>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85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Income taxes, net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155" w:type="dxa"/>
            <w:tcBorders/>
            <w:shd w:fill="CCEEFF" w:val="clear"/>
            <w:vAlign w:val="center"/>
          </w:tcPr>
          <w:p>
            <w:pPr>
              <w:pStyle w:val="TableContents"/>
              <w:spacing w:before="0" w:after="0"/>
              <w:ind w:left="0" w:right="0" w:hanging="0"/>
              <w:rPr/>
            </w:pPr>
            <w:r>
              <w:rPr/>
              <w:t>​</w:t>
            </w:r>
          </w:p>
        </w:tc>
      </w:tr>
      <w:tr>
        <w:trPr/>
        <w:tc>
          <w:tcPr>
            <w:tcW w:w="785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164</w:t>
            </w:r>
          </w:p>
        </w:tc>
        <w:tc>
          <w:tcPr>
            <w:tcW w:w="155" w:type="dxa"/>
            <w:tcBorders/>
            <w:shd w:fill="auto" w:val="clear"/>
            <w:vAlign w:val="center"/>
          </w:tcPr>
          <w:p>
            <w:pPr>
              <w:pStyle w:val="TableContents"/>
              <w:spacing w:before="0" w:after="0"/>
              <w:ind w:left="0" w:right="0" w:hanging="0"/>
              <w:rPr/>
            </w:pPr>
            <w:r>
              <w:rPr/>
              <w:t>​</w:t>
            </w:r>
          </w:p>
        </w:tc>
      </w:tr>
      <w:tr>
        <w:trPr/>
        <w:tc>
          <w:tcPr>
            <w:tcW w:w="785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1,298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510</w:t>
            </w:r>
          </w:p>
        </w:tc>
        <w:tc>
          <w:tcPr>
            <w:tcW w:w="155" w:type="dxa"/>
            <w:tcBorders/>
            <w:shd w:fill="CCEEFF" w:val="clear"/>
            <w:vAlign w:val="center"/>
          </w:tcPr>
          <w:p>
            <w:pPr>
              <w:pStyle w:val="TableContents"/>
              <w:spacing w:before="0" w:after="0"/>
              <w:ind w:left="0" w:right="0" w:hanging="0"/>
              <w:rPr/>
            </w:pPr>
            <w:r>
              <w:rPr/>
              <w:t>​</w:t>
            </w:r>
          </w:p>
        </w:tc>
      </w:tr>
      <w:tr>
        <w:trPr/>
        <w:tc>
          <w:tcPr>
            <w:tcW w:w="785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Finance leases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5" w:type="dxa"/>
            <w:tcBorders/>
            <w:shd w:fill="auto" w:val="clear"/>
            <w:vAlign w:val="center"/>
          </w:tcPr>
          <w:p>
            <w:pPr>
              <w:pStyle w:val="TableContents"/>
              <w:spacing w:before="0" w:after="0"/>
              <w:ind w:left="0" w:right="0" w:hanging="0"/>
              <w:jc w:val="right"/>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85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5"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7854" w:type="dxa"/>
            <w:tcBorders/>
            <w:shd w:fill="auto"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Supplemental Disclosure of Non-Cash Investing and Financing Activities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75" w:type="dxa"/>
            <w:tcBorders/>
            <w:shd w:fill="auto" w:val="clear"/>
            <w:vAlign w:val="center"/>
          </w:tcPr>
          <w:p>
            <w:pPr>
              <w:pStyle w:val="TableContents"/>
              <w:spacing w:before="0" w:after="0"/>
              <w:ind w:left="0" w:right="0" w:hanging="0"/>
              <w:jc w:val="right"/>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85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Addition of right-of-use assets, including prepaid rent, net of deferred rent recorded upon adoption of ASC 842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28,018</w:t>
            </w:r>
          </w:p>
        </w:tc>
        <w:tc>
          <w:tcPr>
            <w:tcW w:w="155" w:type="dxa"/>
            <w:tcBorders/>
            <w:shd w:fill="CCEEFF" w:val="clear"/>
            <w:vAlign w:val="center"/>
          </w:tcPr>
          <w:p>
            <w:pPr>
              <w:pStyle w:val="TableContents"/>
              <w:spacing w:before="0" w:after="0"/>
              <w:ind w:left="0" w:right="0" w:hanging="0"/>
              <w:rPr/>
            </w:pPr>
            <w:r>
              <w:rPr/>
              <w:t>​</w:t>
            </w:r>
          </w:p>
        </w:tc>
      </w:tr>
      <w:tr>
        <w:trPr/>
        <w:tc>
          <w:tcPr>
            <w:tcW w:w="785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Addition of lease liabilities recorded upon adoption of ASC 842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28,599</w:t>
            </w:r>
          </w:p>
        </w:tc>
        <w:tc>
          <w:tcPr>
            <w:tcW w:w="155" w:type="dxa"/>
            <w:tcBorders/>
            <w:shd w:fill="auto" w:val="clear"/>
            <w:vAlign w:val="center"/>
          </w:tcPr>
          <w:p>
            <w:pPr>
              <w:pStyle w:val="TableContents"/>
              <w:spacing w:before="0" w:after="0"/>
              <w:ind w:left="0" w:right="0" w:hanging="0"/>
              <w:rPr/>
            </w:pPr>
            <w:r>
              <w:rPr/>
              <w:t>​</w:t>
            </w:r>
          </w:p>
        </w:tc>
      </w:tr>
      <w:tr>
        <w:trPr/>
        <w:tc>
          <w:tcPr>
            <w:tcW w:w="785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Right-of-use assets acquired under operating lease obligations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5"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785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Assets acquired under finance lease obligations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3,763</w:t>
            </w:r>
          </w:p>
        </w:tc>
        <w:tc>
          <w:tcPr>
            <w:tcW w:w="155" w:type="dxa"/>
            <w:tcBorders/>
            <w:shd w:fill="auto" w:val="clear"/>
            <w:vAlign w:val="center"/>
          </w:tcPr>
          <w:p>
            <w:pPr>
              <w:pStyle w:val="TableContents"/>
              <w:spacing w:before="0" w:after="0"/>
              <w:ind w:left="0" w:right="0" w:hanging="0"/>
              <w:rPr/>
            </w:pPr>
            <w:r>
              <w:rPr/>
              <w:t>​</w:t>
            </w:r>
          </w:p>
        </w:tc>
      </w:tr>
      <w:tr>
        <w:trPr/>
        <w:tc>
          <w:tcPr>
            <w:tcW w:w="785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Purchases of property and equipment included in accounts payable and accrued expenses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155" w:type="dxa"/>
            <w:tcBorders/>
            <w:shd w:fill="CCEEFF" w:val="clear"/>
            <w:vAlign w:val="center"/>
          </w:tcPr>
          <w:p>
            <w:pPr>
              <w:pStyle w:val="TableContents"/>
              <w:spacing w:before="0" w:after="0"/>
              <w:ind w:left="0" w:right="0" w:hanging="0"/>
              <w:rPr/>
            </w:pPr>
            <w:r>
              <w:rPr/>
              <w:t>​</w:t>
            </w:r>
          </w:p>
        </w:tc>
      </w:tr>
      <w:tr>
        <w:trPr/>
        <w:tc>
          <w:tcPr>
            <w:tcW w:w="785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Offering costs included in accrued expenses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290</w:t>
            </w:r>
          </w:p>
        </w:tc>
        <w:tc>
          <w:tcPr>
            <w:tcW w:w="155" w:type="dxa"/>
            <w:tcBorders/>
            <w:shd w:fill="auto" w:val="clear"/>
            <w:vAlign w:val="center"/>
          </w:tcPr>
          <w:p>
            <w:pPr>
              <w:pStyle w:val="TableContents"/>
              <w:spacing w:before="0" w:after="0"/>
              <w:ind w:left="0" w:right="0" w:hanging="0"/>
              <w:rPr/>
            </w:pPr>
            <w:r>
              <w:rPr/>
              <w:t>​</w:t>
            </w:r>
          </w:p>
        </w:tc>
      </w:tr>
      <w:tr>
        <w:trPr/>
        <w:tc>
          <w:tcPr>
            <w:tcW w:w="7854"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(Concluded)</w:t>
            </w:r>
          </w:p>
        </w:tc>
        <w:tc>
          <w:tcPr>
            <w:tcW w:w="155"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i/>
          <w:sz w:val="18"/>
        </w:rPr>
      </w:pPr>
      <w:r>
        <w:rPr>
          <w:rFonts w:ascii="Times New Roman;Times;serif" w:hAnsi="Times New Roman;Times;serif"/>
          <w:i/>
          <w:sz w:val="18"/>
        </w:rPr>
        <w:t>The accompanying notes are an integral part of the condensed consolidated financial statements.</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47" w:name="_cp_change_3"/>
      <w:bookmarkStart w:id="648" w:name="DescriptionofBusinessOrganizationandLiqu"/>
      <w:bookmarkStart w:id="649" w:name="_cp_change_4"/>
      <w:bookmarkEnd w:id="647"/>
      <w:bookmarkEnd w:id="648"/>
      <w:bookmarkEnd w:id="649"/>
      <w:r>
        <w:rPr>
          <w:rFonts w:ascii="Times New Roman;Times;serif" w:hAnsi="Times New Roman;Times;serif"/>
          <w:b/>
          <w:i w:val="false"/>
          <w:caps w:val="false"/>
          <w:smallCaps w:val="false"/>
          <w:sz w:val="20"/>
        </w:rPr>
        <w:t>1.</w:t>
      </w:r>
      <w:r>
        <w:rPr>
          <w:rFonts w:ascii="Times New Roman;Times;serif" w:hAnsi="Times New Roman;Times;serif"/>
          <w:b/>
          <w:sz w:val="20"/>
        </w:rPr>
        <w:t>Description of Business, Organization and Liquidity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Organization and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a reorganization, Lulu’s Fashion Lounge Holdings, Inc., a Delaware Corporation (“Lulus”, or the “Company”), was formed on August 25, 2017 as a holding company and its primary asset is an indirect membership interest in Lulu’s Fashion Lounge, LLC (“Lulus LLC”). Prior to the sale of the Company’s Series A convertible preferred stock in April 2018, the Company was wholly-owned by Lulu’s Holdings, L.P. (the “LP”). Prior to the Company’s initial public offering in November 2021, the Company was majority-owned by the LP.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Lulus LLC was founded in 1996, starting as a vintage boutique in Chico, CA that began selling online in 2005 and transitioned to a purely online business in 2008. The LP was formed in 2014 as a holding company and purchased 100% of Lulus LLC’s outstanding common stock in 2014. The Company, through Lulus LLC, is an online retailer of women’s clothing, shoes and accessories headquartered in Chico, CA.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Impact of Macroeconomic Trends on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fuel prices, and overall consumer confidence with respect to current and future economic conditions, have directly impacted our sales in the first quarter of 2023 as discretionary consumer spending levels and shopping behavior fluctuate with these factors. During the first quarter of 2023, we have responded to these factors by taking appropriate pricing, promotional and other actions to stimulate customer demand. These factors are expected to continue to have an impact on our business, results of operations, our growth and financial condition.  Additionally, the COVID-19 pandemic has had and may continue to have a materially adverse impact on the macroeconomic environment.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Basis of Presentation and Fiscal Year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fiscal year consists of a 52-week or 53-week period ending on the Sunday nearest December 31. The fiscal years ended December 31, 2023 and January 1, 2023 consisted of 52-weeks.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Unites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April 2, 2023 and its results of operations for the thirteen weeks ended April 2, 2023 and April 3, 2022 and its cash flows for the thirteen weeks ended April 2, 2023 and April 3, 2022. The results of operations for the thirteen weeks ended April 2, 2023 are not necessarily indicative of the results to be expected for the fiscal year ending December 31, 2023 or for any other future annual or interim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condensed consolidated balance sheet as of January 1, 2023 was derived from the Company’s audited consolidated financial statements, which are included in the Company’s Annual Report on Form 10-K as filed with the SEC on March 14, 2023.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Significant Accounting Policies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are consistent with those discussed in Note 2 to the audited consolidated financial statements included in the Company’s Annual Report on Form 10-K for the year ended January 1, 2023, except as noted below and within the "Adopted and Recently Issued Accounting Pronouncements" section.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and income tax valuation allowance.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Concentration of Credit Risks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cash, cash equivalents and restricted cash. At times, such amounts may exceed federally insured limits. The Company reduces credit risk by depositing its cash with a major credit-worthy financial institution within the United States. To date, the Company has not experienced any losses on its cash deposits. As of April 2, 2023 and January 1, 2023, a single wholesale customer represented 14% and 15%, respectively, of the Company’s accounts receivable balance. No customer accounted for greater than 10% of the Company’s net revenue during the thirteen weeks ended April 2, 2023 and April 3,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Leases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We adjust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condensed consolidated balance sheets. </w:t>
      </w:r>
    </w:p>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Fixed lease expense for operating leases is recognized on a straight-line basis, unless the right-of-use assets have been impaired, over the reasonably assured lease term based on the total lease payments and is included in operating expenses in the condensed consolidated statements of operations and comprehensive (loss) income. Fixed and variable lease expense on operating leases is recognized within operating expenses in the condensed consolidated statements of operations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comprehensive (loss) income.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point of sale for merchandise product sales.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sells stored-value gift cards to customers and offers merchandise credit stored-value cards for certain returns.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thirteen weeks ended April 2, 2023 and April 3, 2022 was not material.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bookmarkStart w:id="650" w:name="Tc_pA_sy30HxEKEeGDR0SVC3Q_6_5"/>
      <w:bookmarkStart w:id="651" w:name="Tc_GPcQpFKb_UOarsZ4DnqrdA_6_2"/>
      <w:bookmarkStart w:id="652" w:name="Tc_NrY5AcbFZUajY0N3QUzbvQ_6_0"/>
      <w:bookmarkStart w:id="653" w:name="Tc_6_EcLp4ViE247gxIYNAGFQ_5_0"/>
      <w:bookmarkStart w:id="654" w:name="Tc_tB9VWnnC_0OCZtLbcR2Qiw_4_0"/>
      <w:bookmarkStart w:id="655" w:name="Tc_EVQKoB5yZEuEeFHlOZiHPg_3_5"/>
      <w:bookmarkStart w:id="656" w:name="Tc_uJYBX4MifUi_03shLd5g-g_3_2"/>
      <w:bookmarkStart w:id="657" w:name="Tc_ea_rxQhDkUeNbhcB39uc0A_3_0"/>
      <w:bookmarkStart w:id="658" w:name="Tc_2MQiUsOf-0-2_ZMpZGegqg_2_5"/>
      <w:bookmarkStart w:id="659" w:name="Tc_1I3F2-duOU2q3vU1AQoL5g_2_2"/>
      <w:bookmarkStart w:id="660" w:name="Tc_LnAwZFQr-UmbPFSucUixKg_1_5"/>
      <w:bookmarkStart w:id="661" w:name="Tc_-bMp3hcLM0KhsexC3NVr3Q_1_2"/>
      <w:bookmarkStart w:id="662" w:name="_9ccf7e4f_3f92_40c4_bc31_46abeffb666c"/>
      <w:bookmarkStart w:id="663" w:name="Tc_dM-GlQTop0WiuQm1EH5_fw_6_5"/>
      <w:bookmarkStart w:id="664" w:name="Tc_JrjbBKzk_kypfmdRKBbSMg_6_2"/>
      <w:bookmarkStart w:id="665" w:name="Tc_kB9b_ypxsU6EK-NJTKQ4Vw_6_0"/>
      <w:bookmarkStart w:id="666" w:name="Tc_kjxvJOhs00K_jziolZu_Hw_5_0"/>
      <w:bookmarkStart w:id="667" w:name="Tc_g82y_1okUEKkOoxL5JXApQ_4_0"/>
      <w:bookmarkStart w:id="668" w:name="Tc_tZddyDegCEKlmkPD_s3SFQ_3_5"/>
      <w:bookmarkStart w:id="669" w:name="Tc_4Et40tHly0is7WDPya7e0A_3_2"/>
      <w:bookmarkStart w:id="670" w:name="Tc_uujUyi4u50KZzFflSP9HdA_3_0"/>
      <w:bookmarkStart w:id="671" w:name="Tc_btif4f-LvUS9Y31O-o_6wg_2_5"/>
      <w:bookmarkStart w:id="672" w:name="Tc_seOydC2DY0qarjbXeRPZqA_2_2"/>
      <w:bookmarkStart w:id="673" w:name="Tc_ob6yZhITt0yoMrMs4cmb6w_1_5"/>
      <w:bookmarkStart w:id="674" w:name="Tc_1EoQIeh0h0-9wqbRA_wpHA_1_2"/>
      <w:bookmarkStart w:id="675" w:name="_47da9e46_bd4d_4bef_ab6b_3c71838dc47f"/>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rFonts w:ascii="Times New Roman;Times;serif" w:hAnsi="Times New Roman;Times;serif"/>
          <w:sz w:val="20"/>
        </w:rPr>
        <w:t>The following table summarizes the significant changes in the contract liabilities balances included in accrued expenses and other current liabilities during the thirteen weeks ended April 2, 2023 and April 3, 2022 (in thousands):</w:t>
      </w:r>
    </w:p>
    <w:p>
      <w:pPr>
        <w:pStyle w:val="TextBody"/>
        <w:spacing w:before="0" w:after="240"/>
        <w:ind w:left="0" w:right="0" w:firstLine="360"/>
        <w:jc w:val="both"/>
        <w:rPr/>
      </w:pPr>
      <w:r>
        <w:rPr/>
        <w:t>​</w:t>
      </w:r>
    </w:p>
    <w:tbl>
      <w:tblPr>
        <w:tblW w:w="10539" w:type="dxa"/>
        <w:jc w:val="left"/>
        <w:tblInd w:w="0" w:type="dxa"/>
        <w:tblCellMar>
          <w:top w:w="0" w:type="dxa"/>
          <w:left w:w="0" w:type="dxa"/>
          <w:bottom w:w="0" w:type="dxa"/>
          <w:right w:w="0" w:type="dxa"/>
        </w:tblCellMar>
      </w:tblPr>
      <w:tblGrid>
        <w:gridCol w:w="7981"/>
        <w:gridCol w:w="326"/>
        <w:gridCol w:w="263"/>
        <w:gridCol w:w="530"/>
        <w:gridCol w:w="326"/>
        <w:gridCol w:w="236"/>
        <w:gridCol w:w="877"/>
      </w:tblGrid>
      <w:tr>
        <w:trPr/>
        <w:tc>
          <w:tcPr>
            <w:tcW w:w="7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067935" cy="175260"/>
                      <wp:effectExtent l="0" t="0" r="0" b="0"/>
                      <wp:wrapNone/>
                      <wp:docPr id="56" name="Frame55"/>
                      <a:graphic xmlns:a="http://schemas.openxmlformats.org/drawingml/2006/main">
                        <a:graphicData uri="http://schemas.microsoft.com/office/word/2010/wordprocessingShape">
                          <wps:wsp>
                            <wps:cNvSpPr txBox="1"/>
                            <wps:spPr>
                              <a:xfrm>
                                <a:off x="0" y="0"/>
                                <a:ext cx="5067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67005" cy="175260"/>
                      <wp:effectExtent l="0" t="0" r="0" b="0"/>
                      <wp:wrapNone/>
                      <wp:docPr id="58" name="Frame57"/>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36550" cy="175260"/>
                      <wp:effectExtent l="0" t="0" r="0" b="0"/>
                      <wp:wrapNone/>
                      <wp:docPr id="59" name="Frame58"/>
                      <a:graphic xmlns:a="http://schemas.openxmlformats.org/drawingml/2006/main">
                        <a:graphicData uri="http://schemas.microsoft.com/office/word/2010/wordprocessingShape">
                          <wps:wsp>
                            <wps:cNvSpPr txBox="1"/>
                            <wps:spPr>
                              <a:xfrm>
                                <a:off x="0" y="0"/>
                                <a:ext cx="336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9860" cy="175260"/>
                      <wp:effectExtent l="0" t="0" r="0" b="0"/>
                      <wp:wrapNone/>
                      <wp:docPr id="61" name="Frame60"/>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56895" cy="175260"/>
                      <wp:effectExtent l="0" t="0" r="0" b="0"/>
                      <wp:wrapNone/>
                      <wp:docPr id="62" name="Frame61"/>
                      <a:graphic xmlns:a="http://schemas.openxmlformats.org/drawingml/2006/main">
                        <a:graphicData uri="http://schemas.microsoft.com/office/word/2010/wordprocessingShape">
                          <wps:wsp>
                            <wps:cNvSpPr txBox="1"/>
                            <wps:spPr>
                              <a:xfrm>
                                <a:off x="0" y="0"/>
                                <a:ext cx="556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93"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Deferred </w:t>
            </w:r>
          </w:p>
        </w:tc>
        <w:tc>
          <w:tcPr>
            <w:tcW w:w="326" w:type="dxa"/>
            <w:tcBorders/>
            <w:shd w:fill="auto" w:val="clear"/>
            <w:vAlign w:val="center"/>
          </w:tcPr>
          <w:p>
            <w:pPr>
              <w:pStyle w:val="TableContents"/>
              <w:spacing w:before="0" w:after="0"/>
              <w:ind w:left="0" w:right="0" w:hanging="0"/>
              <w:jc w:val="center"/>
              <w:rPr/>
            </w:pPr>
            <w:r>
              <w:rPr/>
              <w:t>    </w:t>
            </w:r>
          </w:p>
        </w:tc>
        <w:tc>
          <w:tcPr>
            <w:tcW w:w="1113"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shd w:fill="auto" w:val="clear"/>
            <w:vAlign w:val="center"/>
          </w:tcPr>
          <w:p>
            <w:pPr>
              <w:pStyle w:val="TableContents"/>
              <w:spacing w:before="0" w:after="0"/>
              <w:ind w:left="0" w:right="0" w:hanging="0"/>
              <w:jc w:val="center"/>
              <w:rPr/>
            </w:pPr>
            <w:r>
              <w:rPr/>
              <w:t>    </w:t>
            </w:r>
          </w:p>
        </w:tc>
        <w:tc>
          <w:tcPr>
            <w:tcW w:w="111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9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1, 2023</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10,828</w:t>
            </w:r>
          </w:p>
        </w:tc>
      </w:tr>
      <w:tr>
        <w:trPr/>
        <w:tc>
          <w:tcPr>
            <w:tcW w:w="79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5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 </w:t>
            </w:r>
          </w:p>
        </w:tc>
        <w:tc>
          <w:tcPr>
            <w:tcW w:w="8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r>
      <w:tr>
        <w:trPr/>
        <w:tc>
          <w:tcPr>
            <w:tcW w:w="798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3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spacing w:before="0" w:after="0"/>
              <w:ind w:left="0" w:right="0" w:hanging="0"/>
              <w:rPr/>
            </w:pPr>
            <w:r>
              <w:rPr/>
              <w:t>​</w:t>
            </w:r>
          </w:p>
        </w:tc>
        <w:tc>
          <w:tcPr>
            <w:tcW w:w="23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7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r>
      <w:tr>
        <w:trPr/>
        <w:tc>
          <w:tcPr>
            <w:tcW w:w="79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April 2, 2023</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auto" w:val="clear"/>
            <w:vAlign w:val="center"/>
          </w:tcPr>
          <w:p>
            <w:pPr>
              <w:pStyle w:val="TableContents"/>
              <w:spacing w:before="0" w:after="0"/>
              <w:ind w:left="0" w:right="0" w:hanging="0"/>
              <w:rPr/>
            </w:pPr>
            <w:r>
              <w:rPr/>
              <w:t>​</w:t>
            </w:r>
          </w:p>
        </w:tc>
        <w:tc>
          <w:tcPr>
            <w:tcW w:w="23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11,130</w:t>
            </w:r>
          </w:p>
        </w:tc>
      </w:tr>
    </w:tbl>
    <w:p>
      <w:pPr>
        <w:pStyle w:val="TextBody"/>
        <w:spacing w:before="0" w:after="0"/>
        <w:ind w:left="0" w:right="0" w:hanging="0"/>
        <w:rPr/>
      </w:pPr>
      <w:r>
        <w:rPr/>
        <w:t>​</w:t>
      </w:r>
    </w:p>
    <w:tbl>
      <w:tblPr>
        <w:tblW w:w="10526" w:type="dxa"/>
        <w:jc w:val="left"/>
        <w:tblInd w:w="0" w:type="dxa"/>
        <w:tblCellMar>
          <w:top w:w="0" w:type="dxa"/>
          <w:left w:w="0" w:type="dxa"/>
          <w:bottom w:w="0" w:type="dxa"/>
          <w:right w:w="0" w:type="dxa"/>
        </w:tblCellMar>
      </w:tblPr>
      <w:tblGrid>
        <w:gridCol w:w="8011"/>
        <w:gridCol w:w="326"/>
        <w:gridCol w:w="211"/>
        <w:gridCol w:w="541"/>
        <w:gridCol w:w="326"/>
        <w:gridCol w:w="264"/>
        <w:gridCol w:w="847"/>
      </w:tblGrid>
      <w:tr>
        <w:trPr/>
        <w:tc>
          <w:tcPr>
            <w:tcW w:w="8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86985" cy="175260"/>
                      <wp:effectExtent l="0" t="0" r="0" b="0"/>
                      <wp:wrapNone/>
                      <wp:docPr id="63" name="Frame62"/>
                      <a:graphic xmlns:a="http://schemas.openxmlformats.org/drawingml/2006/main">
                        <a:graphicData uri="http://schemas.microsoft.com/office/word/2010/wordprocessingShape">
                          <wps:wsp>
                            <wps:cNvSpPr txBox="1"/>
                            <wps:spPr>
                              <a:xfrm>
                                <a:off x="0" y="0"/>
                                <a:ext cx="5086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43535" cy="175260"/>
                      <wp:effectExtent l="0" t="0" r="0" b="0"/>
                      <wp:wrapNone/>
                      <wp:docPr id="66" name="Frame65"/>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67640" cy="175260"/>
                      <wp:effectExtent l="0" t="0" r="0" b="0"/>
                      <wp:wrapNone/>
                      <wp:docPr id="68" name="Frame67"/>
                      <a:graphic xmlns:a="http://schemas.openxmlformats.org/drawingml/2006/main">
                        <a:graphicData uri="http://schemas.microsoft.com/office/word/2010/wordprocessingShape">
                          <wps:wsp>
                            <wps:cNvSpPr txBox="1"/>
                            <wps:spPr>
                              <a:xfrm>
                                <a:off x="0" y="0"/>
                                <a:ext cx="167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37845" cy="175260"/>
                      <wp:effectExtent l="0" t="0" r="0" b="0"/>
                      <wp:wrapNone/>
                      <wp:docPr id="69" name="Frame68"/>
                      <a:graphic xmlns:a="http://schemas.openxmlformats.org/drawingml/2006/main">
                        <a:graphicData uri="http://schemas.microsoft.com/office/word/2010/wordprocessingShape">
                          <wps:wsp>
                            <wps:cNvSpPr txBox="1"/>
                            <wps:spPr>
                              <a:xfrm>
                                <a:off x="0" y="0"/>
                                <a:ext cx="537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26" w:type="dxa"/>
            <w:tcBorders/>
            <w:shd w:fill="auto" w:val="clear"/>
            <w:vAlign w:val="center"/>
          </w:tcPr>
          <w:p>
            <w:pPr>
              <w:pStyle w:val="TableContents"/>
              <w:spacing w:before="0" w:after="0"/>
              <w:ind w:left="0" w:right="0" w:hanging="0"/>
              <w:jc w:val="center"/>
              <w:rPr/>
            </w:pPr>
            <w:r>
              <w:rPr/>
              <w:t>    </w:t>
            </w:r>
          </w:p>
        </w:tc>
        <w:tc>
          <w:tcPr>
            <w:tcW w:w="111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8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shd w:fill="auto" w:val="clear"/>
            <w:vAlign w:val="center"/>
          </w:tcPr>
          <w:p>
            <w:pPr>
              <w:pStyle w:val="TableContents"/>
              <w:spacing w:before="0" w:after="0"/>
              <w:ind w:left="0" w:right="0" w:hanging="0"/>
              <w:jc w:val="center"/>
              <w:rPr/>
            </w:pPr>
            <w:r>
              <w:rPr/>
              <w:t>    </w:t>
            </w:r>
          </w:p>
        </w:tc>
        <w:tc>
          <w:tcPr>
            <w:tcW w:w="11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80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2,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spacing w:before="0" w:after="0"/>
              <w:ind w:left="0" w:right="0" w:hanging="0"/>
              <w:rPr/>
            </w:pPr>
            <w:r>
              <w:rPr/>
              <w:t>​</w:t>
            </w:r>
          </w:p>
        </w:tc>
        <w:tc>
          <w:tcPr>
            <w:tcW w:w="2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7,240</w:t>
            </w:r>
          </w:p>
        </w:tc>
      </w:tr>
      <w:tr>
        <w:trPr/>
        <w:tc>
          <w:tcPr>
            <w:tcW w:w="80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auto" w:val="clear"/>
            <w:vAlign w:val="center"/>
          </w:tcPr>
          <w:p>
            <w:pPr>
              <w:pStyle w:val="TableContents"/>
              <w:spacing w:before="0" w:after="0"/>
              <w:ind w:left="0" w:right="0" w:hanging="0"/>
              <w:rPr/>
            </w:pPr>
            <w:r>
              <w:rPr/>
              <w:t>​</w:t>
            </w:r>
          </w:p>
        </w:tc>
        <w:tc>
          <w:tcPr>
            <w:tcW w:w="264" w:type="dxa"/>
            <w:tcBorders/>
            <w:shd w:fill="auto" w:val="clear"/>
            <w:vAlign w:val="center"/>
          </w:tcPr>
          <w:p>
            <w:pPr>
              <w:pStyle w:val="TableContents"/>
              <w:spacing w:before="0" w:after="0"/>
              <w:ind w:left="0" w:right="0" w:hanging="0"/>
              <w:rPr/>
            </w:pPr>
            <w:r>
              <w:rPr/>
              <w:t> </w:t>
            </w:r>
          </w:p>
        </w:tc>
        <w:tc>
          <w:tcPr>
            <w:tcW w:w="8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(1,786)</w:t>
            </w:r>
          </w:p>
        </w:tc>
      </w:tr>
      <w:tr>
        <w:trPr/>
        <w:tc>
          <w:tcPr>
            <w:tcW w:w="80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spacing w:before="0" w:after="0"/>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1,838</w:t>
            </w:r>
          </w:p>
        </w:tc>
      </w:tr>
      <w:tr>
        <w:trPr/>
        <w:tc>
          <w:tcPr>
            <w:tcW w:w="80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April 3, 2022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auto" w:val="clear"/>
            <w:vAlign w:val="center"/>
          </w:tcPr>
          <w:p>
            <w:pPr>
              <w:pStyle w:val="TableContents"/>
              <w:spacing w:before="0" w:after="0"/>
              <w:ind w:left="0" w:right="0" w:hanging="0"/>
              <w:rPr/>
            </w:pPr>
            <w:r>
              <w:rPr/>
              <w:t>​</w:t>
            </w:r>
          </w:p>
        </w:tc>
        <w:tc>
          <w:tcPr>
            <w:tcW w:w="26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7,292</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Selling and Marketing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Advertising costs included in selling and marketing expenses were $15.1 million and $16.9 million for the thirteen weeks ended April 2, 2023 and April 3, 2022, respectively.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(Loss) Income Per Share Attributable to Common Stockholders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Basic net (loss) income per share attributable to common stockholders is computed using net (loss) income attributable to common stockholders divided by the weighted average number of common shares outstanding during the period. Diluted net (loss) income per share attributable to common stockholders represents net (loss) income attributable to common stockholders divided by the weighted average number of common shares outstanding during the period, including the effects of any dilutive securities outstanding.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bookmarkStart w:id="676" w:name="Tc_XI86uOomYkSnhwcW4phYow_8_0"/>
      <w:bookmarkStart w:id="677" w:name="Tc__XnJWBg6SUyISoen4m076A_7_4"/>
      <w:bookmarkStart w:id="678" w:name="Tc_J2q5Z4FYtk2iyf9WpcaQeA_7_0"/>
      <w:bookmarkStart w:id="679" w:name="Tc_rIq9eAtsp0KLDmxhyB8xzQ_6_4"/>
      <w:bookmarkStart w:id="680" w:name="Tc_pkGIG3dkek-F3EqO-DrEFA_6_0"/>
      <w:bookmarkStart w:id="681" w:name="Tc_vOJj743-2U61gQEfE5GvvQ_5_0"/>
      <w:bookmarkStart w:id="682" w:name="Tc_iGtkpreEWkqWlKjAnx5cFA_4_0"/>
      <w:bookmarkStart w:id="683" w:name="Tc_yJLcrAdVo0iZAi_41BkCEA_3_0"/>
      <w:bookmarkStart w:id="684" w:name="Tc_ulHCoYAQLU-XUIZPWPruRg_2_4"/>
      <w:bookmarkStart w:id="685" w:name="Tc_gSzsW8vdG0SXPtCQ5CCzTg_2_2"/>
      <w:bookmarkStart w:id="686" w:name="Tc_bDVKV7maXkS3D31QQHcIFA_1_2"/>
      <w:bookmarkStart w:id="687" w:name="Tc_XYCAjZ7kHEqYK0bsqMJ0Ig_8_0"/>
      <w:bookmarkStart w:id="688" w:name="Tc_xDH8Az9soEOjzBhrbsNzTw_7_2"/>
      <w:bookmarkStart w:id="689" w:name="Tc_qbR478ahrUqM1he33gde1Q_7_0"/>
      <w:bookmarkStart w:id="690" w:name="Tc_wiAxgDYOpkW7p4WAsk7TCA_6_2"/>
      <w:bookmarkStart w:id="691" w:name="Tc_UO-L82auVUeIMHqtOuEzgQ_6_0"/>
      <w:bookmarkStart w:id="692" w:name="Tc_uzxk0yMO2ESJypikdDpZhA_5_2"/>
      <w:bookmarkStart w:id="693" w:name="Tc_F3fLkRBUwkyujO11anSPeA_5_0"/>
      <w:bookmarkStart w:id="694" w:name="Tc_YvOwOysHRkqSqEBYnYS61g_4_0"/>
      <w:bookmarkStart w:id="695" w:name="Tc_BeSKAFosqk-AeCgIaFXJUw_3_0"/>
      <w:bookmarkStart w:id="696" w:name="Tc_jOhMTq0wNk-d1OL_kdiTMw_2_4"/>
      <w:bookmarkStart w:id="697" w:name="Tc_40WxMbYy90-tSNOUjK57ng_2_2"/>
      <w:bookmarkStart w:id="698" w:name="Tc_RxgedcAcZEmucBXRXRBhvg_1_2"/>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Pr>
          <w:rFonts w:ascii="Times New Roman;Times;serif" w:hAnsi="Times New Roman;Times;serif"/>
          <w:sz w:val="20"/>
        </w:rPr>
        <w:t>The following table presents the calculation of basic and diluted weighted average shares used to compute net (loss) income per share attributable to common stockholders:</w:t>
      </w:r>
    </w:p>
    <w:p>
      <w:pPr>
        <w:pStyle w:val="TextBody"/>
        <w:spacing w:before="0" w:after="240"/>
        <w:ind w:left="0" w:right="0" w:hanging="0"/>
        <w:jc w:val="both"/>
        <w:rPr/>
      </w:pPr>
      <w:r>
        <w:rPr/>
        <w:t>​</w:t>
      </w:r>
    </w:p>
    <w:tbl>
      <w:tblPr>
        <w:tblW w:w="10539" w:type="dxa"/>
        <w:jc w:val="left"/>
        <w:tblInd w:w="0" w:type="dxa"/>
        <w:tblCellMar>
          <w:top w:w="0" w:type="dxa"/>
          <w:left w:w="0" w:type="dxa"/>
          <w:bottom w:w="0" w:type="dxa"/>
          <w:right w:w="0" w:type="dxa"/>
        </w:tblCellMar>
      </w:tblPr>
      <w:tblGrid>
        <w:gridCol w:w="7889"/>
        <w:gridCol w:w="109"/>
        <w:gridCol w:w="1060"/>
        <w:gridCol w:w="266"/>
        <w:gridCol w:w="1060"/>
        <w:gridCol w:w="155"/>
      </w:tblGrid>
      <w:tr>
        <w:trPr/>
        <w:tc>
          <w:tcPr>
            <w:tcW w:w="78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009515" cy="175260"/>
                      <wp:effectExtent l="0" t="0" r="0" b="0"/>
                      <wp:wrapNone/>
                      <wp:docPr id="70" name="Frame69"/>
                      <a:graphic xmlns:a="http://schemas.openxmlformats.org/drawingml/2006/main">
                        <a:graphicData uri="http://schemas.microsoft.com/office/word/2010/wordprocessingShape">
                          <wps:wsp>
                            <wps:cNvSpPr txBox="1"/>
                            <wps:spPr>
                              <a:xfrm>
                                <a:off x="0" y="0"/>
                                <a:ext cx="50095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73100" cy="175260"/>
                      <wp:effectExtent l="0" t="0" r="0" b="0"/>
                      <wp:wrapNone/>
                      <wp:docPr id="72" name="Frame71"/>
                      <a:graphic xmlns:a="http://schemas.openxmlformats.org/drawingml/2006/main">
                        <a:graphicData uri="http://schemas.microsoft.com/office/word/2010/wordprocessingShape">
                          <wps:wsp>
                            <wps:cNvSpPr txBox="1"/>
                            <wps:spPr>
                              <a:xfrm>
                                <a:off x="0" y="0"/>
                                <a:ext cx="673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68910" cy="175260"/>
                      <wp:effectExtent l="0" t="0" r="0" b="0"/>
                      <wp:wrapNone/>
                      <wp:docPr id="73" name="Frame72"/>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73100" cy="175260"/>
                      <wp:effectExtent l="0" t="0" r="0" b="0"/>
                      <wp:wrapNone/>
                      <wp:docPr id="74" name="Frame73"/>
                      <a:graphic xmlns:a="http://schemas.openxmlformats.org/drawingml/2006/main">
                        <a:graphicData uri="http://schemas.microsoft.com/office/word/2010/wordprocessingShape">
                          <wps:wsp>
                            <wps:cNvSpPr txBox="1"/>
                            <wps:spPr>
                              <a:xfrm>
                                <a:off x="0" y="0"/>
                                <a:ext cx="673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98425" cy="175260"/>
                      <wp:effectExtent l="0" t="0" r="0" b="0"/>
                      <wp:wrapNone/>
                      <wp:docPr id="75" name="Frame74"/>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88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386"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5" w:type="dxa"/>
            <w:tcBorders/>
            <w:shd w:fill="auto" w:val="clear"/>
            <w:vAlign w:val="center"/>
          </w:tcPr>
          <w:p>
            <w:pPr>
              <w:pStyle w:val="TableContents"/>
              <w:spacing w:before="0" w:after="1"/>
              <w:ind w:left="0" w:right="0" w:hanging="0"/>
              <w:rPr/>
            </w:pPr>
            <w:r>
              <w:rPr/>
              <w:t>​</w:t>
            </w:r>
          </w:p>
        </w:tc>
      </w:tr>
      <w:tr>
        <w:trPr/>
        <w:tc>
          <w:tcPr>
            <w:tcW w:w="788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06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2023</w:t>
            </w:r>
          </w:p>
        </w:tc>
        <w:tc>
          <w:tcPr>
            <w:tcW w:w="266" w:type="dxa"/>
            <w:tcBorders/>
            <w:shd w:fill="auto" w:val="clear"/>
            <w:vAlign w:val="center"/>
          </w:tcPr>
          <w:p>
            <w:pPr>
              <w:pStyle w:val="TableContents"/>
              <w:spacing w:before="0" w:after="1"/>
              <w:ind w:left="0" w:right="0" w:hanging="0"/>
              <w:jc w:val="center"/>
              <w:rPr/>
            </w:pPr>
            <w:r>
              <w:rPr/>
              <w:t>   </w:t>
            </w:r>
          </w:p>
        </w:tc>
        <w:tc>
          <w:tcPr>
            <w:tcW w:w="106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 2022</w:t>
            </w:r>
          </w:p>
        </w:tc>
        <w:tc>
          <w:tcPr>
            <w:tcW w:w="155" w:type="dxa"/>
            <w:tcBorders/>
            <w:shd w:fill="auto" w:val="clear"/>
            <w:vAlign w:val="center"/>
          </w:tcPr>
          <w:p>
            <w:pPr>
              <w:pStyle w:val="TableContents"/>
              <w:spacing w:before="0" w:after="1"/>
              <w:ind w:left="0" w:right="0" w:hanging="0"/>
              <w:jc w:val="center"/>
              <w:rPr/>
            </w:pPr>
            <w:r>
              <w:rPr/>
              <w:t>​</w:t>
            </w:r>
          </w:p>
        </w:tc>
      </w:tr>
      <w:tr>
        <w:trPr/>
        <w:tc>
          <w:tcPr>
            <w:tcW w:w="78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shares used to compute net (loss) income per share attributable to common stockholders – Basic</w:t>
            </w:r>
          </w:p>
        </w:tc>
        <w:tc>
          <w:tcPr>
            <w:tcW w:w="109" w:type="dxa"/>
            <w:tcBorders/>
            <w:shd w:fill="CCEEFF" w:val="clear"/>
            <w:vAlign w:val="center"/>
          </w:tcPr>
          <w:p>
            <w:pPr>
              <w:pStyle w:val="TableContents"/>
              <w:spacing w:before="0" w:after="1"/>
              <w:ind w:left="0" w:right="0" w:hanging="0"/>
              <w:rPr/>
            </w:pPr>
            <w:r>
              <w:rPr/>
              <w:t>​</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39,233,953</w:t>
            </w:r>
          </w:p>
        </w:tc>
        <w:tc>
          <w:tcPr>
            <w:tcW w:w="266" w:type="dxa"/>
            <w:tcBorders/>
            <w:shd w:fill="CCEEFF" w:val="clear"/>
            <w:vAlign w:val="center"/>
          </w:tcPr>
          <w:p>
            <w:pPr>
              <w:pStyle w:val="TableContents"/>
              <w:spacing w:before="0" w:after="1"/>
              <w:ind w:left="0" w:right="0" w:hanging="0"/>
              <w:rPr/>
            </w:pPr>
            <w:r>
              <w:rPr/>
              <w:t>​</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38,098,073</w:t>
            </w:r>
          </w:p>
        </w:tc>
        <w:tc>
          <w:tcPr>
            <w:tcW w:w="155" w:type="dxa"/>
            <w:tcBorders/>
            <w:shd w:fill="CCEEFF" w:val="clear"/>
            <w:vAlign w:val="center"/>
          </w:tcPr>
          <w:p>
            <w:pPr>
              <w:pStyle w:val="TableContents"/>
              <w:spacing w:before="0" w:after="1"/>
              <w:ind w:left="0" w:right="0" w:hanging="0"/>
              <w:rPr/>
            </w:pPr>
            <w:r>
              <w:rPr/>
              <w:t>​</w:t>
            </w:r>
          </w:p>
        </w:tc>
      </w:tr>
      <w:tr>
        <w:trPr/>
        <w:tc>
          <w:tcPr>
            <w:tcW w:w="78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Dilutive securities:</w:t>
            </w:r>
          </w:p>
        </w:tc>
        <w:tc>
          <w:tcPr>
            <w:tcW w:w="109" w:type="dxa"/>
            <w:tcBorders/>
            <w:shd w:fill="auto" w:val="clear"/>
            <w:vAlign w:val="center"/>
          </w:tcPr>
          <w:p>
            <w:pPr>
              <w:pStyle w:val="TableContents"/>
              <w:spacing w:before="0" w:after="1"/>
              <w:ind w:left="0" w:right="0" w:hanging="0"/>
              <w:rPr/>
            </w:pPr>
            <w:r>
              <w:rPr/>
              <w:t>​</w:t>
            </w:r>
          </w:p>
        </w:tc>
        <w:tc>
          <w:tcPr>
            <w:tcW w:w="1060"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1060" w:type="dxa"/>
            <w:tcBorders/>
            <w:shd w:fill="auto" w:val="clear"/>
            <w:vAlign w:val="center"/>
          </w:tcPr>
          <w:p>
            <w:pPr>
              <w:pStyle w:val="TableContents"/>
              <w:spacing w:before="0" w:after="1"/>
              <w:ind w:left="0" w:right="0" w:hanging="0"/>
              <w:rPr/>
            </w:pPr>
            <w:r>
              <w:rPr/>
              <w:t>​</w:t>
            </w:r>
          </w:p>
        </w:tc>
        <w:tc>
          <w:tcPr>
            <w:tcW w:w="155" w:type="dxa"/>
            <w:tcBorders/>
            <w:shd w:fill="auto" w:val="clear"/>
            <w:vAlign w:val="center"/>
          </w:tcPr>
          <w:p>
            <w:pPr>
              <w:pStyle w:val="TableContents"/>
              <w:spacing w:before="0" w:after="1"/>
              <w:ind w:left="0" w:right="0" w:hanging="0"/>
              <w:rPr/>
            </w:pPr>
            <w:r>
              <w:rPr/>
              <w:t>​</w:t>
            </w:r>
          </w:p>
        </w:tc>
      </w:tr>
      <w:tr>
        <w:trPr/>
        <w:tc>
          <w:tcPr>
            <w:tcW w:w="78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restricted stock</w:t>
            </w:r>
          </w:p>
        </w:tc>
        <w:tc>
          <w:tcPr>
            <w:tcW w:w="109" w:type="dxa"/>
            <w:tcBorders/>
            <w:shd w:fill="CCEEFF" w:val="clear"/>
            <w:vAlign w:val="center"/>
          </w:tcPr>
          <w:p>
            <w:pPr>
              <w:pStyle w:val="TableContents"/>
              <w:spacing w:before="0" w:after="1"/>
              <w:ind w:left="0" w:right="0" w:hanging="0"/>
              <w:rPr/>
            </w:pPr>
            <w:r>
              <w:rPr/>
              <w:t>​</w:t>
            </w:r>
          </w:p>
        </w:tc>
        <w:tc>
          <w:tcPr>
            <w:tcW w:w="1060" w:type="dxa"/>
            <w:tcBorders/>
            <w:shd w:fill="CCEEFF" w:val="clear"/>
            <w:vAlign w:val="center"/>
          </w:tcPr>
          <w:p>
            <w:pPr>
              <w:pStyle w:val="TableContents"/>
              <w:spacing w:before="0" w:after="1"/>
              <w:ind w:left="0" w:right="0" w:hanging="0"/>
              <w:jc w:val="right"/>
              <w:rPr/>
            </w:pPr>
            <w:r>
              <w:rPr/>
              <w:t>—</w:t>
            </w:r>
          </w:p>
        </w:tc>
        <w:tc>
          <w:tcPr>
            <w:tcW w:w="266" w:type="dxa"/>
            <w:tcBorders/>
            <w:shd w:fill="CCEEFF" w:val="clear"/>
            <w:vAlign w:val="center"/>
          </w:tcPr>
          <w:p>
            <w:pPr>
              <w:pStyle w:val="TableContents"/>
              <w:spacing w:before="0" w:after="1"/>
              <w:ind w:left="0" w:right="0" w:hanging="0"/>
              <w:rPr/>
            </w:pPr>
            <w:r>
              <w:rPr/>
              <w:t>​</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94,659</w:t>
            </w:r>
          </w:p>
        </w:tc>
        <w:tc>
          <w:tcPr>
            <w:tcW w:w="155" w:type="dxa"/>
            <w:tcBorders/>
            <w:shd w:fill="CCEEFF" w:val="clear"/>
            <w:vAlign w:val="center"/>
          </w:tcPr>
          <w:p>
            <w:pPr>
              <w:pStyle w:val="TableContents"/>
              <w:spacing w:before="0" w:after="1"/>
              <w:ind w:left="0" w:right="0" w:hanging="0"/>
              <w:rPr/>
            </w:pPr>
            <w:r>
              <w:rPr/>
              <w:t>​</w:t>
            </w:r>
          </w:p>
        </w:tc>
      </w:tr>
      <w:tr>
        <w:trPr/>
        <w:tc>
          <w:tcPr>
            <w:tcW w:w="78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restricted stock units (RSUs)</w:t>
            </w:r>
          </w:p>
        </w:tc>
        <w:tc>
          <w:tcPr>
            <w:tcW w:w="109" w:type="dxa"/>
            <w:tcBorders/>
            <w:shd w:fill="auto" w:val="clear"/>
            <w:vAlign w:val="center"/>
          </w:tcPr>
          <w:p>
            <w:pPr>
              <w:pStyle w:val="TableContents"/>
              <w:spacing w:before="0" w:after="1"/>
              <w:ind w:left="0" w:right="0" w:hanging="0"/>
              <w:rPr/>
            </w:pPr>
            <w:r>
              <w:rPr/>
              <w:t>​</w:t>
            </w:r>
          </w:p>
        </w:tc>
        <w:tc>
          <w:tcPr>
            <w:tcW w:w="1060" w:type="dxa"/>
            <w:tcBorders/>
            <w:shd w:fill="auto" w:val="clear"/>
            <w:vAlign w:val="center"/>
          </w:tcPr>
          <w:p>
            <w:pPr>
              <w:pStyle w:val="TableContents"/>
              <w:spacing w:before="0" w:after="1"/>
              <w:ind w:left="0" w:right="0" w:hanging="0"/>
              <w:jc w:val="right"/>
              <w:rPr/>
            </w:pPr>
            <w:r>
              <w:rPr/>
              <w:t>—</w:t>
            </w:r>
          </w:p>
        </w:tc>
        <w:tc>
          <w:tcPr>
            <w:tcW w:w="266" w:type="dxa"/>
            <w:tcBorders/>
            <w:shd w:fill="auto" w:val="clear"/>
            <w:vAlign w:val="center"/>
          </w:tcPr>
          <w:p>
            <w:pPr>
              <w:pStyle w:val="TableContents"/>
              <w:spacing w:before="0" w:after="1"/>
              <w:ind w:left="0" w:right="0" w:hanging="0"/>
              <w:rPr/>
            </w:pPr>
            <w:r>
              <w:rPr/>
              <w:t>​</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4,854</w:t>
            </w:r>
          </w:p>
        </w:tc>
        <w:tc>
          <w:tcPr>
            <w:tcW w:w="155" w:type="dxa"/>
            <w:tcBorders/>
            <w:shd w:fill="auto" w:val="clear"/>
            <w:vAlign w:val="center"/>
          </w:tcPr>
          <w:p>
            <w:pPr>
              <w:pStyle w:val="TableContents"/>
              <w:spacing w:before="0" w:after="1"/>
              <w:ind w:left="0" w:right="0" w:hanging="0"/>
              <w:rPr/>
            </w:pPr>
            <w:r>
              <w:rPr/>
              <w:t>​</w:t>
            </w:r>
          </w:p>
        </w:tc>
      </w:tr>
      <w:tr>
        <w:trPr/>
        <w:tc>
          <w:tcPr>
            <w:tcW w:w="78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Special compensation awards</w:t>
            </w:r>
          </w:p>
        </w:tc>
        <w:tc>
          <w:tcPr>
            <w:tcW w:w="109" w:type="dxa"/>
            <w:tcBorders/>
            <w:shd w:fill="CCEEFF" w:val="clear"/>
            <w:vAlign w:val="center"/>
          </w:tcPr>
          <w:p>
            <w:pPr>
              <w:pStyle w:val="TableContents"/>
              <w:spacing w:before="0" w:after="1"/>
              <w:ind w:left="0" w:right="0" w:hanging="0"/>
              <w:rPr/>
            </w:pPr>
            <w:r>
              <w:rPr/>
              <w:t>​</w:t>
            </w:r>
          </w:p>
        </w:tc>
        <w:tc>
          <w:tcPr>
            <w:tcW w:w="106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66" w:type="dxa"/>
            <w:tcBorders/>
            <w:shd w:fill="CCEEFF" w:val="clear"/>
            <w:vAlign w:val="center"/>
          </w:tcPr>
          <w:p>
            <w:pPr>
              <w:pStyle w:val="TableContents"/>
              <w:spacing w:before="0" w:after="1"/>
              <w:ind w:left="0" w:right="0" w:hanging="0"/>
              <w:rPr/>
            </w:pPr>
            <w:r>
              <w:rPr/>
              <w:t>​</w:t>
            </w:r>
          </w:p>
        </w:tc>
        <w:tc>
          <w:tcPr>
            <w:tcW w:w="10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188,179</w:t>
            </w:r>
          </w:p>
        </w:tc>
        <w:tc>
          <w:tcPr>
            <w:tcW w:w="155" w:type="dxa"/>
            <w:tcBorders/>
            <w:shd w:fill="CCEEFF" w:val="clear"/>
            <w:vAlign w:val="center"/>
          </w:tcPr>
          <w:p>
            <w:pPr>
              <w:pStyle w:val="TableContents"/>
              <w:spacing w:before="0" w:after="1"/>
              <w:ind w:left="0" w:right="0" w:hanging="0"/>
              <w:rPr/>
            </w:pPr>
            <w:r>
              <w:rPr/>
              <w:t>​</w:t>
            </w:r>
          </w:p>
        </w:tc>
      </w:tr>
      <w:tr>
        <w:trPr/>
        <w:tc>
          <w:tcPr>
            <w:tcW w:w="78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shares used to compute net (loss) income per share attributable to common stockholders – Diluted</w:t>
            </w:r>
          </w:p>
        </w:tc>
        <w:tc>
          <w:tcPr>
            <w:tcW w:w="109" w:type="dxa"/>
            <w:tcBorders/>
            <w:shd w:fill="auto" w:val="clear"/>
            <w:vAlign w:val="center"/>
          </w:tcPr>
          <w:p>
            <w:pPr>
              <w:pStyle w:val="TableContents"/>
              <w:spacing w:before="0" w:after="1"/>
              <w:ind w:left="0" w:right="0" w:hanging="0"/>
              <w:rPr/>
            </w:pPr>
            <w:r>
              <w:rPr/>
              <w:t>​</w:t>
            </w:r>
          </w:p>
        </w:tc>
        <w:tc>
          <w:tcPr>
            <w:tcW w:w="106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39,233,953</w:t>
            </w:r>
          </w:p>
        </w:tc>
        <w:tc>
          <w:tcPr>
            <w:tcW w:w="266" w:type="dxa"/>
            <w:tcBorders/>
            <w:shd w:fill="auto" w:val="clear"/>
            <w:vAlign w:val="center"/>
          </w:tcPr>
          <w:p>
            <w:pPr>
              <w:pStyle w:val="TableContents"/>
              <w:spacing w:before="0" w:after="1"/>
              <w:ind w:left="0" w:right="0" w:hanging="0"/>
              <w:rPr/>
            </w:pPr>
            <w:r>
              <w:rPr/>
              <w:t>​</w:t>
            </w:r>
          </w:p>
        </w:tc>
        <w:tc>
          <w:tcPr>
            <w:tcW w:w="106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38,385,765</w:t>
            </w:r>
          </w:p>
        </w:tc>
        <w:tc>
          <w:tcPr>
            <w:tcW w:w="155"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securities were excluded from the computation of diluted net (loss) income per share attributable to common stockholders for the periods presented because including them would have been anti-dilutive (on an as-converted basis):</w:t>
      </w:r>
    </w:p>
    <w:p>
      <w:pPr>
        <w:pStyle w:val="TextBody"/>
        <w:spacing w:before="0" w:after="240"/>
        <w:ind w:left="0" w:right="0" w:firstLine="360"/>
        <w:jc w:val="both"/>
        <w:rPr/>
      </w:pPr>
      <w:r>
        <w:rPr/>
        <w:t>​</w:t>
      </w:r>
    </w:p>
    <w:tbl>
      <w:tblPr>
        <w:tblW w:w="5640" w:type="dxa"/>
        <w:jc w:val="left"/>
        <w:tblInd w:w="0" w:type="dxa"/>
        <w:tblCellMar>
          <w:top w:w="0" w:type="dxa"/>
          <w:left w:w="0" w:type="dxa"/>
          <w:bottom w:w="0" w:type="dxa"/>
          <w:right w:w="0" w:type="dxa"/>
        </w:tblCellMar>
      </w:tblPr>
      <w:tblGrid>
        <w:gridCol w:w="3136"/>
        <w:gridCol w:w="109"/>
        <w:gridCol w:w="1066"/>
        <w:gridCol w:w="109"/>
        <w:gridCol w:w="1066"/>
        <w:gridCol w:w="154"/>
      </w:tblGrid>
      <w:tr>
        <w:trPr/>
        <w:tc>
          <w:tcPr>
            <w:tcW w:w="31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991360" cy="175260"/>
                      <wp:effectExtent l="0" t="0" r="0" b="0"/>
                      <wp:wrapNone/>
                      <wp:docPr id="76" name="Frame75"/>
                      <a:graphic xmlns:a="http://schemas.openxmlformats.org/drawingml/2006/main">
                        <a:graphicData uri="http://schemas.microsoft.com/office/word/2010/wordprocessingShape">
                          <wps:wsp>
                            <wps:cNvSpPr txBox="1"/>
                            <wps:spPr>
                              <a:xfrm>
                                <a:off x="0" y="0"/>
                                <a:ext cx="1991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76910" cy="175260"/>
                      <wp:effectExtent l="0" t="0" r="0" b="0"/>
                      <wp:wrapNone/>
                      <wp:docPr id="78" name="Frame77"/>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76910" cy="175260"/>
                      <wp:effectExtent l="0" t="0" r="0" b="0"/>
                      <wp:wrapNone/>
                      <wp:docPr id="80" name="Frame79"/>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7790" cy="175260"/>
                      <wp:effectExtent l="0" t="0" r="0" b="0"/>
                      <wp:wrapNone/>
                      <wp:docPr id="81" name="Frame8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241"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shd w:fill="auto" w:val="clear"/>
            <w:vAlign w:val="center"/>
          </w:tcPr>
          <w:p>
            <w:pPr>
              <w:pStyle w:val="TableContents"/>
              <w:spacing w:before="0" w:after="0"/>
              <w:ind w:left="0" w:right="0" w:hanging="0"/>
              <w:rPr/>
            </w:pPr>
            <w:r>
              <w:rPr/>
              <w:t>​</w:t>
            </w:r>
          </w:p>
        </w:tc>
      </w:tr>
      <w:tr>
        <w:trPr/>
        <w:tc>
          <w:tcPr>
            <w:tcW w:w="31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2023</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 2022</w:t>
            </w:r>
          </w:p>
        </w:tc>
        <w:tc>
          <w:tcPr>
            <w:tcW w:w="154" w:type="dxa"/>
            <w:tcBorders/>
            <w:shd w:fill="auto" w:val="clear"/>
            <w:vAlign w:val="center"/>
          </w:tcPr>
          <w:p>
            <w:pPr>
              <w:pStyle w:val="TableContents"/>
              <w:spacing w:before="0" w:after="0"/>
              <w:ind w:left="0" w:right="0" w:hanging="0"/>
              <w:jc w:val="center"/>
              <w:rPr/>
            </w:pPr>
            <w:r>
              <w:rPr/>
              <w:t>​</w:t>
            </w:r>
          </w:p>
        </w:tc>
      </w:tr>
      <w:tr>
        <w:trPr/>
        <w:tc>
          <w:tcPr>
            <w:tcW w:w="31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09"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322,793</w:t>
            </w:r>
          </w:p>
        </w:tc>
        <w:tc>
          <w:tcPr>
            <w:tcW w:w="154" w:type="dxa"/>
            <w:tcBorders/>
            <w:shd w:fill="CCEEFF" w:val="clear"/>
            <w:vAlign w:val="center"/>
          </w:tcPr>
          <w:p>
            <w:pPr>
              <w:pStyle w:val="TableContents"/>
              <w:spacing w:before="0" w:after="0"/>
              <w:ind w:left="0" w:right="0" w:hanging="0"/>
              <w:rPr/>
            </w:pPr>
            <w:r>
              <w:rPr/>
              <w:t>​</w:t>
            </w:r>
          </w:p>
        </w:tc>
      </w:tr>
      <w:tr>
        <w:trPr/>
        <w:tc>
          <w:tcPr>
            <w:tcW w:w="31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Unvested restricted stock</w:t>
            </w:r>
          </w:p>
        </w:tc>
        <w:tc>
          <w:tcPr>
            <w:tcW w:w="109"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66,313</w:t>
            </w:r>
          </w:p>
        </w:tc>
        <w:tc>
          <w:tcPr>
            <w:tcW w:w="109"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234,169</w:t>
            </w:r>
          </w:p>
        </w:tc>
        <w:tc>
          <w:tcPr>
            <w:tcW w:w="154" w:type="dxa"/>
            <w:tcBorders/>
            <w:shd w:fill="auto" w:val="clear"/>
            <w:vAlign w:val="center"/>
          </w:tcPr>
          <w:p>
            <w:pPr>
              <w:pStyle w:val="TableContents"/>
              <w:spacing w:before="0" w:after="0"/>
              <w:ind w:left="0" w:right="0" w:hanging="0"/>
              <w:rPr/>
            </w:pPr>
            <w:r>
              <w:rPr/>
              <w:t>​</w:t>
            </w:r>
          </w:p>
        </w:tc>
      </w:tr>
      <w:tr>
        <w:trPr/>
        <w:tc>
          <w:tcPr>
            <w:tcW w:w="31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Unvested RSUs</w:t>
            </w:r>
          </w:p>
        </w:tc>
        <w:tc>
          <w:tcPr>
            <w:tcW w:w="109"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4,024,510</w:t>
            </w:r>
          </w:p>
        </w:tc>
        <w:tc>
          <w:tcPr>
            <w:tcW w:w="109"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1,417,657</w:t>
            </w:r>
          </w:p>
        </w:tc>
        <w:tc>
          <w:tcPr>
            <w:tcW w:w="154" w:type="dxa"/>
            <w:tcBorders/>
            <w:shd w:fill="CCEEFF" w:val="clear"/>
            <w:vAlign w:val="center"/>
          </w:tcPr>
          <w:p>
            <w:pPr>
              <w:pStyle w:val="TableContents"/>
              <w:spacing w:before="0" w:after="0"/>
              <w:ind w:left="0" w:right="0" w:hanging="0"/>
              <w:rPr/>
            </w:pPr>
            <w:r>
              <w:rPr/>
              <w:t>​</w:t>
            </w:r>
          </w:p>
        </w:tc>
      </w:tr>
      <w:tr>
        <w:trPr/>
        <w:tc>
          <w:tcPr>
            <w:tcW w:w="31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Performance stock units</w:t>
            </w:r>
          </w:p>
        </w:tc>
        <w:tc>
          <w:tcPr>
            <w:tcW w:w="109"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1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Employee stock purchase plan shares</w:t>
            </w:r>
          </w:p>
        </w:tc>
        <w:tc>
          <w:tcPr>
            <w:tcW w:w="109" w:type="dxa"/>
            <w:tcBorders/>
            <w:shd w:fill="CCEEFF" w:val="cle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146,535</w:t>
            </w:r>
          </w:p>
        </w:tc>
        <w:tc>
          <w:tcPr>
            <w:tcW w:w="109" w:type="dxa"/>
            <w:tcBorders/>
            <w:shd w:fill="CCEEFF" w:val="clear"/>
            <w:vAlign w:val="center"/>
          </w:tcPr>
          <w:p>
            <w:pPr>
              <w:pStyle w:val="TableContents"/>
              <w:spacing w:before="0" w:after="0"/>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1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10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6,210,326</w:t>
            </w:r>
          </w:p>
        </w:tc>
        <w:tc>
          <w:tcPr>
            <w:tcW w:w="109" w:type="dxa"/>
            <w:tcBorders/>
            <w:shd w:fill="auto" w:val="clear"/>
            <w:vAlign w:val="center"/>
          </w:tcPr>
          <w:p>
            <w:pPr>
              <w:pStyle w:val="TableContents"/>
              <w:spacing w:before="0" w:after="0"/>
              <w:ind w:left="0" w:right="0" w:hanging="0"/>
              <w:rPr/>
            </w:pPr>
            <w:r>
              <w:rPr/>
              <w:t>​</w:t>
            </w:r>
          </w:p>
        </w:tc>
        <w:tc>
          <w:tcPr>
            <w:tcW w:w="10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1,974,619</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2016, the FASB issued ASU 2016-13, Financial Instruments – Credit Losses (Topic 326): Measurement of Credit Losses on Financial Instruments, as amended, which amends guidance on reporting credit losses for assets held at amortized cost basis and available-for-sale debt securities from an incurred loss methodology to an expected loss methodology. For assets held at amortized cost basis, the guidance eliminates the probable initial recognition threshold and instead requires an entity to reflect its current estimate of all expected credit losses. The allowance for credit losses is a valuation account that is deducted from the amortized cost basis of the assets to present the net amount expected to be collected. For available-for-sale debt securities, credit losses are recorded through an allowance for credit losses, rather than a write-down, limited to the amount by which fair value is below amortized cost. Additional disclosures about significant estimates and credit quality are also required. The guidance is effective for the Company for fiscal years beginning after December 15, 2022. The Company adopted this guidance on January 2, 2023, and it did not have a material impact on its consolidated financial statements or disclosure requirements.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are no new recent accounting pronouncements that are expected to have a material impact on our consolidated financial statements.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Fair Value Measurements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financial instruments consist of cash and cash equivalents, restricted cash, accounts payable, accrued expenses and revolving line of credit. As of April 2, 2023 and January 1, 2023, the carrying values of cash and cash equivalents, restricted cash, accounts payable and accrued expenses approximate fair value due to their short-term maturities. The fair value of the Company’s Revolving Facility that provides for borrowings up to $50.0 million (see Note 5, </w:t>
      </w:r>
      <w:r>
        <w:rPr>
          <w:rFonts w:ascii="Times New Roman;Times;serif" w:hAnsi="Times New Roman;Times;serif"/>
          <w:i/>
          <w:sz w:val="20"/>
        </w:rPr>
        <w:t>Debt</w:t>
      </w:r>
      <w:r>
        <w:rPr>
          <w:rFonts w:ascii="Times New Roman;Times;serif" w:hAnsi="Times New Roman;Times;serif"/>
          <w:sz w:val="20"/>
        </w:rPr>
        <w:t>) approximates its carrying value as the stated interest rates reset daily at the daily secured overnight financing rate (“SOFR”) plus an applicable margin and, as such, approximate market rates currently available to the Company. The Company does not have any financial instruments that were determined to be Level 3.</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99" w:name="Tc_kzuWxaZD9UmJuhUVxuy6xw_7_5"/>
      <w:bookmarkStart w:id="700" w:name="Tc_i39oq50VHEWHa47ejH-SPQ_7_2"/>
      <w:bookmarkStart w:id="701" w:name="Tc_ntGrXLUP1EWFYGGD6yUrxA_7_0"/>
      <w:bookmarkStart w:id="702" w:name="Tc_r_KERo6Ps0Kp-Qn-d-hpww_6_0"/>
      <w:bookmarkStart w:id="703" w:name="Tc_O4sH1Eh6VEiCCUWqhDHxLA_5_0"/>
      <w:bookmarkStart w:id="704" w:name="Tc_s2j-vYQycUSBVw9YrppD7w_4_0"/>
      <w:bookmarkStart w:id="705" w:name="Tc_LVE1o7kde0CWMwqq5TIRwg_3_5"/>
      <w:bookmarkStart w:id="706" w:name="Tc_02x3yqMgAU-pNctWDDuVZg_3_2"/>
      <w:bookmarkStart w:id="707" w:name="Tc_qeGrBSo2tUyVdHlS41jv_A_3_0"/>
      <w:bookmarkStart w:id="708" w:name="Tc_Comrf8sbmESe8mXOdsdQ3Q_2_5"/>
      <w:bookmarkStart w:id="709" w:name="Tc_zH6GsH_0vE6QR6GaEc-fQg_2_2"/>
      <w:bookmarkStart w:id="710" w:name="Tc_oXQnI03s0EyWX6sjPnQSmA_1_5"/>
      <w:bookmarkStart w:id="711" w:name="Tc_aQ4jI6xJsUq63saNqeB8mg_1_2"/>
      <w:bookmarkStart w:id="712" w:name="_460b0449_a0d3_4593_8467_82a82ef1c094"/>
      <w:bookmarkStart w:id="713" w:name="Tc_TK2Eu5SRq0e84IMobWbiIg_9_7"/>
      <w:bookmarkStart w:id="714" w:name="Tc_a7AdtE4V6k6OxkZ3vHSWug_9_4"/>
      <w:bookmarkStart w:id="715" w:name="Tc_3rx0hQUUNUCpK9H-Q-vgJA_9_0"/>
      <w:bookmarkStart w:id="716" w:name="Tc_MdUSxNn6AUKz60WWAMMOXg_8_0"/>
      <w:bookmarkStart w:id="717" w:name="Tc_Vwr82G_4mEyBgQNrBTQYAA_7_0"/>
      <w:bookmarkStart w:id="718" w:name="Tc_hzJ_x1ximkCGqzVQmjiXcw_6_0"/>
      <w:bookmarkStart w:id="719" w:name="Tc_gQSl6nOk2UiHZhdbSLj8oQ_5_2"/>
      <w:bookmarkStart w:id="720" w:name="Tc_hSnzKDuDWE-mjNnnaqL8Rw_5_0"/>
      <w:bookmarkStart w:id="721" w:name="Tc_RNizFC59xk6ZDQcw_dT2GA_4_2"/>
      <w:bookmarkStart w:id="722" w:name="Tc_IjaSpqnkkkmCUe5yb3aI_g_4_0"/>
      <w:bookmarkStart w:id="723" w:name="Tc_YNnam6okc06Sr2c-m1ssJA_3_7"/>
      <w:bookmarkStart w:id="724" w:name="Tc_8Wuc_NGy_k2nUjD5H6zMaA_3_4"/>
      <w:bookmarkStart w:id="725" w:name="Tc__FFAqh3xI0W0zh7Wn_pRZg_3_2"/>
      <w:bookmarkStart w:id="726" w:name="Tc_m5tTE6_OQEezxkeWQEKEww_3_0"/>
      <w:bookmarkStart w:id="727" w:name="Tc_LxQ5fhI4OU-3CvPwy-hTBQ_2_7"/>
      <w:bookmarkStart w:id="728" w:name="Tc_693btquF1Ue_10zMVsVqZw_2_4"/>
      <w:bookmarkStart w:id="729" w:name="Tc_1fyWBAlH80Wp7jMIcbZG4A_2_2"/>
      <w:bookmarkStart w:id="730" w:name="Tc_KGNbOU26AkyzBpeRwBHGkA_1_7"/>
      <w:bookmarkStart w:id="731" w:name="Tc_CSA6IQsf3Ei1a3Ng7CgeXQ_1_4"/>
      <w:bookmarkStart w:id="732" w:name="Tc_g9B_D2q8v0S7FpzPRxAzMQ_1_2"/>
      <w:bookmarkStart w:id="733" w:name="_4783ab0d_9cbd_42c1_a325_d295bf15ac19"/>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Times New Roman;Times;serif" w:hAnsi="Times New Roman;Times;serif"/>
          <w:b/>
          <w:i w:val="false"/>
          <w:caps w:val="false"/>
          <w:smallCaps w:val="false"/>
          <w:sz w:val="20"/>
        </w:rPr>
        <w:t>4.</w:t>
      </w:r>
      <w:r>
        <w:rPr>
          <w:rFonts w:ascii="Times New Roman;Times;serif" w:hAnsi="Times New Roman;Times;serif"/>
          <w:b/>
          <w:sz w:val="20"/>
        </w:rPr>
        <w:t>Balance Sheet Components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Property and Equipment, net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 (in thousands):</w:t>
      </w:r>
    </w:p>
    <w:p>
      <w:pPr>
        <w:pStyle w:val="TextBody"/>
        <w:spacing w:before="0" w:after="240"/>
        <w:ind w:left="0" w:right="0" w:firstLine="360"/>
        <w:jc w:val="both"/>
        <w:rPr/>
      </w:pPr>
      <w:r>
        <w:rPr/>
        <w:t>​</w:t>
      </w:r>
    </w:p>
    <w:tbl>
      <w:tblPr>
        <w:tblW w:w="8679" w:type="dxa"/>
        <w:jc w:val="left"/>
        <w:tblInd w:w="0" w:type="dxa"/>
        <w:tblCellMar>
          <w:top w:w="0" w:type="dxa"/>
          <w:left w:w="0" w:type="dxa"/>
          <w:bottom w:w="0" w:type="dxa"/>
          <w:right w:w="0" w:type="dxa"/>
        </w:tblCellMar>
      </w:tblPr>
      <w:tblGrid>
        <w:gridCol w:w="4111"/>
        <w:gridCol w:w="326"/>
        <w:gridCol w:w="1741"/>
        <w:gridCol w:w="326"/>
        <w:gridCol w:w="211"/>
        <w:gridCol w:w="691"/>
        <w:gridCol w:w="326"/>
        <w:gridCol w:w="211"/>
        <w:gridCol w:w="736"/>
      </w:tblGrid>
      <w:tr>
        <w:trPr/>
        <w:tc>
          <w:tcPr>
            <w:tcW w:w="4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610485" cy="175260"/>
                      <wp:effectExtent l="0" t="0" r="0" b="0"/>
                      <wp:wrapNone/>
                      <wp:docPr id="82" name="Frame81"/>
                      <a:graphic xmlns:a="http://schemas.openxmlformats.org/drawingml/2006/main">
                        <a:graphicData uri="http://schemas.microsoft.com/office/word/2010/wordprocessingShape">
                          <wps:wsp>
                            <wps:cNvSpPr txBox="1"/>
                            <wps:spPr>
                              <a:xfrm>
                                <a:off x="0" y="0"/>
                                <a:ext cx="2610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105535" cy="175260"/>
                      <wp:effectExtent l="0" t="0" r="0" b="0"/>
                      <wp:wrapNone/>
                      <wp:docPr id="84" name="Frame83"/>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38785" cy="175260"/>
                      <wp:effectExtent l="0" t="0" r="0" b="0"/>
                      <wp:wrapNone/>
                      <wp:docPr id="87" name="Frame8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67360" cy="175260"/>
                      <wp:effectExtent l="0" t="0" r="0" b="0"/>
                      <wp:wrapNone/>
                      <wp:docPr id="90" name="Frame89"/>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7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2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shd w:fill="auto" w:val="clear"/>
            <w:vAlign w:val="center"/>
          </w:tcPr>
          <w:p>
            <w:pPr>
              <w:pStyle w:val="TableContents"/>
              <w:spacing w:before="0" w:after="0"/>
              <w:ind w:left="0" w:right="0" w:hanging="0"/>
              <w:jc w:val="center"/>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rPr/>
            </w:pPr>
            <w:r>
              <w:rPr/>
              <w:t>​</w:t>
            </w:r>
          </w:p>
        </w:tc>
        <w:tc>
          <w:tcPr>
            <w:tcW w:w="174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3,802</w:t>
            </w:r>
          </w:p>
        </w:tc>
      </w:tr>
      <w:tr>
        <w:trPr/>
        <w:tc>
          <w:tcPr>
            <w:tcW w:w="41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shd w:fill="auto" w:val="clear"/>
            <w:vAlign w:val="center"/>
          </w:tcPr>
          <w:p>
            <w:pPr>
              <w:pStyle w:val="TableContents"/>
              <w:spacing w:before="0" w:after="0"/>
              <w:ind w:left="0" w:right="0" w:hanging="0"/>
              <w:rPr/>
            </w:pPr>
            <w:r>
              <w:rPr/>
              <w:t>​</w:t>
            </w:r>
          </w:p>
        </w:tc>
        <w:tc>
          <w:tcPr>
            <w:tcW w:w="17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r>
      <w:tr>
        <w:trPr/>
        <w:tc>
          <w:tcPr>
            <w:tcW w:w="41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spacing w:before="0" w:after="0"/>
              <w:ind w:left="0" w:right="0" w:hanging="0"/>
              <w:rPr/>
            </w:pPr>
            <w:r>
              <w:rPr/>
              <w:t>​</w:t>
            </w:r>
          </w:p>
        </w:tc>
        <w:tc>
          <w:tcPr>
            <w:tcW w:w="174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r>
      <w:tr>
        <w:trPr/>
        <w:tc>
          <w:tcPr>
            <w:tcW w:w="41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auto" w:val="clear"/>
            <w:vAlign w:val="center"/>
          </w:tcPr>
          <w:p>
            <w:pPr>
              <w:pStyle w:val="TableContents"/>
              <w:spacing w:before="0" w:after="0"/>
              <w:ind w:left="0" w:right="0" w:hanging="0"/>
              <w:rPr/>
            </w:pPr>
            <w:r>
              <w:rPr/>
              <w:t>​</w:t>
            </w:r>
          </w:p>
        </w:tc>
        <w:tc>
          <w:tcPr>
            <w:tcW w:w="1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spacing w:before="0" w:after="0"/>
              <w:ind w:left="0" w:right="0" w:hanging="0"/>
              <w:rPr/>
            </w:pPr>
            <w:r>
              <w:rPr/>
              <w:t>​</w:t>
            </w:r>
          </w:p>
        </w:tc>
        <w:tc>
          <w:tcPr>
            <w:tcW w:w="17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8,377</w:t>
            </w:r>
          </w:p>
        </w:tc>
      </w:tr>
      <w:tr>
        <w:trPr/>
        <w:tc>
          <w:tcPr>
            <w:tcW w:w="41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auto" w:val="clear"/>
            <w:vAlign w:val="center"/>
          </w:tcPr>
          <w:p>
            <w:pPr>
              <w:pStyle w:val="TableContents"/>
              <w:spacing w:before="0" w:after="0"/>
              <w:ind w:left="0" w:right="0" w:hanging="0"/>
              <w:rPr/>
            </w:pPr>
            <w:r>
              <w:rPr/>
              <w:t>​</w:t>
            </w:r>
          </w:p>
        </w:tc>
        <w:tc>
          <w:tcPr>
            <w:tcW w:w="1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17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4,391</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of property and equipment for the thirteen weeks ended April 2, 2023 and April 3, 2022 was $0.7 million and $0.4 million,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Accrued Expenses and Other Current Liabilities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spacing w:before="0" w:after="240"/>
        <w:ind w:left="0" w:right="0" w:firstLine="360"/>
        <w:jc w:val="both"/>
        <w:rPr/>
      </w:pPr>
      <w:r>
        <w:rPr/>
        <w:t>​</w:t>
      </w:r>
    </w:p>
    <w:tbl>
      <w:tblPr>
        <w:tblW w:w="6357" w:type="dxa"/>
        <w:jc w:val="left"/>
        <w:tblInd w:w="0" w:type="dxa"/>
        <w:tblCellMar>
          <w:top w:w="0" w:type="dxa"/>
          <w:left w:w="0" w:type="dxa"/>
          <w:bottom w:w="0" w:type="dxa"/>
          <w:right w:w="0" w:type="dxa"/>
        </w:tblCellMar>
      </w:tblPr>
      <w:tblGrid>
        <w:gridCol w:w="3826"/>
        <w:gridCol w:w="326"/>
        <w:gridCol w:w="211"/>
        <w:gridCol w:w="676"/>
        <w:gridCol w:w="326"/>
        <w:gridCol w:w="211"/>
        <w:gridCol w:w="781"/>
      </w:tblGrid>
      <w:tr>
        <w:trPr/>
        <w:tc>
          <w:tcPr>
            <w:tcW w:w="3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429510" cy="175260"/>
                      <wp:effectExtent l="0" t="0" r="0" b="0"/>
                      <wp:wrapNone/>
                      <wp:docPr id="91" name="Frame90"/>
                      <a:graphic xmlns:a="http://schemas.openxmlformats.org/drawingml/2006/main">
                        <a:graphicData uri="http://schemas.microsoft.com/office/word/2010/wordprocessingShape">
                          <wps:wsp>
                            <wps:cNvSpPr txBox="1"/>
                            <wps:spPr>
                              <a:xfrm>
                                <a:off x="0" y="0"/>
                                <a:ext cx="2429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9260" cy="175260"/>
                      <wp:effectExtent l="0" t="0" r="0" b="0"/>
                      <wp:wrapNone/>
                      <wp:docPr id="94" name="Frame9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95935" cy="175260"/>
                      <wp:effectExtent l="0" t="0" r="0" b="0"/>
                      <wp:wrapNone/>
                      <wp:docPr id="97" name="Frame9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3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2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6,751</w:t>
            </w:r>
          </w:p>
        </w:tc>
      </w:tr>
      <w:tr>
        <w:trPr/>
        <w:tc>
          <w:tcPr>
            <w:tcW w:w="38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Accrued marketing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6,387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r>
      <w:tr>
        <w:trPr/>
        <w:tc>
          <w:tcPr>
            <w:tcW w:w="382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Accrued inventory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3,411</w:t>
            </w:r>
          </w:p>
        </w:tc>
      </w:tr>
      <w:tr>
        <w:trPr/>
        <w:tc>
          <w:tcPr>
            <w:tcW w:w="38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4,608</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26,678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17,976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240"/>
        <w:ind w:left="0" w:right="0" w:hanging="0"/>
        <w:rPr/>
      </w:pPr>
      <w:r>
        <w:rPr/>
        <w:t>​</w:t>
      </w:r>
    </w:p>
    <w:p>
      <w:pPr>
        <w:pStyle w:val="TextBody"/>
        <w:pBdr/>
        <w:spacing w:before="0" w:after="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Debt</w:t>
      </w:r>
    </w:p>
    <w:p>
      <w:pPr>
        <w:pStyle w:val="TextBody"/>
        <w:pBdr/>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Revolving Facility</w:t>
      </w:r>
    </w:p>
    <w:p>
      <w:pPr>
        <w:pStyle w:val="TextBody"/>
        <w:pBdr/>
        <w:shd w:fill="FFFFFF" w:val="clear"/>
        <w:spacing w:before="0" w:after="0"/>
        <w:ind w:left="0" w:right="0" w:firstLine="360"/>
        <w:jc w:val="both"/>
        <w:rPr>
          <w:rFonts w:ascii="Times New Roman;Times;serif" w:hAnsi="Times New Roman;Times;serif"/>
          <w:sz w:val="20"/>
        </w:rPr>
      </w:pPr>
      <w:r>
        <w:rPr>
          <w:rFonts w:ascii="Times New Roman;Times;serif" w:hAnsi="Times New Roman;Times;serif"/>
          <w:sz w:val="20"/>
        </w:rPr>
        <w:t>During November 2021, the Company entered into a Credit Agreement with Bank of America (the “Credit Agreement”) to provide the Revolving Facility that provides for borrowings up to $50.0 million (the "Revolving Facility"). During the term of the Credit Agreement, the Company can increase the aggregate amount of the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(“Letter of Credit”). During the thirteen weeks ended April 2, 2023, the Company borrowed $2.0 million under the Revolving Facility and repaid $7.0 million of the outstanding balance. The Revolving Facility matures on November 15, 2024, while the Letter of Credit matures on November 8, 2024. As of April 2, 2023, we had $0.3 million outstanding under the Letter of Credit. As of April 2, 2023, we had $29.7 million available for borrowing under the Revolving Facility and $7.2 million available to issue letters of credit.</w:t>
      </w:r>
    </w:p>
    <w:p>
      <w:pPr>
        <w:pStyle w:val="TextBody"/>
        <w:pBdr/>
        <w:shd w:fill="FFFFFF" w:val="clear"/>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All borrowings under the Credit Agreement accrue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Additionally, a commitment fee of 37.5 basis points will be assessed on unused commitments under the Revolving Facility, taking into account the sum of outstanding borrowings and Letter of Credit obligations. As of April 2, 2023, the interest rate for the Revolving Facility was 6.6%. During the thirteen weeks ended April 2, 2023, the effective interest rate for the Revolving Facility was 7.0%. </w:t>
      </w:r>
    </w:p>
    <w:p>
      <w:pPr>
        <w:pStyle w:val="TextBody"/>
        <w:shd w:fill="FFFFFF" w:val="clear"/>
        <w:spacing w:before="0" w:after="240"/>
        <w:ind w:left="0" w:right="0" w:firstLine="360"/>
        <w:jc w:val="both"/>
        <w:rPr>
          <w:rFonts w:ascii="Times New Roman;Times;serif" w:hAnsi="Times New Roman;Times;serif"/>
          <w:sz w:val="20"/>
        </w:rPr>
      </w:pPr>
      <w:r>
        <w:rPr>
          <w:rFonts w:ascii="Times New Roman;Times;serif" w:hAnsi="Times New Roman;Times;serif"/>
          <w:sz w:val="20"/>
        </w:rPr>
        <w:t>Amounts borrowed under the Credit Agreement are collateralized by all assets of the Company and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 Immediately upon the occurrence and during the continuance of an event of default, including the noncompliance with the above covenants, the lender may increase the interest rate per annum by 2.0% above the rate that would be otherwise applicable. As of April 2, 2023, management has determined that the Company was in compliance with all financial covenants.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Debt Discounts and Issuance Costs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Debt discounts and issuance costs are deferred and amortized over the life of the related loan using the effective interest method. The associated expense is included in interest expense in the condensed consolidated statements of operations and comprehensive (loss) income. Debt discounts and issuance costs are presented as a reduction of long-term debt with the exception of debt issuance costs related to the Revolving Facility, which are included in other non-current assets in the condensed consolidated balance sheets. As of April 2, 2023 and January 1, 2023, unamortized debt issuance costs recorded within other non-current assets were $0.3 million and $0.3 million, respectively.</w:t>
      </w:r>
    </w:p>
    <w:p>
      <w:pPr>
        <w:pStyle w:val="TextBody"/>
        <w:spacing w:before="0" w:after="240"/>
        <w:ind w:left="0" w:right="0" w:firstLine="360"/>
        <w:jc w:val="both"/>
        <w:rPr/>
      </w:pPr>
      <w:r>
        <w:rPr/>
        <w:t>​</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Leases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January 3, 2022, the Company adopted ASC 842 using the alternative transition method and applied the standard only to leases that existed at that date. Under the alternative transition method, the Company did need to restate the comparative periods in transition and will continue to present financial information and disclosures for periods before January 3, 2022, in accordance with FASB ASC 840, </w:t>
      </w:r>
      <w:r>
        <w:rPr>
          <w:rFonts w:ascii="Times New Roman;Times;serif" w:hAnsi="Times New Roman;Times;serif"/>
          <w:i/>
          <w:sz w:val="20"/>
        </w:rPr>
        <w:t>Leases</w:t>
      </w:r>
      <w:r>
        <w:rPr>
          <w:rFonts w:ascii="Times New Roman;Times;serif" w:hAnsi="Times New Roman;Times;serif"/>
          <w:sz w:val="20"/>
        </w:rPr>
        <w:t xml:space="preserve">. The Company elected the practical expedient package, which among other practical expedients, includes the option to retain the historical classification of leases entered into prior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bookmarkStart w:id="734" w:name="Tc_MZujgO9KOUaqy6GkjgXRrQ_12_8"/>
      <w:bookmarkStart w:id="735" w:name="Tc_Z2aMz_z2lEqkCul-jD509A_12_2"/>
      <w:bookmarkStart w:id="736" w:name="Tc_3nj-_o0YPEi6ckru7MOMZQ_10_0"/>
      <w:bookmarkStart w:id="737" w:name="Tc_tKml7uC700ms8UOf2gVeng_9_0"/>
      <w:bookmarkStart w:id="738" w:name="Tc_1KeFPhIB7UeHJj1h6cV9wQ_8_0"/>
      <w:bookmarkStart w:id="739" w:name="Tc_jy3Mo1Oz8ku5Qv_Td3Vw2A_7_0"/>
      <w:bookmarkStart w:id="740" w:name="Tc_nkIkHnOHX0-z4Njwn8aftg_6_0"/>
      <w:bookmarkStart w:id="741" w:name="Tc_o3rMLQFElkKn_ONjuXECHQ_5_0"/>
      <w:bookmarkStart w:id="742" w:name="Tc_FBNxtnPAxUWFwZz5kD5sqQ_4_0"/>
      <w:bookmarkStart w:id="743" w:name="Tc_jhsVWTeSQ022REg5bHe2RQ_3_0"/>
      <w:bookmarkStart w:id="744" w:name="Tc_PHUt0wRcFUe9lYqDptC_SA_2_8"/>
      <w:bookmarkStart w:id="745" w:name="Tc_IgYdZwAPq0uyQT7Z5FP_1g_2_5"/>
      <w:bookmarkStart w:id="746" w:name="Tc_VF6lEeKD7UqcEsYiqGzW0w_2_2"/>
      <w:bookmarkStart w:id="747" w:name="Tc_QnzaoJeqBE6M1nxl9Hh3MQ_2_0"/>
      <w:bookmarkStart w:id="748" w:name="Tc_D3uqti8_90up09W2sJoa_w_1_8"/>
      <w:bookmarkStart w:id="749" w:name="Tc_VIjgCvN-h0-eCi4ky86KDw_1_5"/>
      <w:bookmarkStart w:id="750" w:name="Tc_842TOib3uEWKmEEZqGh5RQ_1_3"/>
      <w:bookmarkStart w:id="751" w:name="Tc_3kWYGZplDEmJ2_uqWcG3GQ_1_0"/>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ascii="Times New Roman;Times;serif" w:hAnsi="Times New Roman;Times;serif"/>
          <w:sz w:val="20"/>
        </w:rPr>
        <w:t>January 3, 2022,</w:t>
      </w:r>
      <w:r>
        <w:rPr>
          <w:rFonts w:ascii="Times New Roman;Times;serif" w:hAnsi="Times New Roman;Times;serif"/>
          <w:sz w:val="20"/>
          <w:highlight w:val="white"/>
        </w:rPr>
        <w:t> </w:t>
      </w:r>
      <w:r>
        <w:rPr>
          <w:rFonts w:ascii="Times New Roman;Times;serif" w:hAnsi="Times New Roman;Times;serif"/>
          <w:sz w:val="20"/>
        </w:rPr>
        <w:t>and allows entities to recognize lease payments on a straight-line basis over the lease term for leases with a term of 12 months or less. The Company also elected the practical expedient to combine lease and non-lease components.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is a lessee under various lease agreements. The determination of whether an arrangement contains a lease and the lease classification is made at lease commencement (date on which a lessor makes an underlying asset available for use by the lessee).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 that are combined and included in the lease right-of-use assets, lease liabilities, current, and lease liabilities, noncurrent on the Company’s condensed consolidated balance sheets.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primarily leases its distribution facilities and corporate offices under operating lease agreements expiring on various dates through December 2031, most of which contain options to extend. In addition to payment of base rent, the Company is also required to pay property taxes, insurance, and common area maintenance expenses. The Company records lease expense on a straight-line basis over the term of the lease. The Company had zero and $0.5 million remaining obligations for the base rent related to the short-term leases as of April 2, 2023 and April 3, 2022, respectively.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also leases equipment under finance lease agreements expiring on various dates through May 2028.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As of April 2, 2023, the future minimum lease payments for the Company’s operating and finance leases for each of the fiscal years were as follows (in thousands):</w:t>
      </w:r>
    </w:p>
    <w:p>
      <w:pPr>
        <w:pStyle w:val="TextBody"/>
        <w:spacing w:before="0" w:after="0"/>
        <w:ind w:left="0" w:right="0" w:firstLine="360"/>
        <w:jc w:val="both"/>
        <w:rPr/>
      </w:pPr>
      <w:r>
        <w:rPr/>
        <w:t>​</w:t>
      </w:r>
    </w:p>
    <w:tbl>
      <w:tblPr>
        <w:tblW w:w="7644" w:type="dxa"/>
        <w:jc w:val="left"/>
        <w:tblInd w:w="0" w:type="dxa"/>
        <w:tblCellMar>
          <w:top w:w="0" w:type="dxa"/>
          <w:left w:w="0" w:type="dxa"/>
          <w:bottom w:w="0" w:type="dxa"/>
          <w:right w:w="0" w:type="dxa"/>
        </w:tblCellMar>
      </w:tblPr>
      <w:tblGrid>
        <w:gridCol w:w="2911"/>
        <w:gridCol w:w="326"/>
        <w:gridCol w:w="211"/>
        <w:gridCol w:w="1591"/>
        <w:gridCol w:w="109"/>
        <w:gridCol w:w="326"/>
        <w:gridCol w:w="1069"/>
        <w:gridCol w:w="109"/>
        <w:gridCol w:w="211"/>
        <w:gridCol w:w="781"/>
      </w:tblGrid>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Fiscal Year:</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109" w:type="dxa"/>
            <w:tcBorders/>
            <w:shd w:fill="auto" w:val="clear"/>
            <w:vAlign w:val="center"/>
          </w:tcPr>
          <w:p>
            <w:pPr>
              <w:pStyle w:val="TableContents"/>
              <w:spacing w:before="0" w:after="0"/>
              <w:ind w:left="0" w:right="0" w:hanging="0"/>
              <w:rPr/>
            </w:pPr>
            <w:r>
              <w:rPr/>
              <w:t>​</w:t>
            </w:r>
          </w:p>
        </w:tc>
        <w:tc>
          <w:tcPr>
            <w:tcW w:w="13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Finance Leases</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2023 (remaining nine months)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3,894</w:t>
            </w:r>
          </w:p>
        </w:tc>
        <w:tc>
          <w:tcPr>
            <w:tcW w:w="10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4,887</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5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5,283</w:t>
            </w:r>
          </w:p>
        </w:tc>
        <w:tc>
          <w:tcPr>
            <w:tcW w:w="1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6,550</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5,844</w:t>
            </w:r>
          </w:p>
        </w:tc>
        <w:tc>
          <w:tcPr>
            <w:tcW w:w="10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7,112</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5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4,605</w:t>
            </w:r>
          </w:p>
        </w:tc>
        <w:tc>
          <w:tcPr>
            <w:tcW w:w="1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4,619</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10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5,153</w:t>
            </w:r>
          </w:p>
        </w:tc>
      </w:tr>
      <w:tr>
        <w:trPr/>
        <w:tc>
          <w:tcPr>
            <w:tcW w:w="29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11,632</w:t>
            </w:r>
          </w:p>
        </w:tc>
        <w:tc>
          <w:tcPr>
            <w:tcW w:w="109" w:type="dxa"/>
            <w:tcBorders/>
            <w:shd w:fill="auto" w:val="cle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11,638</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undiscounted lease payment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36,396</w:t>
            </w:r>
          </w:p>
        </w:tc>
        <w:tc>
          <w:tcPr>
            <w:tcW w:w="10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3,563</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39,959</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Present value adjustment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(7,275)</w:t>
            </w:r>
          </w:p>
        </w:tc>
        <w:tc>
          <w:tcPr>
            <w:tcW w:w="109" w:type="dxa"/>
            <w:tcBorders/>
            <w:shd w:fill="auto" w:val="cle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(7,423)</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29,121</w:t>
            </w:r>
          </w:p>
        </w:tc>
        <w:tc>
          <w:tcPr>
            <w:tcW w:w="10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32,536</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lease liabilities, current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(3,428)</w:t>
            </w:r>
          </w:p>
        </w:tc>
        <w:tc>
          <w:tcPr>
            <w:tcW w:w="109" w:type="dxa"/>
            <w:tcBorders/>
            <w:shd w:fill="auto" w:val="cle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(4,775)</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25,693</w:t>
            </w:r>
          </w:p>
        </w:tc>
        <w:tc>
          <w:tcPr>
            <w:tcW w:w="109" w:type="dxa"/>
            <w:tcBorders/>
            <w:shd w:fill="CCEEFF" w:val="clear"/>
            <w:vAlign w:val="center"/>
          </w:tcPr>
          <w:p>
            <w:pPr>
              <w:pStyle w:val="TableContents"/>
              <w:spacing w:before="0" w:after="0"/>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27,761</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bookmarkStart w:id="752" w:name="Tc_J_v0Lcj4EESL343KC08SQw_19_0"/>
      <w:bookmarkStart w:id="753" w:name="Tc_mP-lAWblPkeAqEprIPtFQQ_18_0"/>
      <w:bookmarkStart w:id="754" w:name="Tc_qo4G7zqMn023xKzL1Osu1g_17_0"/>
      <w:bookmarkStart w:id="755" w:name="Tc_g6ZAwgfBnUqusjk2bHYhxA_16_0"/>
      <w:bookmarkStart w:id="756" w:name="Tc_ROli0l9VmU-rkZSGU8GjNQ_14_2"/>
      <w:bookmarkStart w:id="757" w:name="Tc_hhE_mIdZqEevzMBD0t850g_14_0"/>
      <w:bookmarkStart w:id="758" w:name="Tc_bMmsW-ZgXkiOjRYEGJQ-KA_13_2"/>
      <w:bookmarkStart w:id="759" w:name="Tc_WmKWrYpPpUW-qE4I6LIDZQ_13_0"/>
      <w:bookmarkStart w:id="760" w:name="Tc_laADG7KI30uCwzBqYyaxEg_11_2"/>
      <w:bookmarkStart w:id="761" w:name="Tc_JDufR6pOz0OSJ1ak4M6jdA_11_0"/>
      <w:bookmarkStart w:id="762" w:name="Tc_8k_fTjsgu0e62RG5FVkDIA_10_0"/>
      <w:bookmarkStart w:id="763" w:name="Tc_KRxdgCK_lEyzO_i6T7uWoQ_9_0"/>
      <w:bookmarkStart w:id="764" w:name="Tc_xDbTV4wMFEiS6wYWFKlAKw_8_0"/>
      <w:bookmarkStart w:id="765" w:name="Tc_ZJs89rY3zESNJ1q2Kz3siQ_7_0"/>
      <w:bookmarkStart w:id="766" w:name="Tc_URQJn2vYMku3JmmaljEC3w_6_2"/>
      <w:bookmarkStart w:id="767" w:name="Tc_3KLBeeF0IEOCvWXMlygG4A_6_0"/>
      <w:bookmarkStart w:id="768" w:name="Tc_roC-0FNXGkCpdjjHzRCImg_5_0"/>
      <w:bookmarkStart w:id="769" w:name="Tc_AFgY5ARuxECK_KtVLwYZ_g_4_3"/>
      <w:bookmarkStart w:id="770" w:name="Tc_9CQSC7NsvECL_SuESc1YuQ_3_3"/>
      <w:bookmarkStart w:id="771" w:name="Tc_YsgqhVO3b0Knc0m_zQsSjg_2_3"/>
      <w:bookmarkStart w:id="772" w:name="_94dd4454_32a5_4568_8a99_7ea8a048a12f"/>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Times New Roman;Times;serif" w:hAnsi="Times New Roman;Times;serif"/>
          <w:sz w:val="20"/>
        </w:rPr>
        <w:t>The following information represents supplemental disclosure of lease costs, components of the statement of cash flows related to operating and finance leases and components of right-of-use assets (in thousands):</w:t>
      </w:r>
    </w:p>
    <w:tbl>
      <w:tblPr>
        <w:tblW w:w="7012" w:type="dxa"/>
        <w:jc w:val="left"/>
        <w:tblInd w:w="0" w:type="dxa"/>
        <w:tblCellMar>
          <w:top w:w="0" w:type="dxa"/>
          <w:left w:w="0" w:type="dxa"/>
          <w:bottom w:w="0" w:type="dxa"/>
          <w:right w:w="0" w:type="dxa"/>
        </w:tblCellMar>
      </w:tblPr>
      <w:tblGrid>
        <w:gridCol w:w="4921"/>
        <w:gridCol w:w="109"/>
        <w:gridCol w:w="211"/>
        <w:gridCol w:w="1771"/>
      </w:tblGrid>
      <w:tr>
        <w:trPr/>
        <w:tc>
          <w:tcPr>
            <w:tcW w:w="4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124835" cy="175260"/>
                      <wp:effectExtent l="0" t="0" r="0" b="0"/>
                      <wp:wrapNone/>
                      <wp:docPr id="98" name="Frame97"/>
                      <a:graphic xmlns:a="http://schemas.openxmlformats.org/drawingml/2006/main">
                        <a:graphicData uri="http://schemas.microsoft.com/office/word/2010/wordprocessingShape">
                          <wps:wsp>
                            <wps:cNvSpPr txBox="1"/>
                            <wps:spPr>
                              <a:xfrm>
                                <a:off x="0" y="0"/>
                                <a:ext cx="3124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124585" cy="175260"/>
                      <wp:effectExtent l="0" t="0" r="0" b="0"/>
                      <wp:wrapNone/>
                      <wp:docPr id="101" name="Frame100"/>
                      <a:graphic xmlns:a="http://schemas.openxmlformats.org/drawingml/2006/main">
                        <a:graphicData uri="http://schemas.microsoft.com/office/word/2010/wordprocessingShape">
                          <wps:wsp>
                            <wps:cNvSpPr txBox="1"/>
                            <wps:spPr>
                              <a:xfrm>
                                <a:off x="0" y="0"/>
                                <a:ext cx="1124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771" w:type="dxa"/>
            <w:tcBorders/>
            <w:shd w:fill="auto" w:val="clear"/>
            <w:vAlign w:val="center"/>
          </w:tcPr>
          <w:p>
            <w:pPr>
              <w:pStyle w:val="TableContents"/>
              <w:spacing w:before="0" w:after="0"/>
              <w:ind w:left="0" w:right="0" w:hanging="0"/>
              <w:jc w:val="center"/>
              <w:rPr/>
            </w:pPr>
            <w:r>
              <w:rPr/>
              <w:t>​</w:t>
            </w:r>
          </w:p>
        </w:tc>
      </w:tr>
      <w:tr>
        <w:trPr/>
        <w:tc>
          <w:tcPr>
            <w:tcW w:w="49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7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49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7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r>
      <w:tr>
        <w:trPr/>
        <w:tc>
          <w:tcPr>
            <w:tcW w:w="49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7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 cost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1771" w:type="dxa"/>
            <w:tcBorders/>
            <w:shd w:fill="auto" w:val="clear"/>
            <w:vAlign w:val="center"/>
          </w:tcPr>
          <w:p>
            <w:pPr>
              <w:pStyle w:val="TableContents"/>
              <w:spacing w:before="0" w:after="0"/>
              <w:ind w:left="0" w:right="0" w:hanging="0"/>
              <w:jc w:val="right"/>
              <w:rPr/>
            </w:pPr>
            <w:r>
              <w:rPr/>
              <w:t>​</w:t>
            </w:r>
          </w:p>
        </w:tc>
      </w:tr>
      <w:tr>
        <w:trPr/>
        <w:tc>
          <w:tcPr>
            <w:tcW w:w="49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ROU assets</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4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17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9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17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r>
      <w:tr>
        <w:trPr/>
        <w:tc>
          <w:tcPr>
            <w:tcW w:w="4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lease cost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17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49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Variable lease cost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7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4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cost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492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1771" w:type="dxa"/>
            <w:tcBorders/>
            <w:shd w:fill="CCEEFF" w:val="clear"/>
            <w:vAlign w:val="center"/>
          </w:tcPr>
          <w:p>
            <w:pPr>
              <w:pStyle w:val="TableContents"/>
              <w:spacing w:before="0" w:after="0"/>
              <w:ind w:left="0" w:right="0" w:hanging="0"/>
              <w:jc w:val="right"/>
              <w:rPr/>
            </w:pPr>
            <w:r>
              <w:rPr/>
              <w:t>​</w:t>
            </w:r>
          </w:p>
        </w:tc>
      </w:tr>
      <w:tr>
        <w:trPr/>
        <w:tc>
          <w:tcPr>
            <w:tcW w:w="4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cost included in cost of revenue</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r>
      <w:tr>
        <w:trPr/>
        <w:tc>
          <w:tcPr>
            <w:tcW w:w="49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cost included in general and administrative expenses</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49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1771" w:type="dxa"/>
            <w:tcBorders/>
            <w:shd w:fill="auto" w:val="clear"/>
            <w:vAlign w:val="center"/>
          </w:tcPr>
          <w:p>
            <w:pPr>
              <w:pStyle w:val="TableContents"/>
              <w:spacing w:before="0" w:after="0"/>
              <w:ind w:left="0" w:right="0" w:hanging="0"/>
              <w:jc w:val="right"/>
              <w:rPr/>
            </w:pPr>
            <w:r>
              <w:rPr/>
              <w:t>​</w:t>
            </w:r>
          </w:p>
        </w:tc>
      </w:tr>
      <w:tr>
        <w:trPr/>
        <w:tc>
          <w:tcPr>
            <w:tcW w:w="49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remaining lease term - finance leases</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17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 months</w:t>
            </w:r>
          </w:p>
        </w:tc>
      </w:tr>
      <w:tr>
        <w:trPr/>
        <w:tc>
          <w:tcPr>
            <w:tcW w:w="4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remaining lease term - operating leases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17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 months</w:t>
            </w:r>
          </w:p>
        </w:tc>
      </w:tr>
      <w:tr>
        <w:trPr/>
        <w:tc>
          <w:tcPr>
            <w:tcW w:w="49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discount rate - finance leases</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17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4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discount rate - operating leases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177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6.50%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Commitments and Contingencies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Litigation and Other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condensed consolidated financial statements. As of April 2, 2023, the Company was not aware of any currently pending legal matters or claims, individually or in the aggregate, that are expected to have a material adverse impact on its condensed consolidated financial statements.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Indemnification</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also maintains director and officer insurance, which may cover certain liabilities arising from its obligation to indemnify the Company’s directors. To date, the Company has not incurred any material costs and has not accrued any liabilities in the condensed consolidated financial statements as a result of these provisions.</w:t>
      </w:r>
    </w:p>
    <w:p>
      <w:pPr>
        <w:pStyle w:val="TextBody"/>
        <w:spacing w:before="0" w:after="24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773" w:name="_d6a797db_1331_4c43_9654_c2a5770d6fda_3"/>
      <w:bookmarkStart w:id="774" w:name="_d6a797db_1331_4c43_9654_c2a5770d6fda_2"/>
      <w:bookmarkStart w:id="775" w:name="_d6a797db_1331_4c43_9654_c2a5770d6fda"/>
      <w:bookmarkEnd w:id="773"/>
      <w:bookmarkEnd w:id="774"/>
      <w:bookmarkEnd w:id="775"/>
      <w:r>
        <w:rPr>
          <w:rFonts w:ascii="Times New Roman;Times;serif" w:hAnsi="Times New Roman;Times;serif"/>
          <w:b/>
          <w:i w:val="false"/>
          <w:caps w:val="false"/>
          <w:smallCaps w:val="false"/>
          <w:sz w:val="20"/>
        </w:rPr>
        <w:t>8.</w:t>
      </w:r>
      <w:r>
        <w:rPr>
          <w:rFonts w:ascii="Times New Roman;Times;serif" w:hAnsi="Times New Roman;Times;serif"/>
          <w:b/>
          <w:sz w:val="20"/>
        </w:rPr>
        <w:t>Preferred Stock</w:t>
      </w:r>
    </w:p>
    <w:p>
      <w:pPr>
        <w:pStyle w:val="TextBody"/>
        <w:spacing w:before="0" w:after="0"/>
        <w:ind w:left="0" w:right="0" w:firstLine="360"/>
        <w:jc w:val="both"/>
        <w:rPr>
          <w:rFonts w:ascii="Times New Roman;Times;serif" w:hAnsi="Times New Roman;Times;serif"/>
          <w:sz w:val="20"/>
          <w:highlight w:val="white"/>
        </w:rPr>
      </w:pPr>
      <w:r>
        <w:rPr>
          <w:rFonts w:ascii="Times New Roman;Times;serif" w:hAnsi="Times New Roman;Times;serif"/>
          <w:sz w:val="20"/>
          <w:highlight w:val="white"/>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April 2, 2023 and January 1, 2023, no shares of preferred stock were issued and outstanding.</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Common Stock</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authorized the issuance of 250,000,000 shares of common stock with a $0.001 par value as of April 2, 2023 and January 1, 2023.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April 2, 2023, the Company has reserved 161,397 shares of common stock for issuance upon the exercise of stock options, and 285,378 shares of common stock available for future issuance under the Omnibus Equity Plan (the “Omnibus Equity Plan”) and 1,473,106 shares of common stock available for future issuance under the 2021 Employee Stock Purchase Plan (the “ESPP”), respectively. Both equity plans are further described in Note 10, Equity-Based Compensation.</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Equity-Based Compensation</w:t>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Omnibus Equity Plan and Employee Stock Purchase Plan</w:t>
      </w:r>
    </w:p>
    <w:p>
      <w:pPr>
        <w:pStyle w:val="TextBody"/>
        <w:shd w:fill="FFFFFF" w:val="clear"/>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closing of the IPO, the Company adopted the Omnibus Equity Plan and ESPP.</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w:t>
      </w:r>
    </w:p>
    <w:p>
      <w:pPr>
        <w:pStyle w:val="TextBody"/>
        <w:shd w:fill="FFFFFF" w:val="clear"/>
        <w:spacing w:before="0" w:after="0"/>
        <w:ind w:left="0" w:right="0" w:firstLine="360"/>
        <w:jc w:val="both"/>
        <w:rPr/>
      </w:pPr>
      <w:r>
        <w:rPr/>
        <w:t>​</w:t>
      </w:r>
    </w:p>
    <w:p>
      <w:pPr>
        <w:pStyle w:val="TextBody"/>
        <w:pBdr/>
        <w:shd w:fill="FFFFFF" w:val="clear"/>
        <w:spacing w:before="0" w:after="0"/>
        <w:ind w:left="0" w:right="0" w:firstLine="360"/>
        <w:jc w:val="both"/>
        <w:rPr>
          <w:rFonts w:ascii="Times New Roman;Times;serif" w:hAnsi="Times New Roman;Times;serif"/>
          <w:sz w:val="20"/>
        </w:rPr>
      </w:pPr>
      <w:r>
        <w:rPr>
          <w:rFonts w:ascii="Times New Roman;Times;serif" w:hAnsi="Times New Roman;Times;serif"/>
          <w:sz w:val="20"/>
        </w:rPr>
        <w:t>On April 1, 2022, the Company filed a Registration Statement on Form S-8 (the “Form S-8”) with the SEC for the purpose of registering an additional 5,921,056 shares of the Company’s common stock, inclusive of 1,536,845 and 384,211 shares associated with automatic increases that occurred on January 3, 2022 under the Omnibus Equity Plan and ESPP, respectively.  This registration also included 3,200,000 and 800,000 shares for the Omnibus Equity Plan and the ESPP, respectively, representing two years’ worth of estimated future automatic increases in availability for these plans.  </w:t>
      </w:r>
    </w:p>
    <w:p>
      <w:pPr>
        <w:pStyle w:val="TextBody"/>
        <w:shd w:fill="FFFFFF" w:val="clear"/>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April 2, 2023, the Company had 285,378 and 1,473,106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vesting schedule and the other terms and conditions of the awards granted under the Omnibus Equity Plan. The compensation committee may or may not issue the full number of shares that are reserved for issuance.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hd w:fill="FFFFFF" w:val="clear"/>
        <w:spacing w:before="0" w:after="240"/>
        <w:ind w:left="0" w:right="0" w:hanging="0"/>
        <w:jc w:val="both"/>
        <w:rPr>
          <w:rFonts w:ascii="Times New Roman;Times;serif" w:hAnsi="Times New Roman;Times;serif"/>
          <w:sz w:val="20"/>
        </w:rPr>
      </w:pPr>
      <w:bookmarkStart w:id="776" w:name="Tc_1PEJe2VOYU60niqf0f7WHw_5_3"/>
      <w:bookmarkStart w:id="777" w:name="Tc_u1-AAxgfgE-4x73BZ4hCrg_5_2"/>
      <w:bookmarkStart w:id="778" w:name="Tc_P_W_CvF3K0qzxSFvWMUHXA_5_0"/>
      <w:bookmarkStart w:id="779" w:name="Tc_o4wUlM8sh0-r7zON4VnkzA_4_3"/>
      <w:bookmarkStart w:id="780" w:name="Tc_wHZu46dB6kqv5CYpcC9blg_4_0"/>
      <w:bookmarkStart w:id="781" w:name="Tc_ekMD4-LvvEuGDHU7TIxjXg_3_4"/>
      <w:bookmarkStart w:id="782" w:name="Tc_PQq7BOuHMUKKQXJF-xcYNw_3_3"/>
      <w:bookmarkStart w:id="783" w:name="Tc_Q0YaIMWZGUKHBRSSXzbbbA_3_0"/>
      <w:bookmarkStart w:id="784" w:name="Tc_X1dw9yKPskqIy2j1rSGVxw_2_4"/>
      <w:bookmarkStart w:id="785" w:name="Tc_O6pDh0JSRUCRFFZ2mfi1VA_2_3"/>
      <w:bookmarkStart w:id="786" w:name="Tc_B7Vg1ZMBSkun9Ov9Iht8EQ_2_0"/>
      <w:bookmarkStart w:id="787" w:name="Tc_FZ6ywL2liE2StWWt8DQTDQ_1_3"/>
      <w:bookmarkStart w:id="788" w:name="Tc_gwvHchKh1k2nQdWLLj_ZQA_1_0"/>
      <w:bookmarkEnd w:id="776"/>
      <w:bookmarkEnd w:id="777"/>
      <w:bookmarkEnd w:id="778"/>
      <w:bookmarkEnd w:id="779"/>
      <w:bookmarkEnd w:id="780"/>
      <w:bookmarkEnd w:id="781"/>
      <w:bookmarkEnd w:id="782"/>
      <w:bookmarkEnd w:id="783"/>
      <w:bookmarkEnd w:id="784"/>
      <w:bookmarkEnd w:id="785"/>
      <w:bookmarkEnd w:id="786"/>
      <w:bookmarkEnd w:id="787"/>
      <w:bookmarkEnd w:id="788"/>
      <w:r>
        <w:rPr>
          <w:rFonts w:ascii="Times New Roman;Times;serif" w:hAnsi="Times New Roman;Times;serif"/>
          <w:sz w:val="20"/>
        </w:rPr>
        <w:t>compensation committee has recommended, and the Board has unanimously approved, an amendment to the Omnibus Equity Plan, which would increase the authorized number of shares available for grant by 2,000,000 (the “Amendment”). The Amendment would become effective on June 13, 2023, if approved by stockholders at the 2023 Annual Meeting of Stockholders (the “Annual Meeting”).</w:t>
      </w:r>
    </w:p>
    <w:p>
      <w:pPr>
        <w:pStyle w:val="TextBody"/>
        <w:spacing w:before="0" w:after="240"/>
        <w:ind w:left="0" w:right="0" w:firstLine="360"/>
        <w:jc w:val="both"/>
        <w:rPr>
          <w:rFonts w:ascii="Times New Roman;Times;serif" w:hAnsi="Times New Roman;Times;serif"/>
          <w:sz w:val="24"/>
        </w:rPr>
      </w:pPr>
      <w:r>
        <w:rPr>
          <w:rFonts w:ascii="Times New Roman;Times;serif" w:hAnsi="Times New Roman;Times;serif"/>
          <w:sz w:val="20"/>
        </w:rPr>
        <w:t>The Company’s initial ESPP offering period commenced on August 26, 2022. The ESPP consists of consecutive, overlapping 12-month</w:t>
      </w:r>
      <w:r>
        <w:rPr>
          <w:rFonts w:ascii="Times New Roman;Times;serif" w:hAnsi="Times New Roman;Times;serif"/>
          <w:sz w:val="24"/>
        </w:rPr>
        <w:t xml:space="preserve"> </w:t>
      </w:r>
      <w:r>
        <w:rPr>
          <w:rFonts w:ascii="Times New Roman;Times;serif" w:hAnsi="Times New Roman;Times;serif"/>
          <w:sz w:val="20"/>
        </w:rPr>
        <w:t>offering periods that begin on each August 26 and February 26 during the term of the ESPP, and end on each August 25 and February 25 occurring 12 months</w:t>
      </w:r>
      <w:r>
        <w:rPr>
          <w:rFonts w:ascii="Times New Roman;Times;serif" w:hAnsi="Times New Roman;Times;serif"/>
          <w:sz w:val="24"/>
        </w:rPr>
        <w:t xml:space="preserve"> </w:t>
      </w:r>
      <w:r>
        <w:rPr>
          <w:rFonts w:ascii="Times New Roman;Times;serif" w:hAnsi="Times New Roman;Times;serif"/>
          <w:sz w:val="20"/>
        </w:rPr>
        <w:t>later, as applicable. Each offering period is comprised of two</w:t>
      </w:r>
      <w:r>
        <w:rPr>
          <w:rFonts w:ascii="Times New Roman;Times;serif" w:hAnsi="Times New Roman;Times;serif"/>
          <w:sz w:val="24"/>
        </w:rPr>
        <w:t xml:space="preserve"> </w:t>
      </w:r>
      <w:r>
        <w:rPr>
          <w:rFonts w:ascii="Times New Roman;Times;serif" w:hAnsi="Times New Roman;Times;serif"/>
          <w:sz w:val="20"/>
        </w:rPr>
        <w:t>consecutive six-month</w:t>
      </w:r>
      <w:r>
        <w:rPr>
          <w:rFonts w:ascii="Times New Roman;Times;serif" w:hAnsi="Times New Roman;Times;serif"/>
          <w:sz w:val="24"/>
        </w:rPr>
        <w:t xml:space="preserve"> </w:t>
      </w:r>
      <w:r>
        <w:rPr>
          <w:rFonts w:ascii="Times New Roman;Times;serif" w:hAnsi="Times New Roman;Times;serif"/>
          <w:sz w:val="20"/>
        </w:rPr>
        <w:t>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w:t>
      </w:r>
      <w:r>
        <w:rPr>
          <w:rFonts w:ascii="Times New Roman;Times;serif" w:hAnsi="Times New Roman;Times;serif"/>
          <w:sz w:val="24"/>
        </w:rPr>
        <w:t xml:space="preserve"> </w:t>
      </w:r>
      <w:r>
        <w:rPr>
          <w:rFonts w:ascii="Times New Roman;Times;serif" w:hAnsi="Times New Roman;Times;serif"/>
          <w:sz w:val="20"/>
        </w:rPr>
        <w:t xml:space="preserve">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Company’s ESPP, if the closing market price of the Company’s common stock on the offering date of a new offering period falls below the closing market price of the Company’s common stock on the offering date of an ongoing offering period, the ongoing offering period terminates immediately following the settlement of shares on the purchase date. Participants in the terminated offering period are automatically enrolled in the new offering period, triggering a modification and assessment of incremental stock-based compensation expense to be recognized over the new offering period if the incremental expense is greater than the original grant date expense. Additionally, the ESPP also provides a rollover feature for an offering period to be rolled over into a new lower-priced offering if the offering price of the new offering period is less than that of the current offering period.  </w:t>
      </w:r>
    </w:p>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4"/>
        </w:rPr>
      </w:pPr>
      <w:r>
        <w:rPr>
          <w:rFonts w:ascii="Times New Roman;Times;serif" w:hAnsi="Times New Roman;Times;serif"/>
          <w:sz w:val="20"/>
        </w:rPr>
        <w:t>During the quarter ended April 2, 2023, the fair market value of the Company’s stock on the purchase date, February 25, 2023, was lower than the fair market value of the Company’s stock on the initial offering date. As a result, the initial ESPP offering period was reset and the new lower price became the new offering price. The reset was treated as a modification resulting in immaterial incremental stock-based compensation that will be recognized over the remaining requisite service period.  Additionally, the initial ESPP offering period rolled over to a new 12 months</w:t>
      </w:r>
      <w:r>
        <w:rPr>
          <w:rFonts w:ascii="Times New Roman;Times;serif" w:hAnsi="Times New Roman;Times;serif"/>
          <w:sz w:val="24"/>
        </w:rPr>
        <w:t xml:space="preserve"> </w:t>
      </w:r>
      <w:r>
        <w:rPr>
          <w:rFonts w:ascii="Times New Roman;Times;serif" w:hAnsi="Times New Roman;Times;serif"/>
          <w:sz w:val="20"/>
        </w:rPr>
        <w:t>offering period on February 25, 2023.</w:t>
      </w:r>
    </w:p>
    <w:p>
      <w:pPr>
        <w:pStyle w:val="TextBody"/>
        <w:spacing w:before="0" w:after="240"/>
        <w:ind w:left="0" w:right="0" w:firstLine="360"/>
        <w:jc w:val="both"/>
        <w:rPr>
          <w:rFonts w:ascii="Times New Roman;Times;serif" w:hAnsi="Times New Roman;Times;serif"/>
          <w:sz w:val="24"/>
        </w:rPr>
      </w:pPr>
      <w:r>
        <w:rPr>
          <w:rFonts w:ascii="Times New Roman;Times;serif" w:hAnsi="Times New Roman;Times;serif"/>
          <w:sz w:val="20"/>
        </w:rPr>
        <w:t>The Company recognizes equity-based compensation expense related to shares issued pursuant to the ESPP on a graded vesting approach over each offering period. For the thirteen weeks ended April 2, 2023, equity-based compensation expense related to our ESPP was $0.1</w:t>
      </w:r>
      <w:r>
        <w:rPr>
          <w:rFonts w:ascii="Times New Roman;Times;serif" w:hAnsi="Times New Roman;Times;serif"/>
          <w:sz w:val="24"/>
        </w:rPr>
        <w:t xml:space="preserve"> </w:t>
      </w:r>
      <w:r>
        <w:rPr>
          <w:rFonts w:ascii="Times New Roman;Times;serif" w:hAnsi="Times New Roman;Times;serif"/>
          <w:sz w:val="20"/>
        </w:rPr>
        <w:t>million. During the thirteen weeks ended April 2, 2023, the Company issued 47,502</w:t>
      </w:r>
      <w:r>
        <w:rPr>
          <w:rFonts w:ascii="Times New Roman;Times;serif" w:hAnsi="Times New Roman;Times;serif"/>
          <w:sz w:val="24"/>
        </w:rPr>
        <w:t xml:space="preserve"> </w:t>
      </w:r>
      <w:r>
        <w:rPr>
          <w:rFonts w:ascii="Times New Roman;Times;serif" w:hAnsi="Times New Roman;Times;serif"/>
          <w:sz w:val="20"/>
        </w:rPr>
        <w:t xml:space="preserve">shares pursuant to the ESPP </w:t>
      </w:r>
      <w:r>
        <w:rPr>
          <w:rFonts w:ascii="Times New Roman;Times;serif" w:hAnsi="Times New Roman;Times;serif"/>
          <w:b w:val="false"/>
          <w:i w:val="false"/>
          <w:caps w:val="false"/>
          <w:smallCaps w:val="false"/>
          <w:sz w:val="20"/>
        </w:rPr>
        <w:t>six</w:t>
      </w:r>
      <w:r>
        <w:rPr>
          <w:rFonts w:ascii="Times New Roman;Times;serif" w:hAnsi="Times New Roman;Times;serif"/>
          <w:sz w:val="20"/>
        </w:rPr>
        <w:t>-month purchase period ended February 25, 2023.</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20"/>
        </w:rPr>
        <w:t>The Company used the Black-Scholes model to estimate the fair value of the purchase rights under the ESPP. For the thirteen weeks ended April 2, 2023, the Company utilized the following assumptions:</w:t>
      </w:r>
    </w:p>
    <w:p>
      <w:pPr>
        <w:pStyle w:val="TextBody"/>
        <w:spacing w:before="0" w:after="0"/>
        <w:ind w:left="0" w:right="0" w:hanging="0"/>
        <w:rPr/>
      </w:pPr>
      <w:r>
        <w:rPr/>
        <w:t>​</w:t>
      </w:r>
    </w:p>
    <w:tbl>
      <w:tblPr>
        <w:tblW w:w="7148" w:type="dxa"/>
        <w:jc w:val="left"/>
        <w:tblInd w:w="0" w:type="dxa"/>
        <w:tblCellMar>
          <w:top w:w="0" w:type="dxa"/>
          <w:left w:w="0" w:type="dxa"/>
          <w:bottom w:w="0" w:type="dxa"/>
          <w:right w:w="0" w:type="dxa"/>
        </w:tblCellMar>
      </w:tblPr>
      <w:tblGrid>
        <w:gridCol w:w="5116"/>
        <w:gridCol w:w="109"/>
        <w:gridCol w:w="211"/>
        <w:gridCol w:w="1396"/>
        <w:gridCol w:w="316"/>
      </w:tblGrid>
      <w:tr>
        <w:trPr/>
        <w:tc>
          <w:tcPr>
            <w:tcW w:w="5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248660" cy="175260"/>
                      <wp:effectExtent l="0" t="0" r="0" b="0"/>
                      <wp:wrapNone/>
                      <wp:docPr id="102" name="Frame101"/>
                      <a:graphic xmlns:a="http://schemas.openxmlformats.org/drawingml/2006/main">
                        <a:graphicData uri="http://schemas.microsoft.com/office/word/2010/wordprocessingShape">
                          <wps:wsp>
                            <wps:cNvSpPr txBox="1"/>
                            <wps:spPr>
                              <a:xfrm>
                                <a:off x="0" y="0"/>
                                <a:ext cx="3248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886460" cy="175260"/>
                      <wp:effectExtent l="0" t="0" r="0" b="0"/>
                      <wp:wrapNone/>
                      <wp:docPr id="105" name="Frame104"/>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0660" cy="175260"/>
                      <wp:effectExtent l="0" t="0" r="0" b="0"/>
                      <wp:wrapNone/>
                      <wp:docPr id="106" name="Frame10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(in years)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4"/>
              </w:rPr>
            </w:pPr>
            <w:r>
              <w:rPr>
                <w:rFonts w:ascii="Times New Roman;Times;serif" w:hAnsi="Times New Roman;Times;serif"/>
                <w:sz w:val="20"/>
              </w:rPr>
              <w:t>0.05</w:t>
            </w:r>
            <w:r>
              <w:rPr>
                <w:rFonts w:ascii="Times New Roman;Times;serif" w:hAnsi="Times New Roman;Times;serif"/>
                <w:sz w:val="24"/>
              </w:rPr>
              <w:t xml:space="preserve"> </w:t>
            </w:r>
            <w:r>
              <w:rPr>
                <w:rFonts w:ascii="Times New Roman;Times;serif" w:hAnsi="Times New Roman;Times;serif"/>
                <w:sz w:val="20"/>
              </w:rPr>
              <w:t>to 1.00</w:t>
            </w:r>
          </w:p>
        </w:tc>
        <w:tc>
          <w:tcPr>
            <w:tcW w:w="316" w:type="dxa"/>
            <w:tcBorders/>
            <w:shd w:fill="CCEEFF" w:val="clear"/>
            <w:vAlign w:val="center"/>
          </w:tcPr>
          <w:p>
            <w:pPr>
              <w:pStyle w:val="TableContents"/>
              <w:spacing w:before="0" w:after="1"/>
              <w:ind w:left="0" w:right="0" w:hanging="0"/>
              <w:jc w:val="right"/>
              <w:rPr/>
            </w:pPr>
            <w:r>
              <w:rPr/>
              <w:t>​</w:t>
            </w:r>
          </w:p>
        </w:tc>
      </w:tr>
      <w:tr>
        <w:trPr/>
        <w:tc>
          <w:tcPr>
            <w:tcW w:w="5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87.86 to 109.93</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5.05 to 5.06</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Dividend yield</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1"/>
              <w:ind w:left="0" w:right="0" w:hanging="0"/>
              <w:rPr/>
            </w:pPr>
            <w:r>
              <w:rPr/>
              <w:t>​</w:t>
            </w:r>
          </w:p>
        </w:tc>
      </w:tr>
      <w:tr>
        <w:trPr/>
        <w:tc>
          <w:tcPr>
            <w:tcW w:w="5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fair value per share of ESPP awards granted</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0.54 to 1.57</w:t>
            </w:r>
          </w:p>
        </w:tc>
        <w:tc>
          <w:tcPr>
            <w:tcW w:w="316"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bookmarkStart w:id="789" w:name="Tc_QcX1_6fcuESUDDbaTGOGvw_11_10"/>
      <w:bookmarkStart w:id="790" w:name="Tc_O8S3O8jwp069W2hxg8EERQ_11_9"/>
      <w:bookmarkStart w:id="791" w:name="Tc_KtB202k_RkyYt_ZqOV7hww_11_4"/>
      <w:bookmarkStart w:id="792" w:name="Tc_li2ydzLT_UKm8XJWBXdqTw_11_0"/>
      <w:bookmarkStart w:id="793" w:name="Tc_4tYDoO4rfk2jc5KcoqO1_g_10_10"/>
      <w:bookmarkStart w:id="794" w:name="Tc_asZvR5HvqEusuSvPzwMz9w_10_9"/>
      <w:bookmarkStart w:id="795" w:name="Tc_Vslns1Z3nEet09xEKfbNcA_10_4"/>
      <w:bookmarkStart w:id="796" w:name="Tc_ver-bLduqkGdZVsl3xW36g_10_0"/>
      <w:bookmarkStart w:id="797" w:name="Tc_phiRU_P5Q0aIz_FvWPjtyg_9_4"/>
      <w:bookmarkStart w:id="798" w:name="Tc_G_UEefuR9EeGUt5Sp6QA5w_9_0"/>
      <w:bookmarkStart w:id="799" w:name="Tc_mggvPiQEhkqCZtfqmVf4DA_8_7"/>
      <w:bookmarkStart w:id="800" w:name="Tc_nWdPTvFVkE6pt01C8hKEDw_8_4"/>
      <w:bookmarkStart w:id="801" w:name="Tc_nCLGZAKXIECRk5QcFfbfNA_8_0"/>
      <w:bookmarkStart w:id="802" w:name="Tc_SdmocPqwl0OYYVR4xJLJ-w_7_7"/>
      <w:bookmarkStart w:id="803" w:name="Tc_8tw3Ol2TxUe70ggYRiYG0A_7_5"/>
      <w:bookmarkStart w:id="804" w:name="Tc_LCQvP10r7EyvODWSlG0cnQ_7_2"/>
      <w:bookmarkStart w:id="805" w:name="Tc_wS4OjfBLmUuacBwDxRM1rQ_7_0"/>
      <w:bookmarkStart w:id="806" w:name="Tc_M4wDRmJ1OUGqkavT97J2Hw_6_4"/>
      <w:bookmarkStart w:id="807" w:name="Tc_ahW6uZ75q0uYEacIB4BWtg_6_0"/>
      <w:bookmarkStart w:id="808" w:name="Tc_Vw55iFvGdky1ScZNVxTz0w_5_9"/>
      <w:bookmarkStart w:id="809" w:name="Tc_LgB-PI6om0eso9lRVMx31A_5_7"/>
      <w:bookmarkStart w:id="810" w:name="Tc_aF3_OHZrnEuAVoLY57IrRw_5_4"/>
      <w:bookmarkStart w:id="811" w:name="Tc_rW8f4WQu-kO-Cx8z_k0ENA_5_2"/>
      <w:bookmarkStart w:id="812" w:name="Tc_miDaVMYC7kKZcfjnyAchhw_4_9"/>
      <w:bookmarkStart w:id="813" w:name="Tc_Tj7NscKQME6E1nQkI77erQ_4_7"/>
      <w:bookmarkStart w:id="814" w:name="Tc_ugB6_G3zxE2hnO675pHwGA_4_4"/>
      <w:bookmarkStart w:id="815" w:name="Tc_HmvP7Pp8KEqGsakjX4ULdQ_4_2"/>
      <w:bookmarkStart w:id="816" w:name="Tc_kh86i9EyX026YJ6AzUnzdQ_3_9"/>
      <w:bookmarkStart w:id="817" w:name="Tc_VRJ3vfrApUGOVxqTJk8eIA_3_7"/>
      <w:bookmarkStart w:id="818" w:name="Tc_KF__Ie5NCUOzw9zeiT9wlA_3_4"/>
      <w:bookmarkStart w:id="819" w:name="Tc_M5KcQb6Zd0iRpMdZbgJk6g_2_7"/>
      <w:bookmarkStart w:id="820" w:name="Tc_3VpjmB0m4U-dszXtip0hwg_2_4"/>
      <w:bookmarkStart w:id="821" w:name="Tc_6f99Bz12hEKrBAsoOr0Awg_1_7"/>
      <w:bookmarkStart w:id="822" w:name="Tc_satvlKGnHU2uK0zu0ogRHg_1_4"/>
      <w:bookmarkStart w:id="823" w:name="_d87b9053_b183_4a57_8e12_061bafe0b814"/>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r>
        <w:rPr>
          <w:rFonts w:ascii="Times New Roman;Times;serif" w:hAnsi="Times New Roman;Times;serif"/>
          <w:b/>
          <w:i/>
          <w:sz w:val="20"/>
        </w:rPr>
        <w:t xml:space="preserve">2021 Equity Plan </w:t>
      </w:r>
    </w:p>
    <w:p>
      <w:pPr>
        <w:pStyle w:val="TextBody"/>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In April 2021, the Company’s board of directors adopted the 2021 Equity Plan. The 2021 Equity Plan provides for the issuance of incentive stock options, restricted stock, restricted stock units and other stock-based and cash-based awards to the Company’s employees, directors, and consultants. The maximum aggregate number of shares reserved for issuance under the 2021 Equity Plan was 925,000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 </w:t>
      </w:r>
    </w:p>
    <w:p>
      <w:pPr>
        <w:pStyle w:val="TextBody"/>
        <w:spacing w:before="0" w:after="16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CEO Stock Options and Special Compensation Awards</w:t>
      </w:r>
    </w:p>
    <w:p>
      <w:pPr>
        <w:pStyle w:val="TextBody"/>
        <w:spacing w:before="0" w:after="160"/>
        <w:ind w:left="0" w:right="0" w:firstLine="360"/>
        <w:jc w:val="both"/>
        <w:rPr>
          <w:rFonts w:ascii="Times New Roman;Times;serif" w:hAnsi="Times New Roman;Times;serif"/>
          <w:sz w:val="24"/>
        </w:rPr>
      </w:pPr>
      <w:r>
        <w:rPr>
          <w:rFonts w:ascii="Times New Roman;Times;serif" w:hAnsi="Times New Roman;Times;serif"/>
          <w:sz w:val="20"/>
        </w:rPr>
        <w:t>In April 2021, the Company entered into an Employment Agreement (the “McCreight IPO Employment Agreement”) with the former CEO, David McCreight, and granted stock options under the 2021 Equity Plan to purchase 322,793</w:t>
      </w:r>
      <w:r>
        <w:rPr>
          <w:rFonts w:ascii="Times New Roman;Times;serif" w:hAnsi="Times New Roman;Times;serif"/>
          <w:sz w:val="24"/>
        </w:rPr>
        <w:t xml:space="preserve"> </w:t>
      </w:r>
      <w:r>
        <w:rPr>
          <w:rFonts w:ascii="Times New Roman;Times;serif" w:hAnsi="Times New Roman;Times;serif"/>
          <w:sz w:val="20"/>
        </w:rPr>
        <w:t>shares of common stock with an exercise price of $11.35</w:t>
      </w:r>
      <w:r>
        <w:rPr>
          <w:rFonts w:ascii="Times New Roman;Times;serif" w:hAnsi="Times New Roman;Times;serif"/>
          <w:sz w:val="24"/>
        </w:rPr>
        <w:t xml:space="preserve"> </w:t>
      </w:r>
      <w:r>
        <w:rPr>
          <w:rFonts w:ascii="Times New Roman;Times;serif" w:hAnsi="Times New Roman;Times;serif"/>
          <w:sz w:val="20"/>
        </w:rPr>
        <w:t>per share, which vest based on service and performance conditions. 275,133</w:t>
      </w:r>
      <w:r>
        <w:rPr>
          <w:rFonts w:ascii="Times New Roman;Times;serif" w:hAnsi="Times New Roman;Times;serif"/>
          <w:sz w:val="24"/>
        </w:rPr>
        <w:t xml:space="preserve"> </w:t>
      </w:r>
      <w:r>
        <w:rPr>
          <w:rFonts w:ascii="Times New Roman;Times;serif" w:hAnsi="Times New Roman;Times;serif"/>
          <w:sz w:val="20"/>
        </w:rPr>
        <w:t>of these stock options have only service vesting conditions, and 47,660</w:t>
      </w:r>
      <w:r>
        <w:rPr>
          <w:rFonts w:ascii="Times New Roman;Times;serif" w:hAnsi="Times New Roman;Times;serif"/>
          <w:sz w:val="24"/>
        </w:rPr>
        <w:t xml:space="preserve"> </w:t>
      </w:r>
      <w:r>
        <w:rPr>
          <w:rFonts w:ascii="Times New Roman;Times;serif" w:hAnsi="Times New Roman;Times;serif"/>
          <w:sz w:val="20"/>
        </w:rPr>
        <w:t>of these stock options have both service and performance vesting conditions. In addition, a portion of these stock options were subject to accelerated vesting conditions upon the occurrence of certain future events, which were satisfied upon the closing of the IPO. As previously disclosed on a Form 8-K filed on February 13, 2023 (the “February 13 8-K”), Mr. McCreight voluntarily forfeited 161,396</w:t>
      </w:r>
      <w:r>
        <w:rPr>
          <w:rFonts w:ascii="Times New Roman;Times;serif" w:hAnsi="Times New Roman;Times;serif"/>
          <w:sz w:val="24"/>
        </w:rPr>
        <w:t xml:space="preserve"> </w:t>
      </w:r>
      <w:r>
        <w:rPr>
          <w:rFonts w:ascii="Times New Roman;Times;serif" w:hAnsi="Times New Roman;Times;serif"/>
          <w:sz w:val="20"/>
        </w:rPr>
        <w:t>unvested stock options of the Company. During the thirteen weeks ended April 2, 2023, the forfeiture of 161,396</w:t>
      </w:r>
      <w:r>
        <w:rPr>
          <w:rFonts w:ascii="Times New Roman;Times;serif" w:hAnsi="Times New Roman;Times;serif"/>
          <w:sz w:val="24"/>
        </w:rPr>
        <w:t xml:space="preserve"> </w:t>
      </w:r>
      <w:r>
        <w:rPr>
          <w:rFonts w:ascii="Times New Roman;Times;serif" w:hAnsi="Times New Roman;Times;serif"/>
          <w:sz w:val="20"/>
        </w:rPr>
        <w:t>unvested stock resulted in immediate acceleration of the remaining $1.2</w:t>
      </w:r>
      <w:r>
        <w:rPr>
          <w:rFonts w:ascii="Times New Roman;Times;serif" w:hAnsi="Times New Roman;Times;serif"/>
          <w:sz w:val="24"/>
        </w:rPr>
        <w:t xml:space="preserve"> </w:t>
      </w:r>
      <w:r>
        <w:rPr>
          <w:rFonts w:ascii="Times New Roman;Times;serif" w:hAnsi="Times New Roman;Times;serif"/>
          <w:sz w:val="20"/>
        </w:rPr>
        <w:t>million of compensation expense which was recorded to general and administrative expense. As previously disclosed in the February 13 8-K, the Company and David McCreight also entered into the First Amendment to Lulu’s Fashion Lounge Holdings, Inc. 2021 Equity Incentive Plan Stock Option Agreement that extends the post-termination exercise period of 161,397</w:t>
      </w:r>
      <w:r>
        <w:rPr>
          <w:rFonts w:ascii="Times New Roman;Times;serif" w:hAnsi="Times New Roman;Times;serif"/>
          <w:sz w:val="24"/>
        </w:rPr>
        <w:t xml:space="preserve"> </w:t>
      </w:r>
      <w:r>
        <w:rPr>
          <w:rFonts w:ascii="Times New Roman;Times;serif" w:hAnsi="Times New Roman;Times;serif"/>
          <w:sz w:val="20"/>
        </w:rPr>
        <w:t>vested stock options from 90 days</w:t>
      </w:r>
      <w:r>
        <w:rPr>
          <w:rFonts w:ascii="Times New Roman;Times;serif" w:hAnsi="Times New Roman;Times;serif"/>
          <w:sz w:val="24"/>
        </w:rPr>
        <w:t xml:space="preserve"> </w:t>
      </w:r>
      <w:r>
        <w:rPr>
          <w:rFonts w:ascii="Times New Roman;Times;serif" w:hAnsi="Times New Roman;Times;serif"/>
          <w:sz w:val="20"/>
        </w:rPr>
        <w:t xml:space="preserve">to </w:t>
      </w:r>
      <w:r>
        <w:rPr>
          <w:rFonts w:ascii="Times New Roman;Times;serif" w:hAnsi="Times New Roman;Times;serif"/>
          <w:b w:val="false"/>
          <w:i w:val="false"/>
          <w:caps w:val="false"/>
          <w:smallCaps w:val="false"/>
          <w:sz w:val="20"/>
        </w:rPr>
        <w:t>three</w:t>
      </w:r>
      <w:r>
        <w:rPr>
          <w:rFonts w:ascii="Times New Roman;Times;serif" w:hAnsi="Times New Roman;Times;serif"/>
          <w:sz w:val="24"/>
        </w:rPr>
        <w:t xml:space="preserve"> </w:t>
      </w:r>
      <w:r>
        <w:rPr>
          <w:rFonts w:ascii="Times New Roman;Times;serif" w:hAnsi="Times New Roman;Times;serif"/>
          <w:sz w:val="20"/>
        </w:rPr>
        <w:t>(3) years from a termination of service other than for cause, death or disability.</w:t>
      </w:r>
    </w:p>
    <w:p>
      <w:pPr>
        <w:pStyle w:val="TextBody"/>
        <w:spacing w:before="0" w:after="160"/>
        <w:ind w:left="0" w:right="0" w:firstLine="360"/>
        <w:jc w:val="both"/>
        <w:rPr>
          <w:rFonts w:ascii="Times New Roman;Times;serif" w:hAnsi="Times New Roman;Times;serif"/>
          <w:sz w:val="20"/>
        </w:rPr>
      </w:pPr>
      <w:r>
        <w:rPr>
          <w:rFonts w:ascii="Times New Roman;Times;serif" w:hAnsi="Times New Roman;Times;serif"/>
          <w:sz w:val="20"/>
        </w:rPr>
        <w:t>Under the McCreight IPO Employment Agreement and subject to ongoing employment, and in light of the closing of the IPO, the former CEO received two bonuses which were settled in fully-vested shares of the Company’s common stock equal to $3.0 million each ($6.0 million in aggregate) on March 31, 2022 and March 31, 2023. The Company initially concluded that the two bonuses were subject to the guidance within ASC 718 and were liability-classified upon issuance. Upon the completion of the IPO, the two bonuses became equity-classified as they no longer met the criteria for liability classification. The Company recorded the equity-based compensation expense on a straight-line basis over the requisite service periods through March 31, 2022 and March 31, 2023. During the thirteen weeks ended April 2, 2023 and April 3, 2022, the Company recognized equity-based compensation expense related to the two bonuses of $0.4 million and $1.1 million, respectively.  During the thirteen weeks ended April 2, 2023 and April 3, 2022, the Company issued 208,914 and 208,914 fully-vested shares, respectively, upon satisfaction of the service performed through March 31, 2023 and March 31, 2022, respectively.  </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Stock Options</w:t>
      </w:r>
    </w:p>
    <w:p>
      <w:pPr>
        <w:pStyle w:val="TextBody"/>
        <w:spacing w:before="0" w:after="0"/>
        <w:ind w:left="0" w:right="0" w:hanging="0"/>
        <w:rPr/>
      </w:pPr>
      <w:r>
        <w:rPr/>
        <w:t>​</w:t>
      </w:r>
    </w:p>
    <w:p>
      <w:pPr>
        <w:pStyle w:val="TextBody"/>
        <w:spacing w:before="0" w:after="120"/>
        <w:ind w:left="0" w:right="0" w:hanging="0"/>
        <w:rPr>
          <w:rFonts w:ascii="Times New Roman;Times;serif" w:hAnsi="Times New Roman;Times;serif"/>
          <w:sz w:val="20"/>
          <w:highlight w:val="white"/>
        </w:rPr>
      </w:pPr>
      <w:r>
        <w:rPr>
          <w:rFonts w:ascii="Times New Roman;Times;serif" w:hAnsi="Times New Roman;Times;serif"/>
          <w:sz w:val="20"/>
          <w:highlight w:val="white"/>
        </w:rPr>
        <w:t>A summary of stock option activity is as follows (in thousands, except per share amounts and years):</w:t>
      </w:r>
    </w:p>
    <w:tbl>
      <w:tblPr>
        <w:tblW w:w="9003" w:type="dxa"/>
        <w:jc w:val="left"/>
        <w:tblInd w:w="0" w:type="dxa"/>
        <w:tblCellMar>
          <w:top w:w="0" w:type="dxa"/>
          <w:left w:w="0" w:type="dxa"/>
          <w:bottom w:w="0" w:type="dxa"/>
          <w:right w:w="0" w:type="dxa"/>
        </w:tblCellMar>
      </w:tblPr>
      <w:tblGrid>
        <w:gridCol w:w="3931"/>
        <w:gridCol w:w="326"/>
        <w:gridCol w:w="1006"/>
        <w:gridCol w:w="326"/>
        <w:gridCol w:w="230"/>
        <w:gridCol w:w="625"/>
        <w:gridCol w:w="326"/>
        <w:gridCol w:w="991"/>
        <w:gridCol w:w="326"/>
        <w:gridCol w:w="321"/>
        <w:gridCol w:w="595"/>
      </w:tblGrid>
      <w:tr>
        <w:trPr/>
        <w:tc>
          <w:tcPr>
            <w:tcW w:w="3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496185" cy="175260"/>
                      <wp:effectExtent l="0" t="0" r="0" b="0"/>
                      <wp:wrapNone/>
                      <wp:docPr id="107" name="Frame106"/>
                      <a:graphic xmlns:a="http://schemas.openxmlformats.org/drawingml/2006/main">
                        <a:graphicData uri="http://schemas.microsoft.com/office/word/2010/wordprocessingShape">
                          <wps:wsp>
                            <wps:cNvSpPr txBox="1"/>
                            <wps:spPr>
                              <a:xfrm>
                                <a:off x="0" y="0"/>
                                <a:ext cx="2496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38810" cy="175260"/>
                      <wp:effectExtent l="0" t="0" r="0" b="0"/>
                      <wp:wrapNone/>
                      <wp:docPr id="109" name="Frame108"/>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6050" cy="175260"/>
                      <wp:effectExtent l="0" t="0" r="0" b="0"/>
                      <wp:wrapNone/>
                      <wp:docPr id="111" name="Frame110"/>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96875" cy="175260"/>
                      <wp:effectExtent l="0" t="0" r="0" b="0"/>
                      <wp:wrapNone/>
                      <wp:docPr id="112" name="Frame111"/>
                      <a:graphic xmlns:a="http://schemas.openxmlformats.org/drawingml/2006/main">
                        <a:graphicData uri="http://schemas.microsoft.com/office/word/2010/wordprocessingShape">
                          <wps:wsp>
                            <wps:cNvSpPr txBox="1"/>
                            <wps:spPr>
                              <a:xfrm>
                                <a:off x="0" y="0"/>
                                <a:ext cx="396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29285" cy="175260"/>
                      <wp:effectExtent l="0" t="0" r="0" b="0"/>
                      <wp:wrapNone/>
                      <wp:docPr id="114" name="Frame113"/>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3835" cy="175260"/>
                      <wp:effectExtent l="0" t="0" r="0" b="0"/>
                      <wp:wrapNone/>
                      <wp:docPr id="116" name="Frame115"/>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77825" cy="175260"/>
                      <wp:effectExtent l="0" t="0" r="0" b="0"/>
                      <wp:wrapNone/>
                      <wp:docPr id="117" name="Frame116"/>
                      <a:graphic xmlns:a="http://schemas.openxmlformats.org/drawingml/2006/main">
                        <a:graphicData uri="http://schemas.microsoft.com/office/word/2010/wordprocessingShape">
                          <wps:wsp>
                            <wps:cNvSpPr txBox="1"/>
                            <wps:spPr>
                              <a:xfrm>
                                <a:off x="0" y="0"/>
                                <a:ext cx="377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jc w:val="center"/>
              <w:rPr/>
            </w:pPr>
            <w:r>
              <w:rPr/>
              <w:t>​</w:t>
            </w:r>
          </w:p>
        </w:tc>
        <w:tc>
          <w:tcPr>
            <w:tcW w:w="321" w:type="dxa"/>
            <w:tcBorders/>
            <w:shd w:fill="auto" w:val="clear"/>
            <w:vAlign w:val="center"/>
          </w:tcPr>
          <w:p>
            <w:pPr>
              <w:pStyle w:val="TableContents"/>
              <w:spacing w:before="0" w:after="0"/>
              <w:ind w:left="0" w:right="0" w:hanging="0"/>
              <w:jc w:val="center"/>
              <w:rPr/>
            </w:pPr>
            <w:r>
              <w:rPr/>
              <w:t>​</w:t>
            </w:r>
          </w:p>
        </w:tc>
        <w:tc>
          <w:tcPr>
            <w:tcW w:w="595" w:type="dxa"/>
            <w:tcBorders/>
            <w:shd w:fill="auto" w:val="clear"/>
            <w:vAlign w:val="center"/>
          </w:tcPr>
          <w:p>
            <w:pPr>
              <w:pStyle w:val="TableContents"/>
              <w:spacing w:before="0" w:after="0"/>
              <w:ind w:left="0" w:right="0" w:hanging="0"/>
              <w:jc w:val="center"/>
              <w:rPr/>
            </w:pPr>
            <w:r>
              <w:rPr/>
              <w:t>​</w:t>
            </w:r>
          </w:p>
        </w:tc>
      </w:tr>
      <w:tr>
        <w:trPr/>
        <w:tc>
          <w:tcPr>
            <w:tcW w:w="3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321" w:type="dxa"/>
            <w:tcBorders/>
            <w:shd w:fill="auto" w:val="clear"/>
            <w:vAlign w:val="center"/>
          </w:tcPr>
          <w:p>
            <w:pPr>
              <w:pStyle w:val="TableContents"/>
              <w:spacing w:before="0" w:after="0"/>
              <w:ind w:left="0" w:right="0" w:hanging="0"/>
              <w:jc w:val="center"/>
              <w:rPr/>
            </w:pPr>
            <w:r>
              <w:rPr/>
              <w:t>​</w:t>
            </w:r>
          </w:p>
        </w:tc>
        <w:tc>
          <w:tcPr>
            <w:tcW w:w="595" w:type="dxa"/>
            <w:tcBorders/>
            <w:shd w:fill="auto" w:val="clear"/>
            <w:vAlign w:val="center"/>
          </w:tcPr>
          <w:p>
            <w:pPr>
              <w:pStyle w:val="TableContents"/>
              <w:spacing w:before="0" w:after="0"/>
              <w:ind w:left="0" w:right="0" w:hanging="0"/>
              <w:jc w:val="center"/>
              <w:rPr/>
            </w:pPr>
            <w:r>
              <w:rPr/>
              <w:t>​</w:t>
            </w:r>
          </w:p>
        </w:tc>
      </w:tr>
      <w:tr>
        <w:trPr/>
        <w:tc>
          <w:tcPr>
            <w:tcW w:w="3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0"/>
              <w:ind w:left="0" w:right="0" w:hanging="0"/>
              <w:jc w:val="center"/>
              <w:rPr/>
            </w:pPr>
            <w:r>
              <w:rPr/>
              <w:t>    </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0"/>
              <w:ind w:left="0" w:right="0" w:hanging="0"/>
              <w:jc w:val="center"/>
              <w:rPr/>
            </w:pPr>
            <w:r>
              <w:rPr/>
              <w:t>    </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0"/>
              <w:ind w:left="0" w:right="0" w:hanging="0"/>
              <w:jc w:val="center"/>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shd w:fill="auto" w:val="clear"/>
            <w:vAlign w:val="center"/>
          </w:tcPr>
          <w:p>
            <w:pPr>
              <w:pStyle w:val="TableContents"/>
              <w:spacing w:before="0" w:after="0"/>
              <w:ind w:left="0" w:right="0" w:hanging="0"/>
              <w:jc w:val="center"/>
              <w:rPr/>
            </w:pPr>
            <w:r>
              <w:rPr/>
              <w:t>​</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shd w:fill="auto" w:val="clear"/>
            <w:vAlign w:val="center"/>
          </w:tcPr>
          <w:p>
            <w:pPr>
              <w:pStyle w:val="TableContents"/>
              <w:spacing w:before="0" w:after="0"/>
              <w:ind w:left="0" w:right="0" w:hanging="0"/>
              <w:jc w:val="center"/>
              <w:rPr/>
            </w:pPr>
            <w:r>
              <w:rPr/>
              <w:t>​</w:t>
            </w:r>
          </w:p>
        </w:tc>
        <w:tc>
          <w:tcPr>
            <w:tcW w:w="8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shd w:fill="auto" w:val="clear"/>
            <w:vAlign w:val="center"/>
          </w:tcPr>
          <w:p>
            <w:pPr>
              <w:pStyle w:val="TableContents"/>
              <w:spacing w:before="0" w:after="0"/>
              <w:ind w:left="0" w:right="0" w:hanging="0"/>
              <w:jc w:val="center"/>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93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1, 2023</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322,793</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pPr>
            <w:r>
              <w:rPr/>
              <w:t>​</w:t>
            </w:r>
          </w:p>
        </w:tc>
        <w:tc>
          <w:tcPr>
            <w:tcW w:w="595" w:type="dxa"/>
            <w:tcBorders/>
            <w:shd w:fill="CCEEFF" w:val="clear"/>
            <w:vAlign w:val="center"/>
          </w:tcPr>
          <w:p>
            <w:pPr>
              <w:pStyle w:val="TableContents"/>
              <w:spacing w:before="0" w:after="0"/>
              <w:ind w:left="0" w:right="0" w:hanging="0"/>
              <w:jc w:val="right"/>
              <w:rPr/>
            </w:pPr>
            <w:r>
              <w:rPr/>
              <w:t>​</w:t>
            </w:r>
          </w:p>
        </w:tc>
      </w:tr>
      <w:tr>
        <w:trPr/>
        <w:tc>
          <w:tcPr>
            <w:tcW w:w="3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w:t>
            </w:r>
          </w:p>
        </w:tc>
        <w:tc>
          <w:tcPr>
            <w:tcW w:w="595" w:type="dxa"/>
            <w:tcBorders/>
            <w:shd w:fill="auto" w:val="clear"/>
            <w:vAlign w:val="center"/>
          </w:tcPr>
          <w:p>
            <w:pPr>
              <w:pStyle w:val="TableContents"/>
              <w:spacing w:before="0" w:after="0"/>
              <w:ind w:left="0" w:right="0" w:hanging="0"/>
              <w:jc w:val="right"/>
              <w:rPr/>
            </w:pPr>
            <w:r>
              <w:rPr/>
              <w:t>​</w:t>
            </w:r>
          </w:p>
        </w:tc>
      </w:tr>
      <w:tr>
        <w:trPr/>
        <w:tc>
          <w:tcPr>
            <w:tcW w:w="3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spacing w:before="0" w:after="0"/>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(161,396)</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spacing w:before="0" w:after="0"/>
              <w:ind w:left="0" w:right="0" w:hanging="0"/>
              <w:rPr/>
            </w:pPr>
            <w:r>
              <w:rPr/>
              <w:t>​</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pPr>
            <w:r>
              <w:rPr/>
              <w:t>​</w:t>
            </w:r>
          </w:p>
        </w:tc>
        <w:tc>
          <w:tcPr>
            <w:tcW w:w="595" w:type="dxa"/>
            <w:tcBorders/>
            <w:shd w:fill="CCEEFF" w:val="clear"/>
            <w:vAlign w:val="center"/>
          </w:tcPr>
          <w:p>
            <w:pPr>
              <w:pStyle w:val="TableContents"/>
              <w:spacing w:before="0" w:after="0"/>
              <w:ind w:left="0" w:right="0" w:hanging="0"/>
              <w:jc w:val="right"/>
              <w:rPr/>
            </w:pPr>
            <w:r>
              <w:rPr/>
              <w:t>​</w:t>
            </w:r>
          </w:p>
        </w:tc>
      </w:tr>
      <w:tr>
        <w:trPr/>
        <w:tc>
          <w:tcPr>
            <w:tcW w:w="393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Outstanding as of April 2, 2023</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auto" w:val="clear"/>
            <w:vAlign w:val="center"/>
          </w:tcPr>
          <w:p>
            <w:pPr>
              <w:pStyle w:val="TableContents"/>
              <w:spacing w:before="0" w:after="0"/>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shd w:fill="auto" w:val="clear"/>
            <w:vAlign w:val="center"/>
          </w:tcPr>
          <w:p>
            <w:pPr>
              <w:pStyle w:val="TableContents"/>
              <w:spacing w:before="0" w:after="0"/>
              <w:ind w:left="0" w:right="0" w:hanging="0"/>
              <w:rPr/>
            </w:pPr>
            <w:r>
              <w:rPr/>
              <w:t>​</w:t>
            </w:r>
          </w:p>
        </w:tc>
        <w:tc>
          <w:tcPr>
            <w:tcW w:w="32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9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93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Exercisable as of April 2, 2023</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shd w:fill="CCEEFF" w:val="clear"/>
            <w:vAlign w:val="center"/>
          </w:tcPr>
          <w:p>
            <w:pPr>
              <w:pStyle w:val="TableContents"/>
              <w:spacing w:before="0" w:after="0"/>
              <w:ind w:left="0" w:right="0" w:hanging="0"/>
              <w:rPr/>
            </w:pPr>
            <w:r>
              <w:rPr/>
              <w:t>​</w:t>
            </w:r>
          </w:p>
        </w:tc>
        <w:tc>
          <w:tcPr>
            <w:tcW w:w="32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93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Vested and expected to vest as of April 2, 2023</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auto" w:val="clear"/>
            <w:vAlign w:val="center"/>
          </w:tcPr>
          <w:p>
            <w:pPr>
              <w:pStyle w:val="TableContents"/>
              <w:spacing w:before="0" w:after="0"/>
              <w:ind w:left="0" w:right="0" w:hanging="0"/>
              <w:rPr/>
            </w:pPr>
            <w:r>
              <w:rPr/>
              <w:t> </w:t>
            </w:r>
          </w:p>
        </w:tc>
        <w:tc>
          <w:tcPr>
            <w:tcW w:w="9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shd w:fill="auto" w:val="clear"/>
            <w:vAlign w:val="center"/>
          </w:tcPr>
          <w:p>
            <w:pPr>
              <w:pStyle w:val="TableContents"/>
              <w:spacing w:before="0" w:after="0"/>
              <w:ind w:left="0" w:right="0" w:hanging="0"/>
              <w:rPr/>
            </w:pPr>
            <w:r>
              <w:rPr/>
              <w:t>​</w:t>
            </w:r>
          </w:p>
        </w:tc>
        <w:tc>
          <w:tcPr>
            <w:tcW w:w="32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93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w:t>
            </w:r>
          </w:p>
        </w:tc>
        <w:tc>
          <w:tcPr>
            <w:tcW w:w="595" w:type="dxa"/>
            <w:tcBorders/>
            <w:shd w:fill="auto" w:val="clear"/>
            <w:vAlign w:val="center"/>
          </w:tcPr>
          <w:p>
            <w:pPr>
              <w:pStyle w:val="TableContents"/>
              <w:spacing w:before="0" w:after="0"/>
              <w:ind w:left="0" w:right="0" w:hanging="0"/>
              <w:jc w:val="right"/>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0"/>
        <w:ind w:left="0" w:right="0" w:hanging="0"/>
        <w:rPr/>
      </w:pPr>
      <w:bookmarkStart w:id="824" w:name="_Hlk133903693"/>
      <w:bookmarkStart w:id="825" w:name="Tc_r8Y0UkEqe0CvfOLPoGUYEA_8_4"/>
      <w:bookmarkStart w:id="826" w:name="Tc_dR4grplnpk6uSatTclqlrA_8_0"/>
      <w:bookmarkStart w:id="827" w:name="Tc_V__-G-4Jd0OZCmOOom5X-A_7_0"/>
      <w:bookmarkStart w:id="828" w:name="Tc_irHY_N2R5kWHScWFUfnN7A_6_0"/>
      <w:bookmarkStart w:id="829" w:name="Tc_89Tzvmz3M06n44oqcTWGgQ_5_5"/>
      <w:bookmarkStart w:id="830" w:name="Tc_gIoWAS-r5ECSzOAIRMnidw_5_2"/>
      <w:bookmarkStart w:id="831" w:name="Tc_ZJ70VHv4kUiGDlG3B2SC3g_5_0"/>
      <w:bookmarkStart w:id="832" w:name="Tc_4hqITQV7HkKI_M8U3RrrHA_4_4"/>
      <w:bookmarkStart w:id="833" w:name="Tc_S5HPvi0UD0mBo5rvInD7Uw_4_0"/>
      <w:bookmarkStart w:id="834" w:name="Tc_DQ7oFPCrV0GUlSJvaguzlQ_3_4"/>
      <w:bookmarkStart w:id="835" w:name="Tc_untYPIQU3kmq_j_bQ1tUXA_3_2"/>
      <w:bookmarkStart w:id="836" w:name="Tc_a2wjQW4Pp0S2p96M4UyEOA_2_4"/>
      <w:bookmarkStart w:id="837" w:name="Tc_B6m_sm_trkWjOFgMCV-tVQ_2_2"/>
      <w:bookmarkStart w:id="838" w:name="Tc_AIVM-8zCAUal1IsHIQpw_w_1_4"/>
      <w:bookmarkStart w:id="839" w:name="Tc_V35rTPnhFUKtXiZZpVVN4g_1_2"/>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Pr/>
        <w:t>​</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Restricted Stock and Restricted Stock Units (“RSUs”)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highlight w:val="white"/>
        </w:rPr>
        <w:t xml:space="preserve">Immediately before the completion of the IPO, the LP was liquidated and the Class P unit holders of the LP (current and former employees or service providers of the Company) received shares of the Company’s common stock in exchange for their units of the LP. The Class P unit holders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extent as the corresponding Class P units. </w:t>
      </w:r>
      <w:r>
        <w:rPr>
          <w:rFonts w:ascii="Times New Roman;Times;serif" w:hAnsi="Times New Roman;Times;serif"/>
          <w:sz w:val="20"/>
        </w:rPr>
        <w:t xml:space="preserve">The Company recorded equity-based compensation expense of $0.2 million and $0.8 million during the thirteen weeks ended April 2, 2023 and April 3, 2022, respectively, related to the exchanged restricted stock. </w:t>
      </w:r>
      <w:r>
        <w:rPr>
          <w:rFonts w:ascii="Times New Roman;Times;serif" w:hAnsi="Times New Roman;Times;serif"/>
          <w:sz w:val="20"/>
          <w:highlight w:val="white"/>
        </w:rPr>
        <w:t>As of April 2, 2023, the unrecognized equity-based compensation expense for all restricted stock is $0.9 million and will be recognized over a weighted-average period of 1.45 years</w:t>
      </w:r>
      <w:r>
        <w:rPr>
          <w:rFonts w:ascii="Times New Roman;Times;serif" w:hAnsi="Times New Roman;Times;serif"/>
          <w:sz w:val="20"/>
        </w:rPr>
        <w:t>.</w:t>
      </w:r>
    </w:p>
    <w:p>
      <w:pPr>
        <w:pStyle w:val="TextBody"/>
        <w:spacing w:before="0" w:after="240"/>
        <w:ind w:left="0" w:right="0" w:firstLine="360"/>
        <w:jc w:val="both"/>
        <w:rPr>
          <w:rFonts w:ascii="Times New Roman;Times;serif" w:hAnsi="Times New Roman;Times;serif"/>
          <w:sz w:val="20"/>
          <w:highlight w:val="white"/>
        </w:rPr>
      </w:pPr>
      <w:r>
        <w:rPr>
          <w:rFonts w:ascii="Times New Roman;Times;serif" w:hAnsi="Times New Roman;Times;serif"/>
          <w:sz w:val="20"/>
          <w:highlight w:val="white"/>
        </w:rPr>
        <w:t>The following table summarizes the rollforward of unvested restricted stock during the thirteen weeks ended April 2, 2023:</w:t>
      </w:r>
    </w:p>
    <w:p>
      <w:pPr>
        <w:pStyle w:val="TextBody"/>
        <w:spacing w:before="0" w:after="0"/>
        <w:ind w:left="0" w:right="0" w:hanging="0"/>
        <w:rPr/>
      </w:pPr>
      <w:r>
        <w:rPr/>
        <w:t>​</w:t>
      </w:r>
    </w:p>
    <w:tbl>
      <w:tblPr>
        <w:tblW w:w="5169" w:type="dxa"/>
        <w:jc w:val="left"/>
        <w:tblInd w:w="0" w:type="dxa"/>
        <w:tblCellMar>
          <w:top w:w="0" w:type="dxa"/>
          <w:left w:w="0" w:type="dxa"/>
          <w:bottom w:w="0" w:type="dxa"/>
          <w:right w:w="0" w:type="dxa"/>
        </w:tblCellMar>
      </w:tblPr>
      <w:tblGrid>
        <w:gridCol w:w="2311"/>
        <w:gridCol w:w="326"/>
        <w:gridCol w:w="886"/>
        <w:gridCol w:w="326"/>
        <w:gridCol w:w="348"/>
        <w:gridCol w:w="972"/>
      </w:tblGrid>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48" w:type="dxa"/>
            <w:tcBorders/>
            <w:shd w:fill="auto" w:val="clear"/>
            <w:vAlign w:val="center"/>
          </w:tcPr>
          <w:p>
            <w:pPr>
              <w:pStyle w:val="TableContents"/>
              <w:spacing w:before="0" w:after="1"/>
              <w:ind w:left="0" w:right="0" w:hanging="0"/>
              <w:rPr/>
            </w:pPr>
            <w:r>
              <w:rPr/>
              <w:t>​</w:t>
            </w:r>
          </w:p>
        </w:tc>
        <w:tc>
          <w:tcPr>
            <w:tcW w:w="972" w:type="dxa"/>
            <w:tcBorders/>
            <w:shd w:fill="auto" w:val="clear"/>
            <w:vAlign w:val="center"/>
          </w:tcPr>
          <w:p>
            <w:pPr>
              <w:pStyle w:val="TableContents"/>
              <w:spacing w:before="0" w:after="1"/>
              <w:ind w:left="0" w:right="0" w:hanging="0"/>
              <w:rPr/>
            </w:pPr>
            <w:r>
              <w:rPr/>
              <w:t>​</w: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326" w:type="dxa"/>
            <w:tcBorders/>
            <w:shd w:fill="auto" w:val="clear"/>
            <w:vAlign w:val="center"/>
          </w:tcPr>
          <w:p>
            <w:pPr>
              <w:pStyle w:val="TableContents"/>
              <w:spacing w:before="0" w:after="1"/>
              <w:ind w:left="0" w:right="0" w:hanging="0"/>
              <w:rPr/>
            </w:pPr>
            <w:r>
              <w:rPr/>
              <w:t>​</w:t>
            </w:r>
          </w:p>
        </w:tc>
        <w:tc>
          <w:tcPr>
            <w:tcW w:w="132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Restricted </w:t>
            </w:r>
          </w:p>
        </w:tc>
        <w:tc>
          <w:tcPr>
            <w:tcW w:w="326" w:type="dxa"/>
            <w:tcBorders/>
            <w:shd w:fill="auto" w:val="clear"/>
            <w:vAlign w:val="center"/>
          </w:tcPr>
          <w:p>
            <w:pPr>
              <w:pStyle w:val="TableContents"/>
              <w:spacing w:before="0" w:after="1"/>
              <w:ind w:left="0" w:right="0" w:hanging="0"/>
              <w:rPr/>
            </w:pPr>
            <w:r>
              <w:rPr/>
              <w:t>​</w:t>
            </w:r>
          </w:p>
        </w:tc>
        <w:tc>
          <w:tcPr>
            <w:tcW w:w="132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shd w:fill="auto" w:val="clear"/>
            <w:vAlign w:val="center"/>
          </w:tcPr>
          <w:p>
            <w:pPr>
              <w:pStyle w:val="TableContents"/>
              <w:spacing w:before="0" w:after="1"/>
              <w:ind w:left="0" w:right="0" w:hanging="0"/>
              <w:rPr/>
            </w:pPr>
            <w:r>
              <w:rPr/>
              <w:t>    </w:t>
            </w:r>
          </w:p>
        </w:tc>
        <w:tc>
          <w:tcPr>
            <w:tcW w:w="132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January 1, 2023</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78,303</w:t>
            </w:r>
          </w:p>
        </w:tc>
        <w:tc>
          <w:tcPr>
            <w:tcW w:w="326" w:type="dxa"/>
            <w:tcBorders/>
            <w:shd w:fill="CCEEFF" w:val="clear"/>
            <w:vAlign w:val="center"/>
          </w:tcPr>
          <w:p>
            <w:pPr>
              <w:pStyle w:val="TableContents"/>
              <w:spacing w:before="0" w:after="1"/>
              <w:ind w:left="0" w:right="0" w:hanging="0"/>
              <w:rPr/>
            </w:pPr>
            <w:r>
              <w:rPr/>
              <w:t>​</w:t>
            </w:r>
          </w:p>
        </w:tc>
        <w:tc>
          <w:tcPr>
            <w:tcW w:w="34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stock granted</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48" w:type="dxa"/>
            <w:tcBorders/>
            <w:shd w:fill="auto" w:val="clear"/>
            <w:vAlign w:val="center"/>
          </w:tcPr>
          <w:p>
            <w:pPr>
              <w:pStyle w:val="TableContents"/>
              <w:spacing w:before="0" w:after="1"/>
              <w:ind w:left="0" w:right="0" w:hanging="0"/>
              <w:rPr/>
            </w:pPr>
            <w:r>
              <w:rPr/>
              <w:t>​</w:t>
            </w:r>
          </w:p>
        </w:tc>
        <w:tc>
          <w:tcPr>
            <w:tcW w:w="972" w:type="dxa"/>
            <w:tcBorders/>
            <w:shd w:fill="auto" w:val="clear"/>
            <w:vAlign w:val="center"/>
          </w:tcPr>
          <w:p>
            <w:pPr>
              <w:pStyle w:val="TableContents"/>
              <w:spacing w:before="0" w:after="1"/>
              <w:ind w:left="0" w:right="0" w:hanging="0"/>
              <w:jc w:val="right"/>
              <w:rPr/>
            </w:pPr>
            <w:r>
              <w:rPr/>
              <w:t>—</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stock vested</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(9,270)</w:t>
            </w:r>
          </w:p>
        </w:tc>
        <w:tc>
          <w:tcPr>
            <w:tcW w:w="326" w:type="dxa"/>
            <w:tcBorders/>
            <w:shd w:fill="CCEEFF" w:val="clear"/>
            <w:vAlign w:val="center"/>
          </w:tcPr>
          <w:p>
            <w:pPr>
              <w:pStyle w:val="TableContents"/>
              <w:spacing w:before="0" w:after="1"/>
              <w:ind w:left="0" w:right="0" w:hanging="0"/>
              <w:rPr/>
            </w:pPr>
            <w:r>
              <w:rPr/>
              <w:t>​</w:t>
            </w:r>
          </w:p>
        </w:tc>
        <w:tc>
          <w:tcPr>
            <w:tcW w:w="348" w:type="dxa"/>
            <w:tcBorders/>
            <w:shd w:fill="CCEEFF" w:val="clear"/>
            <w:vAlign w:val="center"/>
          </w:tcPr>
          <w:p>
            <w:pPr>
              <w:pStyle w:val="TableContents"/>
              <w:spacing w:before="0" w:after="1"/>
              <w:ind w:left="0" w:right="0" w:hanging="0"/>
              <w:rPr/>
            </w:pPr>
            <w:r>
              <w:rPr/>
              <w:t> </w:t>
            </w:r>
          </w:p>
        </w:tc>
        <w:tc>
          <w:tcPr>
            <w:tcW w:w="9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stock forfeited</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(2,720)</w:t>
            </w:r>
          </w:p>
        </w:tc>
        <w:tc>
          <w:tcPr>
            <w:tcW w:w="326" w:type="dxa"/>
            <w:tcBorders/>
            <w:shd w:fill="auto" w:val="clear"/>
            <w:vAlign w:val="center"/>
          </w:tcPr>
          <w:p>
            <w:pPr>
              <w:pStyle w:val="TableContents"/>
              <w:spacing w:before="0" w:after="1"/>
              <w:ind w:left="0" w:right="0" w:hanging="0"/>
              <w:rPr/>
            </w:pPr>
            <w:r>
              <w:rPr/>
              <w:t>​</w:t>
            </w:r>
          </w:p>
        </w:tc>
        <w:tc>
          <w:tcPr>
            <w:tcW w:w="3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7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April 2, 2023</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66,313</w:t>
            </w:r>
          </w:p>
        </w:tc>
        <w:tc>
          <w:tcPr>
            <w:tcW w:w="326" w:type="dxa"/>
            <w:tcBorders/>
            <w:shd w:fill="CCEEFF" w:val="clear"/>
            <w:vAlign w:val="center"/>
          </w:tcPr>
          <w:p>
            <w:pPr>
              <w:pStyle w:val="TableContents"/>
              <w:spacing w:before="0" w:after="1"/>
              <w:ind w:left="0" w:right="0" w:hanging="0"/>
              <w:rPr/>
            </w:pPr>
            <w:r>
              <w:rPr/>
              <w:t>​</w:t>
            </w:r>
          </w:p>
        </w:tc>
        <w:tc>
          <w:tcPr>
            <w:tcW w:w="34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5.38</w:t>
            </w:r>
          </w:p>
        </w:tc>
      </w:tr>
    </w:tbl>
    <w:p>
      <w:pPr>
        <w:pStyle w:val="TextBody"/>
        <w:spacing w:before="0" w:after="240"/>
        <w:ind w:left="0" w:right="0" w:firstLine="360"/>
        <w:jc w:val="both"/>
        <w:rPr>
          <w:highlight w:val="white"/>
        </w:rPr>
      </w:pPr>
      <w:r>
        <w:rPr>
          <w:highlight w:val="white"/>
        </w:rPr>
        <w:t>​</w:t>
      </w:r>
    </w:p>
    <w:p>
      <w:pPr>
        <w:pStyle w:val="TextBody"/>
        <w:spacing w:before="0" w:after="0"/>
        <w:ind w:left="0" w:right="0" w:firstLine="360"/>
        <w:jc w:val="both"/>
        <w:rPr>
          <w:rFonts w:ascii="Times New Roman;Times;serif" w:hAnsi="Times New Roman;Times;serif"/>
          <w:sz w:val="20"/>
          <w:highlight w:val="white"/>
        </w:rPr>
      </w:pPr>
      <w:r>
        <w:rPr>
          <w:rFonts w:ascii="Times New Roman;Times;serif" w:hAnsi="Times New Roman;Times;serif"/>
          <w:sz w:val="20"/>
          <w:highlight w:val="white"/>
        </w:rPr>
        <w:t>During the thirteen weeks ended April 2, 2023, the Company entered into employment agreements with Crystal Landsem, the Chief Executive Officer, (the “CEO Employment Agreement”) and Tiffany Smith, the Chief Financial Officer, (the “CFO Employment Agreement”), under which 1,811,572 and 161,088 RSUs were granted, respectively.  Under the CEO Employment Agreement, Ms. Landsem received a grant of 1,811,572 RSUs, which vest in quarterly installments beginning on June 30, 2023 through December 31, 2026 and are subject to continued service requirements. Under the CFO Employment Agreement, Ms. Smith received 161,088 RSUs, granted in two parts, with 118,025 and 43,063 RSUs granted on March 17, 2023 and April 30, 2023, respectively, which in combination will vest in three equal installments on March 8, 2024, March 7, 2025 and March 6, 2026, and are subject to continued service requirements. On March 5, 2023, Mr. McCreight received a grant of 25,873 RSUs pursuant to the McCreight IPO Employment Agreement. These RSUs vest in 12 equal installments from April 30, 2023 through March 31, 2024, and are subject to continued service requirements.  In addition, under Mr. McCreight’s employment agreement for his Executive Chairman role, entered into on November 11, 2022 (the “Executive Chairman Employment Agreement”), Mr. McCreight was entitled to receive a grant of RSUs equivalent to $2 million.  The Company initially concluded that the award was subject to the guidance within ASC 718 and was liability-classified upon issuance. On March 17, 2023, the number of RSUs associated with the award became determinable, and the award became equity-classified as it no longer met the criteria for liability classification. Mr. McCreight’s 836,820 RSUs were granted in two parts, with 613,116 RSUs granted on March 17, 2023 and 223,704 RSUs granted on April 30, 2023, the combination of which vest in equal, quarterly installments on the date immediately following the last day of each calendar quarter, starting April 1, 2023, and are subject to continued service requirements.</w:t>
      </w:r>
    </w:p>
    <w:p>
      <w:pPr>
        <w:pStyle w:val="TextBody"/>
        <w:spacing w:before="0" w:after="240"/>
        <w:ind w:left="0" w:right="0" w:firstLine="360"/>
        <w:jc w:val="both"/>
        <w:rPr>
          <w:highlight w:val="white"/>
        </w:rPr>
      </w:pPr>
      <w:r>
        <w:rPr>
          <w:highlight w:val="white"/>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highlight w:val="white"/>
        </w:rPr>
        <w:t xml:space="preserve">During the thirteen weeks ended April 2, 2023, the Company granted 2,520,541 RSUs to certain executives (inclusive of the aforementioned RSU grants to Ms. Landsem and Ms. Smith) and employees which vest over a </w:t>
      </w:r>
      <w:r>
        <w:rPr>
          <w:rFonts w:ascii="Times New Roman;Times;serif" w:hAnsi="Times New Roman;Times;serif"/>
          <w:b w:val="false"/>
          <w:i w:val="false"/>
          <w:caps w:val="false"/>
          <w:smallCaps w:val="false"/>
          <w:sz w:val="20"/>
          <w:highlight w:val="white"/>
        </w:rPr>
        <w:t>three</w:t>
      </w:r>
      <w:r>
        <w:rPr>
          <w:rFonts w:ascii="Times New Roman;Times;serif" w:hAnsi="Times New Roman;Times;serif"/>
          <w:sz w:val="20"/>
          <w:highlight w:val="white"/>
        </w:rPr>
        <w:t xml:space="preserve">- year service period, and 694,536 RSUs to certain directors (inclusive of the aforementioned RSU grants to the Executive Chairman) which vest over a </w:t>
      </w:r>
      <w:r>
        <w:rPr>
          <w:rFonts w:ascii="Times New Roman;Times;serif" w:hAnsi="Times New Roman;Times;serif"/>
          <w:b w:val="false"/>
          <w:i w:val="false"/>
          <w:caps w:val="false"/>
          <w:smallCaps w:val="false"/>
          <w:sz w:val="20"/>
          <w:highlight w:val="white"/>
        </w:rPr>
        <w:t>three</w:t>
      </w:r>
      <w:r>
        <w:rPr>
          <w:rFonts w:ascii="Times New Roman;Times;serif" w:hAnsi="Times New Roman;Times;serif"/>
          <w:sz w:val="20"/>
          <w:highlight w:val="white"/>
        </w:rPr>
        <w:t xml:space="preserve">-month to </w:t>
      </w:r>
      <w:r>
        <w:rPr>
          <w:rFonts w:ascii="Times New Roman;Times;serif" w:hAnsi="Times New Roman;Times;serif"/>
          <w:b w:val="false"/>
          <w:i w:val="false"/>
          <w:caps w:val="false"/>
          <w:smallCaps w:val="false"/>
          <w:sz w:val="20"/>
          <w:highlight w:val="white"/>
        </w:rPr>
        <w:t>three</w:t>
      </w:r>
      <w:r>
        <w:rPr>
          <w:rFonts w:ascii="Times New Roman;Times;serif" w:hAnsi="Times New Roman;Times;serif"/>
          <w:sz w:val="20"/>
          <w:highlight w:val="white"/>
        </w:rPr>
        <w:t xml:space="preserve">-year service period pursuant to the Company’s Non-Employee Director Compensation Program and the Executive Chairman Employment Agreement. The Company recognized equity-based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highlight w:val="white"/>
        </w:rPr>
      </w:pPr>
      <w:bookmarkStart w:id="840" w:name="Tc_hUDpeVJ5NkuYcfDWL8gGGg_8_4"/>
      <w:bookmarkStart w:id="841" w:name="Tc_bJ5PMmPiYkK9J5l_9vyWUg_8_0"/>
      <w:bookmarkStart w:id="842" w:name="Tc__oRZeT1wE0WTozLbubHtNA_7_5"/>
      <w:bookmarkStart w:id="843" w:name="Tc_dEE6DFHEF0eIEEnD-pG1TA_7_2"/>
      <w:bookmarkStart w:id="844" w:name="Tc_HfrQZJYHaUqvrt1J-rM7lA_7_0"/>
      <w:bookmarkStart w:id="845" w:name="Tc_sPM7to9UK0WSR-F7J40Hyw_6_5"/>
      <w:bookmarkStart w:id="846" w:name="Tc_nCxMXVm1aEimBusHX_p7xA_6_2"/>
      <w:bookmarkStart w:id="847" w:name="Tc_cNAvoqVUHUesfwyhAMT33Q_6_0"/>
      <w:bookmarkStart w:id="848" w:name="Tc_8XAw7s142kKoL0ahXjVjAQ_5_0"/>
      <w:bookmarkStart w:id="849" w:name="Tc_1JJinSRx0kGxnI1z3t8vXg_4_5"/>
      <w:bookmarkStart w:id="850" w:name="Tc__oHlKC5MnUeGK4HahjzVNA_4_4"/>
      <w:bookmarkStart w:id="851" w:name="Tc_vwO3DPJAuUSD-9Sl1w704Q_4_2"/>
      <w:bookmarkStart w:id="852" w:name="Tc_p-ZPHGnlEUCTlWibHVE-hw_4_0"/>
      <w:bookmarkStart w:id="853" w:name="Tc_WYK37aXCQkGu9AE3qNYGow_3_4"/>
      <w:bookmarkStart w:id="854" w:name="Tc_IXaMcWq9UUymrNJnCpQF0Q_3_2"/>
      <w:bookmarkStart w:id="855" w:name="Tc_36r7t5i7p0OTqgDINEJEDA_2_4"/>
      <w:bookmarkStart w:id="856" w:name="Tc_kgVsI-UtN06DAn80iDasUw_2_2"/>
      <w:bookmarkStart w:id="857" w:name="Tc_C0bQ3KqIQEOO5m-Ki7AmtQ_1_4"/>
      <w:bookmarkStart w:id="858" w:name="Tc_ghhE4tKE0E6zKDgxV6klyA_8_4"/>
      <w:bookmarkStart w:id="859" w:name="Tc_qzqtGcPCbUGGRYicORhEOQ_8_0"/>
      <w:bookmarkStart w:id="860" w:name="Tc_CFWxSnu-6k-uAfMn94FExw_7_0"/>
      <w:bookmarkStart w:id="861" w:name="Tc_osfKKs2WpUyvU8xC-KzoZw_6_0"/>
      <w:bookmarkStart w:id="862" w:name="Tc_vyS-qvn210K1jNIEiT_N8Q_5_0"/>
      <w:bookmarkStart w:id="863" w:name="Tc_iauIZHriwkO97lVgxvJQEA_4_4"/>
      <w:bookmarkStart w:id="864" w:name="Tc_hPGHit9QLEq7Lh-o0H-G2g_4_0"/>
      <w:bookmarkStart w:id="865" w:name="Tc_7Ql4694I4k6StyeoN9fRcw_3_4"/>
      <w:bookmarkStart w:id="866" w:name="Tc_1Z5SGTV3v0KjQkJr_pmCcQ_3_2"/>
      <w:bookmarkStart w:id="867" w:name="Tc_ul9tLf_WtEy_TEyX2_u_cw_2_4"/>
      <w:bookmarkStart w:id="868" w:name="Tc_TGRwhac1Ik26zrb5ck1iXg_2_2"/>
      <w:bookmarkStart w:id="869" w:name="Tc_uHUhDjwrykClWZijr6bX_A_1_4"/>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sz w:val="20"/>
          <w:highlight w:val="white"/>
        </w:rPr>
        <w:t>compensation expense of $2.8 million and $2.1 million during the thirteen weeks ended April 2, 2023 and April 3, 2022, respectively, related to the RSUs. As of April 2, 2023, the unrecognized equity-based compensation expense is $17.5 million and will be recognized over a weighted-average period of 2.19 years.</w:t>
      </w:r>
    </w:p>
    <w:p>
      <w:pPr>
        <w:pStyle w:val="TextBody"/>
        <w:spacing w:before="0" w:after="240"/>
        <w:ind w:left="0" w:right="0" w:firstLine="360"/>
        <w:jc w:val="both"/>
        <w:rPr>
          <w:highlight w:val="white"/>
        </w:rPr>
      </w:pPr>
      <w:r>
        <w:rPr>
          <w:highlight w:val="white"/>
        </w:rPr>
        <w:t>​</w:t>
      </w:r>
    </w:p>
    <w:p>
      <w:pPr>
        <w:pStyle w:val="TextBody"/>
        <w:spacing w:before="0" w:after="0"/>
        <w:ind w:left="0" w:right="0" w:firstLine="360"/>
        <w:jc w:val="both"/>
        <w:rPr>
          <w:rFonts w:ascii="Times New Roman;Times;serif" w:hAnsi="Times New Roman;Times;serif"/>
          <w:sz w:val="20"/>
          <w:highlight w:val="white"/>
        </w:rPr>
      </w:pPr>
      <w:r>
        <w:rPr>
          <w:rFonts w:ascii="Times New Roman;Times;serif" w:hAnsi="Times New Roman;Times;serif"/>
          <w:sz w:val="20"/>
          <w:highlight w:val="white"/>
        </w:rPr>
        <w:t>The following table summarizes the roll forward of unvested RSUs during the thirteen weeks ended April 2, 2023:</w:t>
      </w:r>
    </w:p>
    <w:p>
      <w:pPr>
        <w:pStyle w:val="TextBody"/>
        <w:spacing w:before="0" w:after="240"/>
        <w:ind w:left="0" w:right="0" w:firstLine="360"/>
        <w:jc w:val="both"/>
        <w:rPr>
          <w:highlight w:val="white"/>
        </w:rPr>
      </w:pPr>
      <w:r>
        <w:rPr>
          <w:highlight w:val="white"/>
        </w:rPr>
        <w:t>​</w:t>
      </w:r>
    </w:p>
    <w:tbl>
      <w:tblPr>
        <w:tblW w:w="4780" w:type="dxa"/>
        <w:jc w:val="left"/>
        <w:tblInd w:w="0" w:type="dxa"/>
        <w:tblCellMar>
          <w:top w:w="0" w:type="dxa"/>
          <w:left w:w="0" w:type="dxa"/>
          <w:bottom w:w="0" w:type="dxa"/>
          <w:right w:w="0" w:type="dxa"/>
        </w:tblCellMar>
      </w:tblPr>
      <w:tblGrid>
        <w:gridCol w:w="2311"/>
        <w:gridCol w:w="109"/>
        <w:gridCol w:w="931"/>
        <w:gridCol w:w="109"/>
        <w:gridCol w:w="354"/>
        <w:gridCol w:w="96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67485" cy="175260"/>
                      <wp:effectExtent l="0" t="0" r="0" b="0"/>
                      <wp:wrapNone/>
                      <wp:docPr id="118" name="Frame117"/>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91185" cy="175260"/>
                      <wp:effectExtent l="0" t="0" r="0" b="0"/>
                      <wp:wrapNone/>
                      <wp:docPr id="120" name="Frame11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4790" cy="175260"/>
                      <wp:effectExtent l="0" t="0" r="0" b="0"/>
                      <wp:wrapNone/>
                      <wp:docPr id="122" name="Frame121"/>
                      <a:graphic xmlns:a="http://schemas.openxmlformats.org/drawingml/2006/main">
                        <a:graphicData uri="http://schemas.microsoft.com/office/word/2010/wordprocessingShape">
                          <wps:wsp>
                            <wps:cNvSpPr txBox="1"/>
                            <wps:spPr>
                              <a:xfrm>
                                <a:off x="0" y="0"/>
                                <a:ext cx="224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13410" cy="175260"/>
                      <wp:effectExtent l="0" t="0" r="0" b="0"/>
                      <wp:wrapNone/>
                      <wp:docPr id="123" name="Frame122"/>
                      <a:graphic xmlns:a="http://schemas.openxmlformats.org/drawingml/2006/main">
                        <a:graphicData uri="http://schemas.microsoft.com/office/word/2010/wordprocessingShape">
                          <wps:wsp>
                            <wps:cNvSpPr txBox="1"/>
                            <wps:spPr>
                              <a:xfrm>
                                <a:off x="0" y="0"/>
                                <a:ext cx="613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32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shd w:fill="auto" w:val="clear"/>
            <w:vAlign w:val="center"/>
          </w:tcPr>
          <w:p>
            <w:pPr>
              <w:pStyle w:val="TableContents"/>
              <w:spacing w:before="0" w:after="0"/>
              <w:ind w:left="0" w:right="0" w:hanging="0"/>
              <w:rPr/>
            </w:pPr>
            <w:r>
              <w:rPr/>
              <w:t>​</w:t>
            </w:r>
          </w:p>
        </w:tc>
        <w:tc>
          <w:tcPr>
            <w:tcW w:w="132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3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09" w:type="dxa"/>
            <w:tcBorders/>
            <w:shd w:fill="auto" w:val="clear"/>
            <w:vAlign w:val="center"/>
          </w:tcPr>
          <w:p>
            <w:pPr>
              <w:pStyle w:val="TableContents"/>
              <w:spacing w:before="0" w:after="0"/>
              <w:ind w:left="0" w:right="0" w:hanging="0"/>
              <w:rPr/>
            </w:pPr>
            <w:r>
              <w:rPr/>
              <w:t>​</w:t>
            </w:r>
          </w:p>
        </w:tc>
        <w:tc>
          <w:tcPr>
            <w:tcW w:w="13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January 1, 2023</w:t>
            </w:r>
          </w:p>
        </w:tc>
        <w:tc>
          <w:tcPr>
            <w:tcW w:w="109"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1,336,674</w:t>
            </w:r>
          </w:p>
        </w:tc>
        <w:tc>
          <w:tcPr>
            <w:tcW w:w="109" w:type="dxa"/>
            <w:tcBorders/>
            <w:shd w:fill="CCEEFF" w:val="clear"/>
            <w:vAlign w:val="center"/>
          </w:tcPr>
          <w:p>
            <w:pPr>
              <w:pStyle w:val="TableContents"/>
              <w:spacing w:before="0" w:after="0"/>
              <w:ind w:left="0" w:right="0" w:hanging="0"/>
              <w:rPr/>
            </w:pPr>
            <w:r>
              <w:rPr/>
              <w:t>​</w:t>
            </w:r>
          </w:p>
        </w:tc>
        <w:tc>
          <w:tcPr>
            <w:tcW w:w="3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RSUs granted</w:t>
            </w:r>
          </w:p>
        </w:tc>
        <w:tc>
          <w:tcPr>
            <w:tcW w:w="109"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3,215,077</w:t>
            </w:r>
          </w:p>
        </w:tc>
        <w:tc>
          <w:tcPr>
            <w:tcW w:w="109" w:type="dxa"/>
            <w:tcBorders/>
            <w:shd w:fill="auto" w:val="clear"/>
            <w:vAlign w:val="center"/>
          </w:tcPr>
          <w:p>
            <w:pPr>
              <w:pStyle w:val="TableContents"/>
              <w:spacing w:before="0" w:after="0"/>
              <w:ind w:left="0" w:right="0" w:hanging="0"/>
              <w:rPr/>
            </w:pPr>
            <w:r>
              <w:rPr/>
              <w:t>​</w:t>
            </w:r>
          </w:p>
        </w:tc>
        <w:tc>
          <w:tcPr>
            <w:tcW w:w="354" w:type="dxa"/>
            <w:tcBorders/>
            <w:shd w:fill="auto" w:val="clear"/>
            <w:vAlign w:val="center"/>
          </w:tcPr>
          <w:p>
            <w:pPr>
              <w:pStyle w:val="TableContents"/>
              <w:spacing w:before="0" w:after="0"/>
              <w:ind w:left="0" w:right="0" w:hanging="0"/>
              <w:rPr/>
            </w:pPr>
            <w:r>
              <w:rPr/>
              <w:t>​</w:t>
            </w:r>
          </w:p>
        </w:tc>
        <w:tc>
          <w:tcPr>
            <w:tcW w:w="9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RSUs vested</w:t>
            </w:r>
          </w:p>
        </w:tc>
        <w:tc>
          <w:tcPr>
            <w:tcW w:w="109"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(491,769)</w:t>
            </w:r>
          </w:p>
        </w:tc>
        <w:tc>
          <w:tcPr>
            <w:tcW w:w="109" w:type="dxa"/>
            <w:tcBorders/>
            <w:shd w:fill="CCEEFF" w:val="clear"/>
            <w:vAlign w:val="center"/>
          </w:tcPr>
          <w:p>
            <w:pPr>
              <w:pStyle w:val="TableContents"/>
              <w:spacing w:before="0" w:after="0"/>
              <w:ind w:left="0" w:right="0" w:hanging="0"/>
              <w:rPr/>
            </w:pPr>
            <w:r>
              <w:rPr/>
              <w:t>​</w:t>
            </w:r>
          </w:p>
        </w:tc>
        <w:tc>
          <w:tcPr>
            <w:tcW w:w="354" w:type="dxa"/>
            <w:tcBorders/>
            <w:shd w:fill="CCEEFF" w:val="clear"/>
            <w:vAlign w:val="center"/>
          </w:tcPr>
          <w:p>
            <w:pPr>
              <w:pStyle w:val="TableContents"/>
              <w:spacing w:before="0" w:after="0"/>
              <w:ind w:left="0" w:right="0" w:hanging="0"/>
              <w:rPr/>
            </w:pPr>
            <w:r>
              <w:rPr/>
              <w:t>​</w:t>
            </w:r>
          </w:p>
        </w:tc>
        <w:tc>
          <w:tcPr>
            <w:tcW w:w="9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RSUs forfeited</w:t>
            </w:r>
          </w:p>
        </w:tc>
        <w:tc>
          <w:tcPr>
            <w:tcW w:w="109"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(35,472)</w:t>
            </w:r>
          </w:p>
        </w:tc>
        <w:tc>
          <w:tcPr>
            <w:tcW w:w="109" w:type="dxa"/>
            <w:tcBorders/>
            <w:shd w:fill="auto" w:val="clear"/>
            <w:vAlign w:val="center"/>
          </w:tcPr>
          <w:p>
            <w:pPr>
              <w:pStyle w:val="TableContents"/>
              <w:spacing w:before="0" w:after="0"/>
              <w:ind w:left="0" w:right="0" w:hanging="0"/>
              <w:rPr/>
            </w:pPr>
            <w:r>
              <w:rPr/>
              <w:t>​</w:t>
            </w:r>
          </w:p>
        </w:tc>
        <w:tc>
          <w:tcPr>
            <w:tcW w:w="35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April 2, 2023</w:t>
            </w:r>
          </w:p>
        </w:tc>
        <w:tc>
          <w:tcPr>
            <w:tcW w:w="109" w:type="dxa"/>
            <w:tcBorders/>
            <w:shd w:fill="CCEEFF" w:val="cle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4,024,510</w:t>
            </w:r>
          </w:p>
        </w:tc>
        <w:tc>
          <w:tcPr>
            <w:tcW w:w="109" w:type="dxa"/>
            <w:tcBorders/>
            <w:shd w:fill="CCEEFF" w:val="clear"/>
            <w:vAlign w:val="center"/>
          </w:tcPr>
          <w:p>
            <w:pPr>
              <w:pStyle w:val="TableContents"/>
              <w:spacing w:before="0" w:after="0"/>
              <w:ind w:left="0" w:right="0" w:hanging="0"/>
              <w:rPr/>
            </w:pPr>
            <w:r>
              <w:rPr/>
              <w:t>​</w:t>
            </w:r>
          </w:p>
        </w:tc>
        <w:tc>
          <w:tcPr>
            <w:tcW w:w="3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4.37</w:t>
            </w:r>
          </w:p>
        </w:tc>
      </w:tr>
    </w:tbl>
    <w:p>
      <w:pPr>
        <w:pStyle w:val="TextBody"/>
        <w:spacing w:before="0" w:after="0"/>
        <w:ind w:left="0" w:right="0" w:hanging="0"/>
        <w:rPr>
          <w:highlight w:val="white"/>
        </w:rPr>
      </w:pPr>
      <w:r>
        <w:rPr>
          <w:highlight w:val="white"/>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Stock Units (“PSUs”)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the CEO Employment Agreement, Ms. Landsem received a grant of 1,811,571 PSUs on March 5, 2023 which vest in three equal annual installments of 603,857 subject to the achievement of trailing ten day volume-weighted average price targets of the Company’s common stock and her continued employment on the vesting dates. </w:t>
      </w:r>
      <w:r>
        <w:rPr>
          <w:rFonts w:ascii="Times New Roman;Times;serif" w:hAnsi="Times New Roman;Times;serif"/>
          <w:sz w:val="20"/>
          <w:highlight w:val="white"/>
        </w:rPr>
        <w:t>The Company recognized equity-based compensation expense of $0.2 million during the thirteen weeks ended April 2, 2023, related to the PSUs. As of April 2, 2023, the unrecognized equity-based compensation expense is $4.5 million and will be recognized over a weighted-average period of 2.93 years.</w:t>
      </w:r>
    </w:p>
    <w:p>
      <w:pPr>
        <w:pStyle w:val="TextBody"/>
        <w:spacing w:before="0" w:after="0"/>
        <w:ind w:left="0" w:right="0" w:firstLine="360"/>
        <w:jc w:val="both"/>
        <w:rPr>
          <w:rFonts w:ascii="Times New Roman;Times;serif" w:hAnsi="Times New Roman;Times;serif"/>
          <w:sz w:val="20"/>
          <w:highlight w:val="white"/>
        </w:rPr>
      </w:pPr>
      <w:r>
        <w:rPr>
          <w:rFonts w:ascii="Times New Roman;Times;serif" w:hAnsi="Times New Roman;Times;serif"/>
          <w:sz w:val="20"/>
          <w:highlight w:val="white"/>
        </w:rPr>
        <w:t>The following table summarizes the rollforward of unvested PSUs during the thirteen weeks ended April 2, 2023:</w:t>
      </w:r>
    </w:p>
    <w:p>
      <w:pPr>
        <w:pStyle w:val="TextBody"/>
        <w:spacing w:before="0" w:after="240"/>
        <w:ind w:left="0" w:right="0" w:firstLine="360"/>
        <w:jc w:val="both"/>
        <w:rPr>
          <w:highlight w:val="white"/>
        </w:rPr>
      </w:pPr>
      <w:r>
        <w:rPr>
          <w:highlight w:val="white"/>
        </w:rPr>
        <w:t>​</w:t>
      </w:r>
    </w:p>
    <w:tbl>
      <w:tblPr>
        <w:tblW w:w="4780" w:type="dxa"/>
        <w:jc w:val="left"/>
        <w:tblInd w:w="0" w:type="dxa"/>
        <w:tblCellMar>
          <w:top w:w="0" w:type="dxa"/>
          <w:left w:w="0" w:type="dxa"/>
          <w:bottom w:w="0" w:type="dxa"/>
          <w:right w:w="0" w:type="dxa"/>
        </w:tblCellMar>
      </w:tblPr>
      <w:tblGrid>
        <w:gridCol w:w="2311"/>
        <w:gridCol w:w="109"/>
        <w:gridCol w:w="931"/>
        <w:gridCol w:w="109"/>
        <w:gridCol w:w="354"/>
        <w:gridCol w:w="966"/>
      </w:tblGrid>
      <w:tr>
        <w:trPr/>
        <w:tc>
          <w:tcPr>
            <w:tcW w:w="23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54" w:type="dxa"/>
            <w:tcBorders/>
            <w:shd w:fill="auto" w:val="clear"/>
            <w:vAlign w:val="center"/>
          </w:tcPr>
          <w:p>
            <w:pPr>
              <w:pStyle w:val="TableContents"/>
              <w:spacing w:before="0" w:after="1"/>
              <w:ind w:left="0" w:right="0" w:hanging="0"/>
              <w:rPr/>
            </w:pPr>
            <w:r>
              <w:rPr/>
              <w:t>​</w:t>
            </w:r>
          </w:p>
        </w:tc>
        <w:tc>
          <w:tcPr>
            <w:tcW w:w="966" w:type="dxa"/>
            <w:tcBorders/>
            <w:shd w:fill="auto" w:val="clear"/>
            <w:vAlign w:val="center"/>
          </w:tcPr>
          <w:p>
            <w:pPr>
              <w:pStyle w:val="TableContents"/>
              <w:spacing w:before="0" w:after="1"/>
              <w:ind w:left="0" w:right="0" w:hanging="0"/>
              <w:rPr/>
            </w:pPr>
            <w:r>
              <w:rPr/>
              <w:t>​</w:t>
            </w:r>
          </w:p>
        </w:tc>
      </w:tr>
      <w:tr>
        <w:trPr/>
        <w:tc>
          <w:tcPr>
            <w:tcW w:w="23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32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shd w:fill="auto" w:val="clear"/>
            <w:vAlign w:val="center"/>
          </w:tcPr>
          <w:p>
            <w:pPr>
              <w:pStyle w:val="TableContents"/>
              <w:spacing w:before="0" w:after="1"/>
              <w:ind w:left="0" w:right="0" w:hanging="0"/>
              <w:rPr/>
            </w:pPr>
            <w:r>
              <w:rPr/>
              <w:t>​</w:t>
            </w:r>
          </w:p>
        </w:tc>
        <w:tc>
          <w:tcPr>
            <w:tcW w:w="132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3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PSUs</w:t>
            </w:r>
          </w:p>
        </w:tc>
        <w:tc>
          <w:tcPr>
            <w:tcW w:w="109" w:type="dxa"/>
            <w:tcBorders/>
            <w:shd w:fill="auto" w:val="clear"/>
            <w:vAlign w:val="center"/>
          </w:tcPr>
          <w:p>
            <w:pPr>
              <w:pStyle w:val="TableContents"/>
              <w:spacing w:before="0" w:after="1"/>
              <w:ind w:left="0" w:right="0" w:hanging="0"/>
              <w:rPr/>
            </w:pPr>
            <w:r>
              <w:rPr/>
              <w:t>​</w:t>
            </w:r>
          </w:p>
        </w:tc>
        <w:tc>
          <w:tcPr>
            <w:tcW w:w="132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January 1, 2023</w:t>
            </w:r>
          </w:p>
        </w:tc>
        <w:tc>
          <w:tcPr>
            <w:tcW w:w="109"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5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spacing w:before="0" w:after="1"/>
              <w:ind w:left="0" w:right="0" w:hanging="0"/>
              <w:jc w:val="right"/>
              <w:rPr/>
            </w:pPr>
            <w:r>
              <w:rPr/>
              <w:t>—</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PSUs granted</w:t>
            </w:r>
          </w:p>
        </w:tc>
        <w:tc>
          <w:tcPr>
            <w:tcW w:w="109"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shd w:fill="auto" w:val="clear"/>
            <w:vAlign w:val="center"/>
          </w:tcPr>
          <w:p>
            <w:pPr>
              <w:pStyle w:val="TableContents"/>
              <w:spacing w:before="0" w:after="1"/>
              <w:ind w:left="0" w:right="0" w:hanging="0"/>
              <w:rPr/>
            </w:pPr>
            <w:r>
              <w:rPr/>
              <w:t>​</w:t>
            </w:r>
          </w:p>
        </w:tc>
        <w:tc>
          <w:tcPr>
            <w:tcW w:w="354" w:type="dxa"/>
            <w:tcBorders/>
            <w:shd w:fill="auto" w:val="clear"/>
            <w:vAlign w:val="center"/>
          </w:tcPr>
          <w:p>
            <w:pPr>
              <w:pStyle w:val="TableContents"/>
              <w:spacing w:before="0" w:after="1"/>
              <w:ind w:left="0" w:right="0" w:hanging="0"/>
              <w:rPr/>
            </w:pPr>
            <w:r>
              <w:rPr/>
              <w:t>​</w:t>
            </w:r>
          </w:p>
        </w:tc>
        <w:tc>
          <w:tcPr>
            <w:tcW w:w="9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PSUs vested</w:t>
            </w:r>
          </w:p>
        </w:tc>
        <w:tc>
          <w:tcPr>
            <w:tcW w:w="109"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54" w:type="dxa"/>
            <w:tcBorders/>
            <w:shd w:fill="CCEEFF" w:val="clear"/>
            <w:vAlign w:val="center"/>
          </w:tcPr>
          <w:p>
            <w:pPr>
              <w:pStyle w:val="TableContents"/>
              <w:spacing w:before="0" w:after="1"/>
              <w:ind w:left="0" w:right="0" w:hanging="0"/>
              <w:rPr/>
            </w:pPr>
            <w:r>
              <w:rPr/>
              <w:t>​</w:t>
            </w:r>
          </w:p>
        </w:tc>
        <w:tc>
          <w:tcPr>
            <w:tcW w:w="966" w:type="dxa"/>
            <w:tcBorders/>
            <w:shd w:fill="CCEEFF" w:val="clear"/>
            <w:vAlign w:val="center"/>
          </w:tcPr>
          <w:p>
            <w:pPr>
              <w:pStyle w:val="TableContents"/>
              <w:spacing w:before="0" w:after="1"/>
              <w:ind w:left="0" w:right="0" w:hanging="0"/>
              <w:jc w:val="right"/>
              <w:rPr/>
            </w:pPr>
            <w:r>
              <w:rPr/>
              <w:t>—</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PSUs forfeited</w:t>
            </w:r>
          </w:p>
        </w:tc>
        <w:tc>
          <w:tcPr>
            <w:tcW w:w="109"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5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6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April 2, 2023</w:t>
            </w:r>
          </w:p>
        </w:tc>
        <w:tc>
          <w:tcPr>
            <w:tcW w:w="109"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shd w:fill="CCEEFF" w:val="clear"/>
            <w:vAlign w:val="center"/>
          </w:tcPr>
          <w:p>
            <w:pPr>
              <w:pStyle w:val="TableContents"/>
              <w:spacing w:before="0" w:after="1"/>
              <w:ind w:left="0" w:right="0" w:hanging="0"/>
              <w:rPr/>
            </w:pPr>
            <w:r>
              <w:rPr/>
              <w:t>​</w:t>
            </w:r>
          </w:p>
        </w:tc>
        <w:tc>
          <w:tcPr>
            <w:tcW w:w="35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2.65</w:t>
            </w:r>
          </w:p>
        </w:tc>
      </w:tr>
    </w:tbl>
    <w:p>
      <w:pPr>
        <w:pStyle w:val="TextBody"/>
        <w:spacing w:before="0" w:after="240"/>
        <w:ind w:left="0" w:right="0" w:firstLine="360"/>
        <w:jc w:val="both"/>
        <w:rPr>
          <w:highlight w:val="white"/>
        </w:rPr>
      </w:pPr>
      <w:r>
        <w:rPr>
          <w:highlight w:val="white"/>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Class P Units</w:t>
      </w:r>
    </w:p>
    <w:p>
      <w:pPr>
        <w:pStyle w:val="TextBody"/>
        <w:spacing w:before="0" w:after="240"/>
        <w:ind w:left="0" w:right="0" w:firstLine="360"/>
        <w:jc w:val="both"/>
        <w:rPr>
          <w:rFonts w:ascii="Times New Roman;Times;serif" w:hAnsi="Times New Roman;Times;serif"/>
          <w:sz w:val="20"/>
          <w:highlight w:val="white"/>
        </w:rPr>
      </w:pPr>
      <w:r>
        <w:rPr>
          <w:rFonts w:ascii="Times New Roman;Times;serif" w:hAnsi="Times New Roman;Times;serif"/>
          <w:sz w:val="20"/>
          <w:highlight w:val="white"/>
        </w:rPr>
        <w:t>384,522 of the outstanding Class P units included both a service condition and a performance condition, while the remainder of the Class P units only included a service condition. The performance-based vesting condition was satisfied upon completion of the IPO. Equity-based compensation expense of $0.4 million and $1.3 million related to the Class P units was recorded to general and administrative expense in the condensed consolidated statements of operations and comprehensive income for the thirteen and thirty-nine weeks ended October 3, 2021,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October 2021, the LP modified the vesting schedule related to 763,178 outstanding Class P units for two senior executives to accelerate vesting if the two senior executives perform service after the completion of the IPO over the subsequent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The Company concluded that the amendment to the Class P units was a modification under ASC 718 and there was no incremental equity-based compensation expense to recognize. With the completion of the Company’s IPO, the remaining unrecognized expense associated with the restricted stock, received in exchange at the IPO for the modified Class P units, was recognized over the subsequent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through November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Class P Distributions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Distributions payable to former Class P unit holders (“FCPUs”) triggered upon the completion of the Company’s 2021 IPO were determined to be settled in the thirteen weeks ended April 3, 2022 as a result of agreements reached with the FCPUs, and were recorded as an increase to additional paid-in capital. The agreements provided for contingent payments to the FCPUs of up to $0.6 million if certain conditions were met, which were recorded as equity-based compensation expense and accrued expenses and other current liabilities in the thirteen weeks ended April 3, 2022.  The $0.6 million accrual was subsequently reversed during the thirteen weeks ended July 3, 2022, when the timeframe for the payment conditions expired.</w:t>
      </w:r>
    </w:p>
    <w:p>
      <w:pPr>
        <w:pStyle w:val="TextBody"/>
        <w:spacing w:before="0" w:after="240"/>
        <w:ind w:left="0" w:right="0" w:firstLine="360"/>
        <w:jc w:val="both"/>
        <w:rPr>
          <w:highlight w:val="white"/>
        </w:rPr>
      </w:pPr>
      <w:r>
        <w:rPr>
          <w:highlight w:val="white"/>
        </w:rPr>
        <w:t>​</w:t>
      </w:r>
    </w:p>
    <w:p>
      <w:pPr>
        <w:pStyle w:val="TextBody"/>
        <w:spacing w:before="0" w:after="240"/>
        <w:ind w:left="0" w:right="0" w:hanging="0"/>
        <w:rPr>
          <w:rFonts w:ascii="Times New Roman;Times;serif" w:hAnsi="Times New Roman;Times;serif"/>
          <w:b/>
          <w:sz w:val="20"/>
        </w:rPr>
      </w:pPr>
      <w:bookmarkStart w:id="870" w:name="Tc_8W34MbOHhkGE6hfbLZFe5g_6_7"/>
      <w:bookmarkStart w:id="871" w:name="Tc_Tf_4tQ_DFEma2H481NjlXg_6_4"/>
      <w:bookmarkStart w:id="872" w:name="Tc_w8sbH6f5tkKfdMGY0eXbyA_6_0"/>
      <w:bookmarkStart w:id="873" w:name="Tc_irs5o3Oo0k-nsCtKcGbYTQ_5_0"/>
      <w:bookmarkStart w:id="874" w:name="Tc_FGUBlVIG_kCj6NEpQKOSWQ_4_5"/>
      <w:bookmarkStart w:id="875" w:name="Tc_JSB0x3jQ7UGftwuYIcNLWA_4_2"/>
      <w:bookmarkStart w:id="876" w:name="Tc_ioQVXelwdEWQIlYLSUrewA_4_0"/>
      <w:bookmarkStart w:id="877" w:name="Tc_eoT5jknxvk2ybebttISSqQ_3_5"/>
      <w:bookmarkStart w:id="878" w:name="Tc_NcmxgC5pck6A9B2E4Vif7Q_3_2"/>
      <w:bookmarkStart w:id="879" w:name="Tc_6r6JrN3hPU-9Q6atP7EGYw_2_5"/>
      <w:bookmarkStart w:id="880" w:name="Tc_3Nw0Ard19EGLBt9akXqO7A_2_2"/>
      <w:bookmarkStart w:id="881" w:name="Tc_jZGCHkCgV0-OTEqiBFrQTw_1_2"/>
      <w:bookmarkStart w:id="882" w:name="_dc6d2288_9118_4ecc_af36_1128501701b7"/>
      <w:bookmarkEnd w:id="870"/>
      <w:bookmarkEnd w:id="871"/>
      <w:bookmarkEnd w:id="872"/>
      <w:bookmarkEnd w:id="873"/>
      <w:bookmarkEnd w:id="874"/>
      <w:bookmarkEnd w:id="875"/>
      <w:bookmarkEnd w:id="876"/>
      <w:bookmarkEnd w:id="877"/>
      <w:bookmarkEnd w:id="878"/>
      <w:bookmarkEnd w:id="879"/>
      <w:bookmarkEnd w:id="880"/>
      <w:bookmarkEnd w:id="881"/>
      <w:bookmarkEnd w:id="882"/>
      <w:r>
        <w:rPr>
          <w:rFonts w:ascii="Times New Roman;Times;serif" w:hAnsi="Times New Roman;Times;serif"/>
          <w:b/>
          <w:i w:val="false"/>
          <w:caps w:val="false"/>
          <w:smallCaps w:val="false"/>
          <w:sz w:val="20"/>
        </w:rPr>
        <w:t>11.</w:t>
      </w:r>
      <w:r>
        <w:rPr>
          <w:rFonts w:ascii="Times New Roman;Times;serif" w:hAnsi="Times New Roman;Times;serif"/>
          <w:b/>
          <w:sz w:val="20"/>
        </w:rPr>
        <w:t>Income Taxes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Company’s (loss) income before income taxes is from the United States. The following table presents the components of the benefit (provision) for income taxes (in thousands):</w:t>
      </w:r>
    </w:p>
    <w:p>
      <w:pPr>
        <w:pStyle w:val="TextBody"/>
        <w:spacing w:before="0" w:after="0"/>
        <w:ind w:left="0" w:right="0" w:hanging="0"/>
        <w:rPr/>
      </w:pPr>
      <w:r>
        <w:rPr/>
        <w:t>​</w:t>
      </w:r>
    </w:p>
    <w:tbl>
      <w:tblPr>
        <w:tblW w:w="7473" w:type="dxa"/>
        <w:jc w:val="left"/>
        <w:tblInd w:w="0" w:type="dxa"/>
        <w:tblCellMar>
          <w:top w:w="0" w:type="dxa"/>
          <w:left w:w="0" w:type="dxa"/>
          <w:bottom w:w="0" w:type="dxa"/>
          <w:right w:w="0" w:type="dxa"/>
        </w:tblCellMar>
      </w:tblPr>
      <w:tblGrid>
        <w:gridCol w:w="4756"/>
        <w:gridCol w:w="326"/>
        <w:gridCol w:w="211"/>
        <w:gridCol w:w="691"/>
        <w:gridCol w:w="271"/>
        <w:gridCol w:w="211"/>
        <w:gridCol w:w="691"/>
        <w:gridCol w:w="316"/>
      </w:tblGrid>
      <w:tr>
        <w:trPr/>
        <w:tc>
          <w:tcPr>
            <w:tcW w:w="4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020060" cy="175260"/>
                      <wp:effectExtent l="0" t="0" r="0" b="0"/>
                      <wp:wrapNone/>
                      <wp:docPr id="124" name="Frame123"/>
                      <a:graphic xmlns:a="http://schemas.openxmlformats.org/drawingml/2006/main">
                        <a:graphicData uri="http://schemas.microsoft.com/office/word/2010/wordprocessingShape">
                          <wps:wsp>
                            <wps:cNvSpPr txBox="1"/>
                            <wps:spPr>
                              <a:xfrm>
                                <a:off x="0" y="0"/>
                                <a:ext cx="3020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38785" cy="175260"/>
                      <wp:effectExtent l="0" t="0" r="0" b="0"/>
                      <wp:wrapNone/>
                      <wp:docPr id="127" name="Frame12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72085" cy="175260"/>
                      <wp:effectExtent l="0" t="0" r="0" b="0"/>
                      <wp:wrapNone/>
                      <wp:docPr id="128" name="Frame127"/>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38785" cy="175260"/>
                      <wp:effectExtent l="0" t="0" r="0" b="0"/>
                      <wp:wrapNone/>
                      <wp:docPr id="130" name="Frame12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0660" cy="175260"/>
                      <wp:effectExtent l="0" t="0" r="0" b="0"/>
                      <wp:wrapNone/>
                      <wp:docPr id="131" name="Frame13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shd w:fill="auto" w:val="clear"/>
            <w:vAlign w:val="center"/>
          </w:tcPr>
          <w:p>
            <w:pPr>
              <w:pStyle w:val="TableContents"/>
              <w:spacing w:before="0" w:after="0"/>
              <w:ind w:left="0" w:right="0" w:hanging="0"/>
              <w:rPr/>
            </w:pPr>
            <w:r>
              <w:rPr/>
              <w:t>​</w:t>
            </w:r>
          </w:p>
        </w:tc>
      </w:tr>
      <w:tr>
        <w:trPr/>
        <w:tc>
          <w:tcPr>
            <w:tcW w:w="4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271" w:type="dxa"/>
            <w:tcBorders/>
            <w:shd w:fill="auto" w:val="clear"/>
            <w:vAlign w:val="center"/>
          </w:tcPr>
          <w:p>
            <w:pPr>
              <w:pStyle w:val="TableContents"/>
              <w:spacing w:before="0" w:after="0"/>
              <w:ind w:left="0" w:right="0" w:hanging="0"/>
              <w:rPr/>
            </w:pPr>
            <w:r>
              <w:rPr/>
              <w:t>​</w:t>
            </w:r>
          </w:p>
        </w:tc>
        <w:tc>
          <w:tcPr>
            <w:tcW w:w="90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16" w:type="dxa"/>
            <w:tcBorders/>
            <w:shd w:fill="auto" w:val="clear"/>
            <w:vAlign w:val="center"/>
          </w:tcPr>
          <w:p>
            <w:pPr>
              <w:pStyle w:val="TableContents"/>
              <w:spacing w:before="0" w:after="0"/>
              <w:ind w:left="0" w:right="0" w:hanging="0"/>
              <w:rPr/>
            </w:pPr>
            <w:r>
              <w:rPr/>
              <w:t>​</w:t>
            </w:r>
          </w:p>
        </w:tc>
      </w:tr>
      <w:tr>
        <w:trPr/>
        <w:tc>
          <w:tcPr>
            <w:tcW w:w="4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shd w:fill="auto" w:val="clear"/>
            <w:vAlign w:val="center"/>
          </w:tcPr>
          <w:p>
            <w:pPr>
              <w:pStyle w:val="TableContents"/>
              <w:spacing w:before="0" w:after="0"/>
              <w:ind w:left="0" w:right="0" w:hanging="0"/>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0"/>
              <w:ind w:left="0" w:right="0" w:hanging="0"/>
              <w:rPr/>
            </w:pPr>
            <w:r>
              <w:rPr/>
              <w:t>​</w:t>
            </w:r>
          </w:p>
        </w:tc>
      </w:tr>
      <w:tr>
        <w:trPr/>
        <w:tc>
          <w:tcPr>
            <w:tcW w:w="4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before benefit (provision) for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3,104</w:t>
            </w:r>
          </w:p>
        </w:tc>
        <w:tc>
          <w:tcPr>
            <w:tcW w:w="316" w:type="dxa"/>
            <w:tcBorders/>
            <w:shd w:fill="CCEEFF" w:val="clear"/>
            <w:vAlign w:val="center"/>
          </w:tcPr>
          <w:p>
            <w:pPr>
              <w:pStyle w:val="TableContents"/>
              <w:spacing w:before="0" w:after="0"/>
              <w:ind w:left="0" w:right="0" w:hanging="0"/>
              <w:rPr/>
            </w:pPr>
            <w:r>
              <w:rPr/>
              <w:t>​</w:t>
            </w:r>
          </w:p>
        </w:tc>
      </w:tr>
      <w:tr>
        <w:trPr/>
        <w:tc>
          <w:tcPr>
            <w:tcW w:w="4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 (provision) for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27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(1,061)</w:t>
            </w:r>
          </w:p>
        </w:tc>
        <w:tc>
          <w:tcPr>
            <w:tcW w:w="316" w:type="dxa"/>
            <w:tcBorders/>
            <w:shd w:fill="auto" w:val="clear"/>
            <w:vAlign w:val="center"/>
          </w:tcPr>
          <w:p>
            <w:pPr>
              <w:pStyle w:val="TableContents"/>
              <w:spacing w:before="0" w:after="0"/>
              <w:ind w:left="0" w:right="0" w:hanging="0"/>
              <w:rPr/>
            </w:pPr>
            <w:r>
              <w:rPr/>
              <w:t>​</w:t>
            </w:r>
          </w:p>
        </w:tc>
      </w:tr>
      <w:tr>
        <w:trPr/>
        <w:tc>
          <w:tcPr>
            <w:tcW w:w="4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(34.18)</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We utilized a discrete effective tax rate method, as allowed by ASC 740-270 “Income Taxes, Interim Reporting,” to calculate taxes for the thirteen weeks ended April 2, 2023. The Company’s pre-tax loss for the thirteen weeks ended April 2, 2023 relative to the Company’s projected pre-tax income for fiscal 2023 yielded an annual effective tax rate less than -240%, which was not deemed to be appropriate or meaningful. The Company determined that small changes in estimated “ordinary” income would result in significant changes in the estimated annual effective tax rate, and therefore, the historical method would not provide a reliable estimate for the thirteen weeks ended April 2, 2023.</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effective tax rate for the thirteen weeks ended April 2, 2023 differs from the federal income tax rate of 21% primarily due to the increase in the amount of non-deductible executive compensation, relative to the decrease in (loss) income before provision for income taxes.  The effective tax rate for the thirteen weeks ended April 3, 2022 differs from the federal income tax rate of 21% primarily due to non-deductible equity-based compensation expenses.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Related Party Transactions</w:t>
      </w:r>
    </w:p>
    <w:p>
      <w:pPr>
        <w:pStyle w:val="TextBody"/>
        <w:spacing w:lineRule="auto" w:line="328" w:before="120" w:after="120"/>
        <w:ind w:left="0" w:right="0" w:hanging="0"/>
        <w:rPr>
          <w:rFonts w:ascii="Times New Roman;Times;serif" w:hAnsi="Times New Roman;Times;serif"/>
          <w:b/>
          <w:i/>
          <w:sz w:val="20"/>
        </w:rPr>
      </w:pPr>
      <w:r>
        <w:rPr>
          <w:rFonts w:ascii="Times New Roman;Times;serif" w:hAnsi="Times New Roman;Times;serif"/>
          <w:b/>
          <w:i/>
          <w:sz w:val="20"/>
        </w:rPr>
        <w:t>Significant Shareholders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spacing w:before="0" w:after="0"/>
        <w:ind w:left="0" w:right="0" w:hanging="0"/>
        <w:rPr/>
      </w:pPr>
      <w:r>
        <w:rPr/>
        <w:t>​</w:t>
      </w:r>
    </w:p>
    <w:p>
      <w:pPr>
        <w:pStyle w:val="TextBody"/>
        <w:pBdr/>
        <w:spacing w:before="0" w:after="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Subsequent Events</w:t>
      </w:r>
    </w:p>
    <w:p>
      <w:pPr>
        <w:pStyle w:val="TextBody"/>
        <w:pBdr/>
        <w:shd w:fill="FFFFFF" w:val="clear"/>
        <w:spacing w:before="0" w:after="0"/>
        <w:ind w:left="0" w:right="0" w:firstLine="360"/>
        <w:jc w:val="both"/>
        <w:rPr>
          <w:rFonts w:ascii="Times New Roman;Times;serif" w:hAnsi="Times New Roman;Times;serif"/>
          <w:sz w:val="20"/>
        </w:rPr>
      </w:pPr>
      <w:r>
        <w:rPr>
          <w:rFonts w:ascii="Times New Roman;Times;serif" w:hAnsi="Times New Roman;Times;serif"/>
          <w:sz w:val="20"/>
        </w:rPr>
        <w:t>The compensation committee has recommended, and the Board has unanimously approved, an amendment to the Omnibus Equity Plan, which would increase the authorized number of shares available for grant by 2,000,000. The Amendment would become effective on June 13, 2023, if approved by stockholders at the Annual Meeting.</w:t>
      </w:r>
    </w:p>
    <w:p>
      <w:pPr>
        <w:pStyle w:val="TextBody"/>
        <w:pBdr/>
        <w:shd w:fill="FFFFFF" w:val="clear"/>
        <w:spacing w:before="0" w:after="0"/>
        <w:ind w:left="0" w:right="0" w:firstLine="360"/>
        <w:jc w:val="both"/>
        <w:rPr>
          <w:rFonts w:ascii="Times New Roman;Times;serif" w:hAnsi="Times New Roman;Times;serif"/>
          <w:sz w:val="20"/>
        </w:rPr>
      </w:pPr>
      <w:r>
        <w:rPr>
          <w:rFonts w:ascii="Times New Roman;Times;serif" w:hAnsi="Times New Roman;Times;serif"/>
          <w:sz w:val="20"/>
        </w:rPr>
        <w:t>On April 30, 2023, upon the recommendation of the compensation committee, the Board approved a grant of 223,704 RSUs to Mr. McCreight which is the balance of 836,820 RSUs granted pursuant to the Executive Chairman Employment Agreement and a grant of 43,063 RSUs to Ms. Smith, which is the balance of the 161,088 RSUs granted pursuant to the CFO Employment Agreement.</w:t>
      </w:r>
    </w:p>
    <w:p>
      <w:pPr>
        <w:pStyle w:val="TextBody"/>
        <w:shd w:fill="FFFFFF" w:val="clear"/>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30, 2023, upon the recommendation of the compensation committee, the Board approved an aggregate grant of 206,218 RSUs to certain non-executive officer employees, subject to obtaining stockholder approval of the Amendment to the Omnibus Equity Plan at the Company’s Annual Meeting.  If stockholder approval is not obtained, then the recipients will receive the awards by July 15, 2023 as a result of additional shares becoming available for issuance under the Omnibus Equity Plan.</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firstLine="36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883" w:name="Item2ManagementsDiscussionandAnalysisofF"/>
      <w:bookmarkStart w:id="884" w:name="_6394cead_708b_4b66_8771_88775ccbf09c"/>
      <w:bookmarkEnd w:id="883"/>
      <w:bookmarkEnd w:id="884"/>
      <w:r>
        <w:rPr>
          <w:rFonts w:ascii="Times New Roman;Times;serif" w:hAnsi="Times New Roman;Times;serif"/>
          <w:b/>
          <w:sz w:val="20"/>
        </w:rPr>
        <w:t>Item 2. Management’s Discussion and Analysis of Financial Condition and Results of Operations.</w:t>
      </w:r>
    </w:p>
    <w:p>
      <w:pPr>
        <w:pStyle w:val="TextBody"/>
        <w:spacing w:before="0" w:after="0"/>
        <w:ind w:left="0" w:right="0" w:firstLine="360"/>
        <w:jc w:val="both"/>
        <w:rPr/>
      </w:pPr>
      <w:r>
        <w:rPr/>
        <w:t>​</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January 1, 2023, filed with the Securities and Exchange Commission (“SEC”) on March 14, 2023 (the “2022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of the 2022 10-K and other factors set forth in other parts of this Quarterly Report on Form 10-Q.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Lulus is a customer-driven, digitally-native fashion brand primarily serving Millennial and Gen Z women. We focus relentlessly on giving our customers what they want. We do this by using data coupled with human insight to deliver a curated and continuously evolving assortment of on-trend, affordable luxury fashion. Our customer obsession sets the tone for everything we do, from our personalized online shopping experience to our exceptional customer service.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Impact of Macroeconomic Trends on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fuel prices, and overall consumer confidence with respect to current and future economic conditions, have directly impacted our sales in the first quarter of 2023 as discretionary consumer spending levels and shopping behavior fluctuate with these factors. During the first quarter of 2023, we have responded to these factors by taking appropriate pricing, promotional and other actions to stimulate customer demand. These factors are expected to continue to have an impact on our business, results of operations, our growth and financial condition.  Additionally, the COVID-19 pandemic has had and may continue to have a materially adverse impact on the macroeconomic environment.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Operating and Financial Metrics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and analyze operating and financial data to assess the performance of our business and optimize resource allocation. The following table sets forth our key performance indicators for the periods presented.</w:t>
      </w:r>
    </w:p>
    <w:tbl>
      <w:tblPr>
        <w:tblW w:w="7551" w:type="dxa"/>
        <w:jc w:val="left"/>
        <w:tblInd w:w="0" w:type="dxa"/>
        <w:tblCellMar>
          <w:top w:w="0" w:type="dxa"/>
          <w:left w:w="0" w:type="dxa"/>
          <w:bottom w:w="0" w:type="dxa"/>
          <w:right w:w="0" w:type="dxa"/>
        </w:tblCellMar>
      </w:tblPr>
      <w:tblGrid>
        <w:gridCol w:w="2521"/>
        <w:gridCol w:w="326"/>
        <w:gridCol w:w="382"/>
        <w:gridCol w:w="1143"/>
        <w:gridCol w:w="653"/>
        <w:gridCol w:w="263"/>
        <w:gridCol w:w="382"/>
        <w:gridCol w:w="1034"/>
        <w:gridCol w:w="656"/>
        <w:gridCol w:w="191"/>
      </w:tblGrid>
      <w:tr>
        <w:trPr/>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00835" cy="175260"/>
                      <wp:effectExtent l="0" t="0" r="0" b="0"/>
                      <wp:wrapNone/>
                      <wp:docPr id="132" name="Frame131"/>
                      <a:graphic xmlns:a="http://schemas.openxmlformats.org/drawingml/2006/main">
                        <a:graphicData uri="http://schemas.microsoft.com/office/word/2010/wordprocessingShape">
                          <wps:wsp>
                            <wps:cNvSpPr txBox="1"/>
                            <wps:spPr>
                              <a:xfrm>
                                <a:off x="0" y="0"/>
                                <a:ext cx="1600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42570" cy="175260"/>
                      <wp:effectExtent l="0" t="0" r="0" b="0"/>
                      <wp:wrapNone/>
                      <wp:docPr id="134" name="Frame133"/>
                      <a:graphic xmlns:a="http://schemas.openxmlformats.org/drawingml/2006/main">
                        <a:graphicData uri="http://schemas.microsoft.com/office/word/2010/wordprocessingShape">
                          <wps:wsp>
                            <wps:cNvSpPr txBox="1"/>
                            <wps:spPr>
                              <a:xfrm>
                                <a:off x="0" y="0"/>
                                <a:ext cx="242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25805" cy="175260"/>
                      <wp:effectExtent l="0" t="0" r="0" b="0"/>
                      <wp:wrapNone/>
                      <wp:docPr id="135" name="Frame134"/>
                      <a:graphic xmlns:a="http://schemas.openxmlformats.org/drawingml/2006/main">
                        <a:graphicData uri="http://schemas.microsoft.com/office/word/2010/wordprocessingShape">
                          <wps:wsp>
                            <wps:cNvSpPr txBox="1"/>
                            <wps:spPr>
                              <a:xfrm>
                                <a:off x="0" y="0"/>
                                <a:ext cx="725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14655" cy="175260"/>
                      <wp:effectExtent l="0" t="0" r="0" b="0"/>
                      <wp:wrapNone/>
                      <wp:docPr id="136" name="Frame135"/>
                      <a:graphic xmlns:a="http://schemas.openxmlformats.org/drawingml/2006/main">
                        <a:graphicData uri="http://schemas.microsoft.com/office/word/2010/wordprocessingShape">
                          <wps:wsp>
                            <wps:cNvSpPr txBox="1"/>
                            <wps:spPr>
                              <a:xfrm>
                                <a:off x="0" y="0"/>
                                <a:ext cx="414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7005" cy="175260"/>
                      <wp:effectExtent l="0" t="0" r="0" b="0"/>
                      <wp:wrapNone/>
                      <wp:docPr id="137" name="Frame136"/>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42570" cy="175260"/>
                      <wp:effectExtent l="0" t="0" r="0" b="0"/>
                      <wp:wrapNone/>
                      <wp:docPr id="138" name="Frame137"/>
                      <a:graphic xmlns:a="http://schemas.openxmlformats.org/drawingml/2006/main">
                        <a:graphicData uri="http://schemas.microsoft.com/office/word/2010/wordprocessingShape">
                          <wps:wsp>
                            <wps:cNvSpPr txBox="1"/>
                            <wps:spPr>
                              <a:xfrm>
                                <a:off x="0" y="0"/>
                                <a:ext cx="242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56590" cy="175260"/>
                      <wp:effectExtent l="0" t="0" r="0" b="0"/>
                      <wp:wrapNone/>
                      <wp:docPr id="139" name="Frame138"/>
                      <a:graphic xmlns:a="http://schemas.openxmlformats.org/drawingml/2006/main">
                        <a:graphicData uri="http://schemas.microsoft.com/office/word/2010/wordprocessingShape">
                          <wps:wsp>
                            <wps:cNvSpPr txBox="1"/>
                            <wps:spPr>
                              <a:xfrm>
                                <a:off x="0" y="0"/>
                                <a:ext cx="656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16560" cy="175260"/>
                      <wp:effectExtent l="0" t="0" r="0" b="0"/>
                      <wp:wrapNone/>
                      <wp:docPr id="140" name="Frame139"/>
                      <a:graphic xmlns:a="http://schemas.openxmlformats.org/drawingml/2006/main">
                        <a:graphicData uri="http://schemas.microsoft.com/office/word/2010/wordprocessingShape">
                          <wps:wsp>
                            <wps:cNvSpPr txBox="1"/>
                            <wps:spPr>
                              <a:xfrm>
                                <a:off x="0" y="0"/>
                                <a:ext cx="416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1285" cy="175260"/>
                      <wp:effectExtent l="0" t="0" r="0" b="0"/>
                      <wp:wrapNone/>
                      <wp:docPr id="141" name="Frame140"/>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13"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91" w:type="dxa"/>
            <w:tcBorders/>
            <w:shd w:fill="auto" w:val="clear"/>
            <w:vAlign w:val="center"/>
          </w:tcPr>
          <w:p>
            <w:pPr>
              <w:pStyle w:val="TableContents"/>
              <w:spacing w:before="0" w:after="0"/>
              <w:ind w:left="0" w:right="0" w:hanging="0"/>
              <w:jc w:val="center"/>
              <w:rPr/>
            </w:pPr>
            <w:r>
              <w:rPr/>
              <w:t>​</w:t>
            </w:r>
          </w:p>
        </w:tc>
      </w:tr>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7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263" w:type="dxa"/>
            <w:tcBorders/>
            <w:shd w:fill="auto" w:val="clear"/>
            <w:vAlign w:val="center"/>
          </w:tcPr>
          <w:p>
            <w:pPr>
              <w:pStyle w:val="TableContents"/>
              <w:spacing w:before="0" w:after="0"/>
              <w:ind w:left="0" w:right="0" w:hanging="0"/>
              <w:rPr/>
            </w:pPr>
            <w:r>
              <w:rPr/>
              <w:t>​</w:t>
            </w:r>
          </w:p>
        </w:tc>
        <w:tc>
          <w:tcPr>
            <w:tcW w:w="2072"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191" w:type="dxa"/>
            <w:tcBorders/>
            <w:shd w:fill="auto" w:val="clear"/>
            <w:vAlign w:val="center"/>
          </w:tcPr>
          <w:p>
            <w:pPr>
              <w:pStyle w:val="TableContents"/>
              <w:spacing w:before="0" w:after="0"/>
              <w:ind w:left="0" w:right="0" w:hanging="0"/>
              <w:rPr/>
            </w:pPr>
            <w:r>
              <w:rPr/>
              <w:t>​</w:t>
            </w:r>
          </w:p>
        </w:tc>
      </w:tr>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3" w:type="dxa"/>
            <w:tcBorders/>
            <w:shd w:fill="auto" w:val="clear"/>
            <w:vAlign w:val="center"/>
          </w:tcPr>
          <w:p>
            <w:pPr>
              <w:pStyle w:val="TableContents"/>
              <w:spacing w:before="0" w:after="0"/>
              <w:ind w:left="0" w:right="0" w:hanging="0"/>
              <w:rPr/>
            </w:pPr>
            <w:r>
              <w:rPr/>
              <w:t>​</w:t>
            </w:r>
          </w:p>
        </w:tc>
        <w:tc>
          <w:tcPr>
            <w:tcW w:w="2072"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shd w:fill="auto" w:val="clear"/>
            <w:vAlign w:val="center"/>
          </w:tcPr>
          <w:p>
            <w:pPr>
              <w:pStyle w:val="TableContents"/>
              <w:spacing w:before="0" w:after="0"/>
              <w:ind w:left="0" w:right="0" w:hanging="0"/>
              <w:rPr/>
            </w:pPr>
            <w:r>
              <w:rPr/>
              <w:t>​</w:t>
            </w:r>
          </w:p>
        </w:tc>
      </w:tr>
      <w:tr>
        <w:trPr/>
        <w:tc>
          <w:tcPr>
            <w:tcW w:w="7551"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13"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Average Order Value)</w:t>
            </w:r>
          </w:p>
        </w:tc>
        <w:tc>
          <w:tcPr>
            <w:tcW w:w="191" w:type="dxa"/>
            <w:tcBorders/>
            <w:shd w:fill="auto" w:val="clear"/>
            <w:vAlign w:val="center"/>
          </w:tcPr>
          <w:p>
            <w:pPr>
              <w:pStyle w:val="TableContents"/>
              <w:spacing w:before="0" w:after="0"/>
              <w:ind w:left="0" w:right="0" w:hanging="0"/>
              <w:rPr/>
            </w:pPr>
            <w:r>
              <w:rPr/>
              <w:t>​</w:t>
            </w:r>
          </w:p>
        </w:tc>
      </w:tr>
      <w:tr>
        <w:trPr/>
        <w:tc>
          <w:tcPr>
            <w:tcW w:w="2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spacing w:before="0" w:after="0"/>
              <w:ind w:left="0" w:right="0" w:hanging="0"/>
              <w:rPr/>
            </w:pPr>
            <w:r>
              <w:rPr/>
              <w:t>​</w:t>
            </w:r>
          </w:p>
        </w:tc>
        <w:tc>
          <w:tcPr>
            <w:tcW w:w="382" w:type="dxa"/>
            <w:tcBorders/>
            <w:shd w:fill="CCEEFF" w:val="clear"/>
            <w:vAlign w:val="center"/>
          </w:tcPr>
          <w:p>
            <w:pPr>
              <w:pStyle w:val="TableContents"/>
              <w:spacing w:before="0" w:after="0"/>
              <w:ind w:left="0" w:right="0" w:hanging="0"/>
              <w:rPr/>
            </w:pPr>
            <w:r>
              <w:rPr/>
              <w:t> </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65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63"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0"/>
              <w:ind w:left="0" w:right="0" w:hanging="0"/>
              <w:rPr/>
            </w:pPr>
            <w:r>
              <w:rPr/>
              <w:t>​</w:t>
            </w:r>
          </w:p>
        </w:tc>
        <w:tc>
          <w:tcPr>
            <w:tcW w:w="10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91" w:type="dxa"/>
            <w:tcBorders/>
            <w:shd w:fill="CCEEFF" w:val="clear"/>
            <w:vAlign w:val="center"/>
          </w:tcPr>
          <w:p>
            <w:pPr>
              <w:pStyle w:val="TableContents"/>
              <w:spacing w:before="0" w:after="0"/>
              <w:ind w:left="0" w:right="0" w:hanging="0"/>
              <w:rPr/>
            </w:pPr>
            <w:r>
              <w:rPr/>
              <w:t> </w:t>
            </w:r>
          </w:p>
        </w:tc>
      </w:tr>
      <w:tr>
        <w:trPr/>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(loss) income </w:t>
            </w:r>
          </w:p>
        </w:tc>
        <w:tc>
          <w:tcPr>
            <w:tcW w:w="326" w:type="dxa"/>
            <w:tcBorders/>
            <w:shd w:fill="auto" w:val="clear"/>
            <w:vAlign w:val="center"/>
          </w:tcPr>
          <w:p>
            <w:pPr>
              <w:pStyle w:val="TableContents"/>
              <w:spacing w:before="0" w:after="0"/>
              <w:ind w:left="0" w:right="0" w:hanging="0"/>
              <w:rPr/>
            </w:pPr>
            <w:r>
              <w:rPr/>
              <w:t>​</w:t>
            </w:r>
          </w:p>
        </w:tc>
        <w:tc>
          <w:tcPr>
            <w:tcW w:w="3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653"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3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2,043</w:t>
            </w:r>
          </w:p>
        </w:tc>
        <w:tc>
          <w:tcPr>
            <w:tcW w:w="65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2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 (1)</w:t>
            </w:r>
          </w:p>
        </w:tc>
        <w:tc>
          <w:tcPr>
            <w:tcW w:w="326" w:type="dxa"/>
            <w:tcBorders/>
            <w:shd w:fill="CCEEFF" w:val="clear"/>
            <w:vAlign w:val="center"/>
          </w:tcPr>
          <w:p>
            <w:pPr>
              <w:pStyle w:val="TableContents"/>
              <w:spacing w:before="0" w:after="0"/>
              <w:ind w:left="0" w:right="0" w:hanging="0"/>
              <w:rPr/>
            </w:pPr>
            <w:r>
              <w:rPr/>
              <w:t>​</w:t>
            </w:r>
          </w:p>
        </w:tc>
        <w:tc>
          <w:tcPr>
            <w:tcW w:w="3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653"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3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9,911</w:t>
            </w:r>
          </w:p>
        </w:tc>
        <w:tc>
          <w:tcPr>
            <w:tcW w:w="656"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 Margin (1)</w:t>
            </w:r>
          </w:p>
        </w:tc>
        <w:tc>
          <w:tcPr>
            <w:tcW w:w="326" w:type="dxa"/>
            <w:tcBorders/>
            <w:shd w:fill="auto" w:val="clear"/>
            <w:vAlign w:val="center"/>
          </w:tcPr>
          <w:p>
            <w:pPr>
              <w:pStyle w:val="TableContents"/>
              <w:spacing w:before="0" w:after="0"/>
              <w:ind w:left="0" w:right="0" w:hanging="0"/>
              <w:rPr/>
            </w:pPr>
            <w:r>
              <w:rPr/>
              <w:t>​</w:t>
            </w:r>
          </w:p>
        </w:tc>
        <w:tc>
          <w:tcPr>
            <w:tcW w:w="382" w:type="dxa"/>
            <w:tcBorders/>
            <w:shd w:fill="auto" w:val="clear"/>
            <w:vAlign w:val="center"/>
          </w:tcPr>
          <w:p>
            <w:pPr>
              <w:pStyle w:val="TableContents"/>
              <w:spacing w:before="0" w:after="0"/>
              <w:ind w:left="0" w:right="0" w:hanging="0"/>
              <w:rPr/>
            </w:pPr>
            <w:r>
              <w:rPr/>
              <w:t> </w:t>
            </w:r>
          </w:p>
        </w:tc>
        <w:tc>
          <w:tcPr>
            <w:tcW w:w="1143" w:type="dxa"/>
            <w:tcBorders/>
            <w:shd w:fill="auto" w:val="clear"/>
            <w:vAlign w:val="center"/>
          </w:tcPr>
          <w:p>
            <w:pPr>
              <w:pStyle w:val="TableContents"/>
              <w:spacing w:before="0" w:after="0"/>
              <w:ind w:left="0" w:right="0" w:hanging="0"/>
              <w:jc w:val="right"/>
              <w:rPr/>
            </w:pPr>
            <w:r>
              <w:rPr/>
              <w:t>—</w:t>
            </w:r>
          </w:p>
        </w:tc>
        <w:tc>
          <w:tcPr>
            <w:tcW w:w="6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63" w:type="dxa"/>
            <w:tcBorders/>
            <w:shd w:fill="auto" w:val="clear"/>
            <w:vAlign w:val="center"/>
          </w:tcPr>
          <w:p>
            <w:pPr>
              <w:pStyle w:val="TableContents"/>
              <w:spacing w:before="0" w:after="0"/>
              <w:ind w:left="0" w:right="0" w:hanging="0"/>
              <w:rPr/>
            </w:pPr>
            <w:r>
              <w:rPr/>
              <w:t>​</w:t>
            </w:r>
          </w:p>
        </w:tc>
        <w:tc>
          <w:tcPr>
            <w:tcW w:w="382" w:type="dxa"/>
            <w:tcBorders/>
            <w:shd w:fill="auto" w:val="clear"/>
            <w:vAlign w:val="center"/>
          </w:tcPr>
          <w:p>
            <w:pPr>
              <w:pStyle w:val="TableContents"/>
              <w:spacing w:before="0" w:after="0"/>
              <w:ind w:left="0" w:right="0" w:hanging="0"/>
              <w:rPr/>
            </w:pPr>
            <w:r>
              <w:rPr/>
              <w:t> </w:t>
            </w:r>
          </w:p>
        </w:tc>
        <w:tc>
          <w:tcPr>
            <w:tcW w:w="10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91" w:type="dxa"/>
            <w:tcBorders/>
            <w:shd w:fill="auto" w:val="clear"/>
            <w:vAlign w:val="center"/>
          </w:tcPr>
          <w:p>
            <w:pPr>
              <w:pStyle w:val="TableContents"/>
              <w:spacing w:before="0" w:after="0"/>
              <w:ind w:left="0" w:right="0" w:hanging="0"/>
              <w:rPr/>
            </w:pPr>
            <w:r>
              <w:rPr/>
              <w:t>​</w:t>
            </w:r>
          </w:p>
        </w:tc>
      </w:tr>
      <w:tr>
        <w:trPr/>
        <w:tc>
          <w:tcPr>
            <w:tcW w:w="2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Active Customers (2)</w:t>
            </w:r>
          </w:p>
        </w:tc>
        <w:tc>
          <w:tcPr>
            <w:tcW w:w="326"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0"/>
              <w:ind w:left="0" w:right="0" w:hanging="0"/>
              <w:rPr/>
            </w:pPr>
            <w:r>
              <w:rPr/>
              <w:t>​</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3,173</w:t>
            </w:r>
          </w:p>
        </w:tc>
        <w:tc>
          <w:tcPr>
            <w:tcW w:w="653" w:type="dxa"/>
            <w:tcBorders/>
            <w:shd w:fill="CCEEFF" w:val="clear"/>
            <w:vAlign w:val="center"/>
          </w:tcPr>
          <w:p>
            <w:pPr>
              <w:pStyle w:val="TableContents"/>
              <w:spacing w:before="0" w:after="0"/>
              <w:ind w:left="0" w:right="0" w:hanging="0"/>
              <w:rPr/>
            </w:pPr>
            <w:r>
              <w:rPr/>
              <w:t>    </w:t>
            </w:r>
          </w:p>
        </w:tc>
        <w:tc>
          <w:tcPr>
            <w:tcW w:w="263" w:type="dxa"/>
            <w:tcBorders/>
            <w:shd w:fill="CCEEFF" w:val="clear"/>
            <w:vAlign w:val="center"/>
          </w:tcPr>
          <w:p>
            <w:pPr>
              <w:pStyle w:val="TableContents"/>
              <w:spacing w:before="0" w:after="0"/>
              <w:ind w:left="0" w:right="0" w:hanging="0"/>
              <w:rPr/>
            </w:pPr>
            <w:r>
              <w:rPr/>
              <w:t>​</w:t>
            </w:r>
          </w:p>
        </w:tc>
        <w:tc>
          <w:tcPr>
            <w:tcW w:w="382" w:type="dxa"/>
            <w:tcBorders/>
            <w:shd w:fill="CCEEFF" w:val="clear"/>
            <w:vAlign w:val="center"/>
          </w:tcPr>
          <w:p>
            <w:pPr>
              <w:pStyle w:val="TableContents"/>
              <w:spacing w:before="0" w:after="0"/>
              <w:ind w:left="0" w:right="0" w:hanging="0"/>
              <w:rPr/>
            </w:pPr>
            <w:r>
              <w:rPr/>
              <w:t>​</w:t>
            </w:r>
          </w:p>
        </w:tc>
        <w:tc>
          <w:tcPr>
            <w:tcW w:w="10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656" w:type="dxa"/>
            <w:tcBorders/>
            <w:shd w:fill="CCEEFF" w:val="clear"/>
            <w:vAlign w:val="center"/>
          </w:tcPr>
          <w:p>
            <w:pPr>
              <w:pStyle w:val="TableContents"/>
              <w:spacing w:before="0" w:after="0"/>
              <w:ind w:left="0" w:right="0" w:hanging="0"/>
              <w:rPr/>
            </w:pPr>
            <w:r>
              <w:rPr/>
              <w:t>    </w:t>
            </w:r>
          </w:p>
        </w:tc>
        <w:tc>
          <w:tcPr>
            <w:tcW w:w="191" w:type="dxa"/>
            <w:tcBorders/>
            <w:shd w:fill="CCEEFF" w:val="clear"/>
            <w:vAlign w:val="center"/>
          </w:tcPr>
          <w:p>
            <w:pPr>
              <w:pStyle w:val="TableContents"/>
              <w:spacing w:before="0" w:after="0"/>
              <w:ind w:left="0" w:right="0" w:hanging="0"/>
              <w:rPr/>
            </w:pPr>
            <w:r>
              <w:rPr/>
              <w:t>​</w:t>
            </w:r>
          </w:p>
        </w:tc>
      </w:tr>
      <w:tr>
        <w:trPr/>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Average Order Value</w:t>
            </w:r>
          </w:p>
        </w:tc>
        <w:tc>
          <w:tcPr>
            <w:tcW w:w="326" w:type="dxa"/>
            <w:tcBorders/>
            <w:shd w:fill="auto" w:val="clear"/>
            <w:vAlign w:val="center"/>
          </w:tcPr>
          <w:p>
            <w:pPr>
              <w:pStyle w:val="TableContents"/>
              <w:spacing w:before="0" w:after="0"/>
              <w:ind w:left="0" w:right="0" w:hanging="0"/>
              <w:rPr/>
            </w:pPr>
            <w:r>
              <w:rPr/>
              <w:t>​</w:t>
            </w:r>
          </w:p>
        </w:tc>
        <w:tc>
          <w:tcPr>
            <w:tcW w:w="3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653"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3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65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bl>
    <w:tbl>
      <w:tblPr>
        <w:tblW w:w="10539" w:type="dxa"/>
        <w:jc w:val="left"/>
        <w:tblInd w:w="0" w:type="dxa"/>
        <w:tblCellMar>
          <w:top w:w="0" w:type="dxa"/>
          <w:left w:w="0" w:type="dxa"/>
          <w:bottom w:w="0" w:type="dxa"/>
          <w:right w:w="0" w:type="dxa"/>
        </w:tblCellMar>
      </w:tblPr>
      <w:tblGrid>
        <w:gridCol w:w="310"/>
        <w:gridCol w:w="10229"/>
      </w:tblGrid>
      <w:tr>
        <w:trPr/>
        <w:tc>
          <w:tcPr>
            <w:tcW w:w="31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(1)</w:t>
            </w:r>
          </w:p>
        </w:tc>
        <w:tc>
          <w:tcPr>
            <w:tcW w:w="1022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For a reconciliation of non-GAAP financial measures to the most directly comparable GAAP financial measure and why we consider them useful, see “Management’s Discussion and Analysis of Financial Condition and Results of Operations-Non-GAAP Financial Measures.”</w:t>
            </w:r>
          </w:p>
        </w:tc>
      </w:tr>
    </w:tbl>
    <w:tbl>
      <w:tblPr>
        <w:tblW w:w="10539" w:type="dxa"/>
        <w:jc w:val="left"/>
        <w:tblInd w:w="0" w:type="dxa"/>
        <w:tblCellMar>
          <w:top w:w="0" w:type="dxa"/>
          <w:left w:w="0" w:type="dxa"/>
          <w:bottom w:w="0" w:type="dxa"/>
          <w:right w:w="0" w:type="dxa"/>
        </w:tblCellMar>
      </w:tblPr>
      <w:tblGrid>
        <w:gridCol w:w="320"/>
        <w:gridCol w:w="10219"/>
      </w:tblGrid>
      <w:tr>
        <w:trPr/>
        <w:tc>
          <w:tcPr>
            <w:tcW w:w="32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1021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Active Customers count is based on de-duplication logic using customer account and guest checkout name, address, and email information. Active Customer count is as of the last day of the relevant period.</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Active Customers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Active Customers as the number of customers who have made at least one purchase across our platform in the prior 12-month period. We consider the number of Active Customers to be a key performance metric on the basis that it is directly related to consumer awareness of our brand, our ability to attract visitors to our digital platform, and our ability to convert visitors to paying customers. Active Customers counts are based on de-duplication logic using customer account and guest checkout name, address, and email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Average Order Value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Average Order Value (“AOV”) as the sum of the total gross sales before returns across our platform in a given period, plus shipping revenue, less discounts and markdowns, divided by the Total Orders Placed (as defined below) in that period. AOV reflects average basket size of our customers. AOV may fluctuate as we continue investing in the development and introduction of new Lulus merchandise and as a result of our promotional discount activity.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Total Orders Placed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Gross Margin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Non-GAAP Financial Measures</w:t>
      </w:r>
    </w:p>
    <w:p>
      <w:pPr>
        <w:pStyle w:val="TextBody"/>
        <w:spacing w:before="0" w:after="240"/>
        <w:ind w:left="0" w:right="0" w:firstLine="432"/>
        <w:jc w:val="both"/>
        <w:rPr>
          <w:rFonts w:ascii="Times New Roman;Times;serif" w:hAnsi="Times New Roman;Times;serif"/>
          <w:sz w:val="20"/>
        </w:rPr>
      </w:pPr>
      <w:r>
        <w:rPr>
          <w:rFonts w:ascii="Times New Roman;Times;serif" w:hAnsi="Times New Roman;Times;serif"/>
          <w:sz w:val="20"/>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income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Adjusted EBITDA is a non-GAAP financial measure that we calculate as (loss) income before interest expense, income taxes, depreciation and amortization, adjusted to exclude the effects of equity-based compensation expense, and management fees. Adjusted EBITDA is a key measure used by management to evaluate our operating performance, generate future operating plans and make strategic decisions regarding the allocation of capital.</w:t>
      </w:r>
    </w:p>
    <w:p>
      <w:pPr>
        <w:pStyle w:val="TextBody"/>
        <w:spacing w:before="0" w:after="240"/>
        <w:ind w:left="0" w:right="0" w:firstLine="432"/>
        <w:jc w:val="both"/>
        <w:rPr>
          <w:rFonts w:ascii="Times New Roman;Times;serif" w:hAnsi="Times New Roman;Times;serif"/>
          <w:sz w:val="20"/>
        </w:rPr>
      </w:pPr>
      <w:r>
        <w:rPr>
          <w:rFonts w:ascii="Times New Roman;Times;serif" w:hAnsi="Times New Roman;Times;serif"/>
          <w:sz w:val="20"/>
        </w:rPr>
        <w:t>To supplement our condensed consolidated financial statements which are prepared in accordance with GAAP, we use “Adjusted EBITDA” and “Adjusted EBITDA Margin” which are non-GAAP financial measures (collectively referred to as “Adjusted EBITDA”).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496" w:type="dxa"/>
        <w:jc w:val="left"/>
        <w:tblInd w:w="0" w:type="dxa"/>
        <w:tblCellMar>
          <w:top w:w="28" w:type="dxa"/>
          <w:left w:w="28" w:type="dxa"/>
          <w:bottom w:w="28" w:type="dxa"/>
          <w:right w:w="28" w:type="dxa"/>
        </w:tblCellMar>
      </w:tblPr>
      <w:tblGrid>
        <w:gridCol w:w="124"/>
        <w:gridCol w:w="256"/>
        <w:gridCol w:w="8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interest expense, or the cash requirements necessary to service interest or principal payments on our debt;</w:t>
            </w:r>
          </w:p>
        </w:tc>
      </w:tr>
    </w:tbl>
    <w:tbl>
      <w:tblPr>
        <w:tblW w:w="8031" w:type="dxa"/>
        <w:jc w:val="left"/>
        <w:tblInd w:w="0" w:type="dxa"/>
        <w:tblCellMar>
          <w:top w:w="28" w:type="dxa"/>
          <w:left w:w="28" w:type="dxa"/>
          <w:bottom w:w="28" w:type="dxa"/>
          <w:right w:w="28" w:type="dxa"/>
        </w:tblCellMar>
      </w:tblPr>
      <w:tblGrid>
        <w:gridCol w:w="124"/>
        <w:gridCol w:w="256"/>
        <w:gridCol w:w="7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tax expense or the cash requirements to pay our taxes;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such measures do not reflect any cash requirements for such replacements; and</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such measures differently than we do, limiting their usefulness as comparative measures.</w:t>
            </w:r>
          </w:p>
        </w:tc>
      </w:tr>
    </w:tbl>
    <w:p>
      <w:pPr>
        <w:pStyle w:val="TextBody"/>
        <w:spacing w:before="0" w:after="240"/>
        <w:ind w:left="0" w:right="0" w:firstLine="432"/>
        <w:jc w:val="both"/>
        <w:rPr>
          <w:rFonts w:ascii="Times New Roman;Times;serif" w:hAnsi="Times New Roman;Times;serif"/>
          <w:sz w:val="20"/>
          <w:highlight w:val="white"/>
        </w:rPr>
      </w:pPr>
      <w:r>
        <w:rPr>
          <w:rFonts w:ascii="Times New Roman;Times;serif" w:hAnsi="Times New Roman;Times;serif"/>
          <w:sz w:val="20"/>
          <w:highlight w:val="white"/>
        </w:rPr>
        <w:t>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and equity-based compensation expense.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reconciliation for Adjusted EBITDA and Adjusted EBITDA Margin:</w:t>
      </w:r>
    </w:p>
    <w:tbl>
      <w:tblPr>
        <w:tblW w:w="6266" w:type="dxa"/>
        <w:jc w:val="left"/>
        <w:tblInd w:w="0" w:type="dxa"/>
        <w:tblCellMar>
          <w:top w:w="0" w:type="dxa"/>
          <w:left w:w="0" w:type="dxa"/>
          <w:bottom w:w="0" w:type="dxa"/>
          <w:right w:w="0" w:type="dxa"/>
        </w:tblCellMar>
      </w:tblPr>
      <w:tblGrid>
        <w:gridCol w:w="3361"/>
        <w:gridCol w:w="326"/>
        <w:gridCol w:w="211"/>
        <w:gridCol w:w="691"/>
        <w:gridCol w:w="271"/>
        <w:gridCol w:w="109"/>
        <w:gridCol w:w="211"/>
        <w:gridCol w:w="571"/>
        <w:gridCol w:w="361"/>
        <w:gridCol w:w="154"/>
      </w:tblGrid>
      <w:tr>
        <w:trPr/>
        <w:tc>
          <w:tcPr>
            <w:tcW w:w="3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34235" cy="175260"/>
                      <wp:effectExtent l="0" t="0" r="0" b="0"/>
                      <wp:wrapNone/>
                      <wp:docPr id="142" name="Frame141"/>
                      <a:graphic xmlns:a="http://schemas.openxmlformats.org/drawingml/2006/main">
                        <a:graphicData uri="http://schemas.microsoft.com/office/word/2010/wordprocessingShape">
                          <wps:wsp>
                            <wps:cNvSpPr txBox="1"/>
                            <wps:spPr>
                              <a:xfrm>
                                <a:off x="0" y="0"/>
                                <a:ext cx="2134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8785" cy="175260"/>
                      <wp:effectExtent l="0" t="0" r="0" b="0"/>
                      <wp:wrapNone/>
                      <wp:docPr id="145" name="Frame14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2085" cy="175260"/>
                      <wp:effectExtent l="0" t="0" r="0" b="0"/>
                      <wp:wrapNone/>
                      <wp:docPr id="146" name="Frame145"/>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62585" cy="175260"/>
                      <wp:effectExtent l="0" t="0" r="0" b="0"/>
                      <wp:wrapNone/>
                      <wp:docPr id="149" name="Frame14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9235" cy="175260"/>
                      <wp:effectExtent l="0" t="0" r="0" b="0"/>
                      <wp:wrapNone/>
                      <wp:docPr id="150" name="Frame14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7790" cy="175260"/>
                      <wp:effectExtent l="0" t="0" r="0" b="0"/>
                      <wp:wrapNone/>
                      <wp:docPr id="151" name="Frame15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25"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shd w:fill="auto" w:val="clear"/>
            <w:vAlign w:val="center"/>
          </w:tcPr>
          <w:p>
            <w:pPr>
              <w:pStyle w:val="TableContents"/>
              <w:spacing w:before="0" w:after="0"/>
              <w:ind w:left="0" w:right="0" w:hanging="0"/>
              <w:jc w:val="center"/>
              <w:rPr/>
            </w:pPr>
            <w:r>
              <w:rPr/>
              <w:t>​</w:t>
            </w:r>
          </w:p>
        </w:tc>
      </w:tr>
      <w:tr>
        <w:trPr/>
        <w:tc>
          <w:tcPr>
            <w:tcW w:w="3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7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109" w:type="dxa"/>
            <w:tcBorders/>
            <w:shd w:fill="auto" w:val="clear"/>
            <w:vAlign w:val="center"/>
          </w:tcPr>
          <w:p>
            <w:pPr>
              <w:pStyle w:val="TableContents"/>
              <w:spacing w:before="0" w:after="0"/>
              <w:ind w:left="0" w:right="0" w:hanging="0"/>
              <w:rPr/>
            </w:pPr>
            <w:r>
              <w:rPr/>
              <w:t>​</w:t>
            </w:r>
          </w:p>
        </w:tc>
        <w:tc>
          <w:tcPr>
            <w:tcW w:w="114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154" w:type="dxa"/>
            <w:tcBorders/>
            <w:shd w:fill="auto" w:val="clear"/>
            <w:vAlign w:val="center"/>
          </w:tcPr>
          <w:p>
            <w:pPr>
              <w:pStyle w:val="TableContents"/>
              <w:spacing w:before="0" w:after="0"/>
              <w:ind w:left="0" w:right="0" w:hanging="0"/>
              <w:rPr/>
            </w:pPr>
            <w:r>
              <w:rPr/>
              <w:t>​</w:t>
            </w:r>
          </w:p>
        </w:tc>
      </w:tr>
      <w:tr>
        <w:trPr/>
        <w:tc>
          <w:tcPr>
            <w:tcW w:w="3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7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114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6266"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3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25"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shd w:fill="auto" w:val="clear"/>
            <w:vAlign w:val="center"/>
          </w:tcPr>
          <w:p>
            <w:pPr>
              <w:pStyle w:val="TableContents"/>
              <w:spacing w:before="0" w:after="0"/>
              <w:ind w:left="0" w:right="0" w:hanging="0"/>
              <w:jc w:val="center"/>
              <w:rPr/>
            </w:pPr>
            <w:r>
              <w:rPr/>
              <w:t>​</w:t>
            </w:r>
          </w:p>
        </w:tc>
      </w:tr>
      <w:tr>
        <w:trPr/>
        <w:tc>
          <w:tcPr>
            <w:tcW w:w="3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(loss) income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2,043</w:t>
            </w:r>
          </w:p>
        </w:tc>
        <w:tc>
          <w:tcPr>
            <w:tcW w:w="361" w:type="dxa"/>
            <w:tcBorders/>
            <w:shd w:fill="CCEEFF" w:val="clear"/>
            <w:vAlign w:val="center"/>
          </w:tcPr>
          <w:p>
            <w:pPr>
              <w:pStyle w:val="TableContents"/>
              <w:spacing w:before="0" w:after="0"/>
              <w:ind w:left="0" w:right="0" w:hanging="0"/>
              <w:rPr/>
            </w:pPr>
            <w:r>
              <w:rPr/>
              <w:t>    </w:t>
            </w:r>
          </w:p>
        </w:tc>
        <w:tc>
          <w:tcPr>
            <w:tcW w:w="154" w:type="dxa"/>
            <w:tcBorders/>
            <w:shd w:fill="CCEEFF" w:val="clear"/>
            <w:vAlign w:val="center"/>
          </w:tcPr>
          <w:p>
            <w:pPr>
              <w:pStyle w:val="TableContents"/>
              <w:spacing w:before="0" w:after="0"/>
              <w:ind w:left="0" w:right="0" w:hanging="0"/>
              <w:rPr/>
            </w:pPr>
            <w:r>
              <w:rPr/>
              <w:t>​</w:t>
            </w:r>
          </w:p>
        </w:tc>
      </w:tr>
      <w:tr>
        <w:trPr/>
        <w:tc>
          <w:tcPr>
            <w:tcW w:w="3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3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6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 provision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1,061</w:t>
            </w:r>
          </w:p>
        </w:tc>
        <w:tc>
          <w:tcPr>
            <w:tcW w:w="3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Equity-based compensation expense (1)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5,758</w:t>
            </w:r>
          </w:p>
        </w:tc>
        <w:tc>
          <w:tcPr>
            <w:tcW w:w="36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9,911</w:t>
            </w:r>
          </w:p>
        </w:tc>
        <w:tc>
          <w:tcPr>
            <w:tcW w:w="3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 Margin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spacing w:before="0" w:after="0"/>
              <w:ind w:left="0" w:right="0" w:hanging="0"/>
              <w:rPr/>
            </w:pPr>
            <w:r>
              <w:rPr/>
              <w:t>​</w:t>
            </w:r>
          </w:p>
        </w:tc>
      </w:tr>
    </w:tbl>
    <w:tbl>
      <w:tblPr>
        <w:tblW w:w="10539" w:type="dxa"/>
        <w:jc w:val="left"/>
        <w:tblInd w:w="0" w:type="dxa"/>
        <w:tblCellMar>
          <w:top w:w="0" w:type="dxa"/>
          <w:left w:w="0" w:type="dxa"/>
          <w:bottom w:w="0" w:type="dxa"/>
          <w:right w:w="0" w:type="dxa"/>
        </w:tblCellMar>
      </w:tblPr>
      <w:tblGrid>
        <w:gridCol w:w="308"/>
        <w:gridCol w:w="10231"/>
      </w:tblGrid>
      <w:tr>
        <w:trPr/>
        <w:tc>
          <w:tcPr>
            <w:tcW w:w="30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 xml:space="preserve">(1) </w:t>
            </w:r>
          </w:p>
        </w:tc>
        <w:tc>
          <w:tcPr>
            <w:tcW w:w="1023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thirteen weeks ended April 2, 2023, include equity-based compensation expense for RSUs and PSUs granted during the thirteen-week period and accelerated expense associated with the voluntary forfeiture of stock options, as well as equity-based compensation expense associated with equity-based awards granted in prior periods.  The thirteen weeks ended April 3, 2022, include equity-based compensation expense for RSUs granted during the thirteen-week period and equity-based awards granted in prior periods.</w:t>
            </w:r>
          </w:p>
        </w:tc>
      </w:tr>
    </w:tbl>
    <w:p>
      <w:pPr>
        <w:pStyle w:val="TextBody"/>
        <w:spacing w:before="240" w:after="240"/>
        <w:ind w:left="0" w:right="0" w:hanging="0"/>
        <w:jc w:val="both"/>
        <w:rPr>
          <w:rFonts w:ascii="Times New Roman;Times;serif" w:hAnsi="Times New Roman;Times;serif"/>
          <w:b/>
          <w:i/>
          <w:sz w:val="20"/>
        </w:rPr>
      </w:pPr>
      <w:r>
        <w:rPr>
          <w:rFonts w:ascii="Times New Roman;Times;serif" w:hAnsi="Times New Roman;Times;serif"/>
          <w:b/>
          <w:i/>
          <w:sz w:val="20"/>
        </w:rPr>
        <w:t>Net Debt</w:t>
      </w:r>
    </w:p>
    <w:p>
      <w:pPr>
        <w:pStyle w:val="TextBody"/>
        <w:spacing w:before="0" w:after="0"/>
        <w:ind w:left="0" w:right="0" w:firstLine="360"/>
        <w:jc w:val="both"/>
        <w:rPr>
          <w:rFonts w:ascii="Times New Roman;Times;serif" w:hAnsi="Times New Roman;Times;serif"/>
          <w:color w:val="222222"/>
          <w:sz w:val="20"/>
          <w:highlight w:val="white"/>
        </w:rPr>
      </w:pPr>
      <w:r>
        <w:rPr>
          <w:rFonts w:ascii="Times New Roman;Times;serif" w:hAnsi="Times New Roman;Times;serif"/>
          <w:color w:val="222222"/>
          <w:sz w:val="20"/>
          <w:highlight w:val="white"/>
        </w:rPr>
        <w:t xml:space="preserve">Net Debt is a non-GAAP financial measure that we calculate as total debt, which consists of the revolving line of credit, less cash and cash equivalents.  We consider Net Debt to be an important supplemental measure of our financial position, which is used by management to analyze our leverage, and which we believe is helpful to investors in order to monitor leverage and evaluate the balance sheet. A limitation associated with using Net Debt is that it subtracts cash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color w:val="222222"/>
          <w:sz w:val="20"/>
          <w:highlight w:val="white"/>
        </w:rPr>
      </w:pPr>
      <w:r>
        <w:rPr>
          <w:rFonts w:ascii="Times New Roman;Times;serif" w:hAnsi="Times New Roman;Times;serif"/>
          <w:color w:val="222222"/>
          <w:sz w:val="20"/>
          <w:highlight w:val="white"/>
        </w:rPr>
        <w:t>cash equivalents and therefore may imply that there is less Company debt than the most comparable GAAP measure indicates. Our non-GAAP financial measures, including Net Debt, should not be considered in isolation from, or as substitutes for, financial information prepared in accordance with GAAP.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reconciliation to non-GAAP Net Debt from Total Debt as of April 2, 2023, and January 1, 2023, respectively, is as follows:</w:t>
      </w:r>
    </w:p>
    <w:tbl>
      <w:tblPr>
        <w:tblW w:w="6003" w:type="dxa"/>
        <w:jc w:val="left"/>
        <w:tblInd w:w="0" w:type="dxa"/>
        <w:tblCellMar>
          <w:top w:w="0" w:type="dxa"/>
          <w:left w:w="0" w:type="dxa"/>
          <w:bottom w:w="0" w:type="dxa"/>
          <w:right w:w="0" w:type="dxa"/>
        </w:tblCellMar>
      </w:tblPr>
      <w:tblGrid>
        <w:gridCol w:w="2941"/>
        <w:gridCol w:w="326"/>
        <w:gridCol w:w="223"/>
        <w:gridCol w:w="842"/>
        <w:gridCol w:w="109"/>
        <w:gridCol w:w="211"/>
        <w:gridCol w:w="1351"/>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867535" cy="175260"/>
                      <wp:effectExtent l="0" t="0" r="0" b="0"/>
                      <wp:wrapNone/>
                      <wp:docPr id="152" name="Frame151"/>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1605" cy="175260"/>
                      <wp:effectExtent l="0" t="0" r="0" b="0"/>
                      <wp:wrapNone/>
                      <wp:docPr id="154" name="Frame153"/>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34670" cy="175260"/>
                      <wp:effectExtent l="0" t="0" r="0" b="0"/>
                      <wp:wrapNone/>
                      <wp:docPr id="155" name="Frame154"/>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857885" cy="175260"/>
                      <wp:effectExtent l="0" t="0" r="0" b="0"/>
                      <wp:wrapNone/>
                      <wp:docPr id="158" name="Frame157"/>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3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2023</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 2023</w:t>
            </w:r>
          </w:p>
        </w:tc>
      </w:tr>
      <w:tr>
        <w:trPr/>
        <w:tc>
          <w:tcPr>
            <w:tcW w:w="6003"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36"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Revolving line of credit, long term</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1"/>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7,829</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10,219</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Debt</w:t>
            </w:r>
          </w:p>
        </w:tc>
        <w:tc>
          <w:tcPr>
            <w:tcW w:w="326" w:type="dxa"/>
            <w:tcBorders/>
            <w:shd w:fill="CCEEFF" w:val="clear"/>
            <w:vAlign w:val="center"/>
          </w:tcPr>
          <w:p>
            <w:pPr>
              <w:pStyle w:val="TableContents"/>
              <w:spacing w:before="0" w:after="1"/>
              <w:ind w:left="0" w:right="0" w:hanging="0"/>
              <w:rPr/>
            </w:pPr>
            <w:r>
              <w:rPr/>
              <w:t>​</w:t>
            </w:r>
          </w:p>
        </w:tc>
        <w:tc>
          <w:tcPr>
            <w:tcW w:w="22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(12,171)</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(14,781)</w:t>
            </w:r>
          </w:p>
        </w:tc>
      </w:tr>
    </w:tbl>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Factors Affecting Our Performance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financial condition and results of operations have been, and will continue to be, affected by a number of factors that present significant opportunities for us but also pose risks and challenges, including what is discussed below. See Part I, “Item 1A. Risk Factors” in our 2022 10-K.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Customer Acquisition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digital brand, our marketing strategy is primarily focused on brand awareness marketing and digital advertising in channels like search, social, and programmatic - platforms that enable us to engage our customers where they spend their time, and in many cases also quickly track the success of our marketing, which allows us to adjust and optimize our marketing spend.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Customer Retention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12 months ended April 2, 2023, we served 3.2 million Active Customers compared to 3.0 million for the trailing 12 months ended April 3,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Inventory Management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 in Our Operations and Infrastructure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will continue to invest in our operations and infrastructure to facilitate further growth of our business. While we expect our expenses to increase accordingly, we will harness the strength of our existing platform and our on-trend fashion expertise to make informed investment decisions. We intend to invest in headcount, inventory, fulfillment, logistics, and our software and data capabilities in order to improve our platform, expand into international markets, and drive operational efficiencies. We cannot guarantee that increased spending on these investments will be cost effective or result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future growth in our customer base. However, we set a high bar for approval of any capital spending initiative. We believe that our disciplined approach to capital spending will enable us to generate positive returns on our investments over the long term.</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revenue consists primarily of gross sales, net of merchandise returns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 of Revenue and Gross Margin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and shipping product to our customers. We expect our cost of revenue to fluctuate as a percentage of net revenue primarily due to how we manage our inventory and merchandise mix.</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Gross profit is equal to our net revenue less cost of revenue. We calculate Gross Margin as gross profit as a percentage of our net revenue.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Selling and Marketing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 We expect our selling and marketing expenses to increase in absolute dollars as we continue to invest in increasing brand awareness.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 our obligations as a public company.</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Since our IPO, we have incurred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continue to increase our legal and financial compliance costs and will make some activities more time consuming and costly. We expect our general and administrative expenses to increase in absolute dollars as we continue to grow our business. </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Income (Expense), Net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income (expense), net consists primarily of interest expense and other miscellaneous income.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Benefit (Provision) for Income Taxes</w:t>
      </w:r>
    </w:p>
    <w:p>
      <w:pPr>
        <w:pStyle w:val="TextBody"/>
        <w:spacing w:before="280" w:after="240"/>
        <w:ind w:left="0" w:right="0" w:firstLine="360"/>
        <w:jc w:val="both"/>
        <w:rPr>
          <w:rFonts w:ascii="Times New Roman;Times;serif" w:hAnsi="Times New Roman;Times;serif"/>
          <w:sz w:val="20"/>
        </w:rPr>
      </w:pPr>
      <w:r>
        <w:rPr>
          <w:rFonts w:ascii="Times New Roman;Times;serif" w:hAnsi="Times New Roman;Times;serif"/>
          <w:sz w:val="20"/>
        </w:rPr>
        <w:t>Our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We utilized a discrete effective tax rate method, as allowed by ASC 740-270 “Income Taxes, Interim Reporting,” to calculate taxes for the thirteen weeks ended April 2, 2023. Our pre-tax loss for the thirteen weeks ended April 2, 2023 relative to our projected pre-tax income for fiscal 2023 yielded a negative annual effective tax rate less than -240%, which was not deemed to be appropriate or meaningful.  We determined that small changes in estimated “ordinary” income would result in significant changes in the estimated annual effective tax rate, and therefore, the historical method would not provide a reliable estimate for the thirteen weeks ended April 2, 2023.</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set forth our consolidated results of operations for the periods presented and as a percentage of net revenue and net (loss) income:</w:t>
      </w:r>
    </w:p>
    <w:tbl>
      <w:tblPr>
        <w:tblW w:w="5645" w:type="dxa"/>
        <w:jc w:val="left"/>
        <w:tblInd w:w="0" w:type="dxa"/>
        <w:tblCellMar>
          <w:top w:w="0" w:type="dxa"/>
          <w:left w:w="0" w:type="dxa"/>
          <w:bottom w:w="0" w:type="dxa"/>
          <w:right w:w="0" w:type="dxa"/>
        </w:tblCellMar>
      </w:tblPr>
      <w:tblGrid>
        <w:gridCol w:w="3091"/>
        <w:gridCol w:w="326"/>
        <w:gridCol w:w="301"/>
        <w:gridCol w:w="691"/>
        <w:gridCol w:w="109"/>
        <w:gridCol w:w="301"/>
        <w:gridCol w:w="82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962785" cy="175260"/>
                      <wp:effectExtent l="0" t="0" r="0" b="0"/>
                      <wp:wrapNone/>
                      <wp:docPr id="159" name="Frame158"/>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91135" cy="175260"/>
                      <wp:effectExtent l="0" t="0" r="0" b="0"/>
                      <wp:wrapNone/>
                      <wp:docPr id="161" name="Frame160"/>
                      <a:graphic xmlns:a="http://schemas.openxmlformats.org/drawingml/2006/main">
                        <a:graphicData uri="http://schemas.microsoft.com/office/word/2010/wordprocessingShape">
                          <wps:wsp>
                            <wps:cNvSpPr txBox="1"/>
                            <wps:spPr>
                              <a:xfrm>
                                <a:off x="0" y="0"/>
                                <a:ext cx="191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8785" cy="175260"/>
                      <wp:effectExtent l="0" t="0" r="0" b="0"/>
                      <wp:wrapNone/>
                      <wp:docPr id="162" name="Frame16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91135" cy="175260"/>
                      <wp:effectExtent l="0" t="0" r="0" b="0"/>
                      <wp:wrapNone/>
                      <wp:docPr id="164" name="Frame163"/>
                      <a:graphic xmlns:a="http://schemas.openxmlformats.org/drawingml/2006/main">
                        <a:graphicData uri="http://schemas.microsoft.com/office/word/2010/wordprocessingShape">
                          <wps:wsp>
                            <wps:cNvSpPr txBox="1"/>
                            <wps:spPr>
                              <a:xfrm>
                                <a:off x="0" y="0"/>
                                <a:ext cx="191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24510" cy="175260"/>
                      <wp:effectExtent l="0" t="0" r="0" b="0"/>
                      <wp:wrapNone/>
                      <wp:docPr id="165" name="Frame164"/>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2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109" w:type="dxa"/>
            <w:tcBorders/>
            <w:shd w:fill="auto" w:val="clear"/>
            <w:vAlign w:val="center"/>
          </w:tcPr>
          <w:p>
            <w:pPr>
              <w:pStyle w:val="TableContents"/>
              <w:spacing w:before="0" w:after="0"/>
              <w:ind w:left="0" w:right="0" w:hanging="0"/>
              <w:jc w:val="center"/>
              <w:rPr/>
            </w:pPr>
            <w:r>
              <w:rPr/>
              <w:t>​</w:t>
            </w:r>
          </w:p>
        </w:tc>
        <w:tc>
          <w:tcPr>
            <w:tcW w:w="112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11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01"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90,976</w:t>
            </w:r>
          </w:p>
        </w:tc>
        <w:tc>
          <w:tcPr>
            <w:tcW w:w="109"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111,902</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w:t>
            </w:r>
          </w:p>
        </w:tc>
        <w:tc>
          <w:tcPr>
            <w:tcW w:w="32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53,015</w:t>
            </w:r>
          </w:p>
        </w:tc>
        <w:tc>
          <w:tcPr>
            <w:tcW w:w="109"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58,924</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37,961</w:t>
            </w:r>
          </w:p>
        </w:tc>
        <w:tc>
          <w:tcPr>
            <w:tcW w:w="109"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52,978</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19,489</w:t>
            </w:r>
          </w:p>
        </w:tc>
        <w:tc>
          <w:tcPr>
            <w:tcW w:w="109"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21,886</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24,348</w:t>
            </w:r>
          </w:p>
        </w:tc>
        <w:tc>
          <w:tcPr>
            <w:tcW w:w="109"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27,834</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(5,876)</w:t>
            </w:r>
          </w:p>
        </w:tc>
        <w:tc>
          <w:tcPr>
            <w:tcW w:w="109"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3,258</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109"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09"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109"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before income taxes</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109"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3,104</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Income tax benefit (provision) </w:t>
            </w:r>
          </w:p>
        </w:tc>
        <w:tc>
          <w:tcPr>
            <w:tcW w:w="32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109"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(1,061)</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(loss) income </w:t>
            </w:r>
          </w:p>
        </w:tc>
        <w:tc>
          <w:tcPr>
            <w:tcW w:w="326" w:type="dxa"/>
            <w:tcBorders/>
            <w:shd w:fill="CCEEFF" w:val="clear"/>
            <w:vAlign w:val="center"/>
          </w:tcPr>
          <w:p>
            <w:pPr>
              <w:pStyle w:val="TableContents"/>
              <w:spacing w:before="0" w:after="0"/>
              <w:ind w:left="0" w:right="0" w:hanging="0"/>
              <w:rPr/>
            </w:pPr>
            <w:r>
              <w:rPr/>
              <w:t>​</w:t>
            </w:r>
          </w:p>
        </w:tc>
        <w:tc>
          <w:tcPr>
            <w:tcW w:w="30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109" w:type="dxa"/>
            <w:tcBorders/>
            <w:shd w:fill="CCEEFF" w:val="clear"/>
            <w:vAlign w:val="center"/>
          </w:tcPr>
          <w:p>
            <w:pPr>
              <w:pStyle w:val="TableContents"/>
              <w:spacing w:before="0" w:after="0"/>
              <w:ind w:left="0" w:right="0" w:hanging="0"/>
              <w:rPr/>
            </w:pPr>
            <w:r>
              <w:rPr/>
              <w:t>​</w:t>
            </w:r>
          </w:p>
        </w:tc>
        <w:tc>
          <w:tcPr>
            <w:tcW w:w="30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2,043</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608" w:type="dxa"/>
        <w:jc w:val="left"/>
        <w:tblInd w:w="0" w:type="dxa"/>
        <w:tblCellMar>
          <w:top w:w="0" w:type="dxa"/>
          <w:left w:w="0" w:type="dxa"/>
          <w:bottom w:w="0" w:type="dxa"/>
          <w:right w:w="0" w:type="dxa"/>
        </w:tblCellMar>
      </w:tblPr>
      <w:tblGrid>
        <w:gridCol w:w="3091"/>
        <w:gridCol w:w="326"/>
        <w:gridCol w:w="421"/>
        <w:gridCol w:w="326"/>
        <w:gridCol w:w="326"/>
        <w:gridCol w:w="421"/>
        <w:gridCol w:w="326"/>
        <w:gridCol w:w="371"/>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962785" cy="175260"/>
                      <wp:effectExtent l="0" t="0" r="0" b="0"/>
                      <wp:wrapNone/>
                      <wp:docPr id="166" name="Frame165"/>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67335" cy="175260"/>
                      <wp:effectExtent l="0" t="0" r="0" b="0"/>
                      <wp:wrapNone/>
                      <wp:docPr id="168" name="Frame167"/>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67335" cy="175260"/>
                      <wp:effectExtent l="0" t="0" r="0" b="0"/>
                      <wp:wrapNone/>
                      <wp:docPr id="171" name="Frame170"/>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35585" cy="175260"/>
                      <wp:effectExtent l="0" t="0" r="0" b="0"/>
                      <wp:wrapNone/>
                      <wp:docPr id="173" name="Frame172"/>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2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26" w:type="dxa"/>
            <w:tcBorders/>
            <w:shd w:fill="auto" w:val="clear"/>
            <w:vAlign w:val="center"/>
          </w:tcPr>
          <w:p>
            <w:pPr>
              <w:pStyle w:val="TableContents"/>
              <w:spacing w:before="0" w:after="0"/>
              <w:ind w:left="0" w:right="0" w:hanging="0"/>
              <w:rPr/>
            </w:pPr>
            <w:r>
              <w:rPr/>
              <w:t>​</w:t>
            </w:r>
          </w:p>
        </w:tc>
        <w:tc>
          <w:tcPr>
            <w:tcW w:w="7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7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spacing w:before="0" w:after="0"/>
              <w:ind w:left="0" w:right="0" w:hanging="0"/>
              <w:rPr/>
            </w:pPr>
            <w:r>
              <w:rPr/>
              <w:t>    </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spacing w:before="0" w:after="0"/>
              <w:ind w:left="0" w:right="0" w:hanging="0"/>
              <w:rPr/>
            </w:pPr>
            <w:r>
              <w:rPr/>
              <w:t>    </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CCEEFF" w:val="cle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before income taxes</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Income tax benefit (provision) </w:t>
            </w:r>
          </w:p>
        </w:tc>
        <w:tc>
          <w:tcPr>
            <w:tcW w:w="326" w:type="dxa"/>
            <w:tcBorders/>
            <w:shd w:fill="CCEEFF" w:val="cle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(loss) income </w:t>
            </w:r>
          </w:p>
        </w:tc>
        <w:tc>
          <w:tcPr>
            <w:tcW w:w="326" w:type="dxa"/>
            <w:tcBorders/>
            <w:shd w:fill="CCEEFF" w:val="clear"/>
            <w:vAlign w:val="center"/>
          </w:tcPr>
          <w:p>
            <w:pPr>
              <w:pStyle w:val="TableContents"/>
              <w:spacing w:before="0" w:after="0"/>
              <w:ind w:left="0" w:right="0" w:hanging="0"/>
              <w:rPr/>
            </w:pPr>
            <w:r>
              <w:rPr/>
              <w:t>​</w:t>
            </w:r>
          </w:p>
        </w:tc>
        <w:tc>
          <w:tcPr>
            <w:tcW w:w="4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4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Comparisons for the Thirteen Weeks Ended April 2, 2023 and April 3, 2022</w:t>
      </w:r>
    </w:p>
    <w:p>
      <w:pPr>
        <w:pStyle w:val="TextBody"/>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revenue decreased in the thirteen weeks ended April 2, 2023 by $21.0 million, or 19%, compared to the thirteen weeks ended April 3, 2022. The decrease is the result of a 14% decrease in Total Orders Placed and a 3% decrease in AOV, net of higher promotions and discounts, along with higher return rates compared to the first quarter of 2022.</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Cost of 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decreased in the thirteen weeks ended April 2, 2023 compared to the same period of the prior year by $6.0 million, or 10%, compared to the same period last year, which was primarily driven by the impact of lower sales volume, partially offset by higher product costs, higher shipping costs driven by the impact of higher fuel costs, as well as the impact of higher depreciation and allocated facility costs related to our Southern California distribution facility that was not fully operative throughout the first quarter of 2022.</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Selling and Marketing Expenses</w:t>
      </w:r>
    </w:p>
    <w:p>
      <w:pPr>
        <w:pStyle w:val="TextBody"/>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and marketing expenses decreased in the thirteen weeks ended April 2, 2023 by $2.3 million, or 11%, compared to the thirteen weeks ended April 3, 2022 as we utilized a higher mix of promotions and discounts during the quarter.</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decreased by $3.7 million in the thirteen weeks ended April 2, 2023, or 13%, compared to the thirteen weeks ended April 3, 2022. The decrease was primarily due to $1.7 million lower variable labor costs associated with lower sales volume and lower equity-based compensation expense of $1.3 million related to equity-based awards issued through April 2, 2023. Additionally, there was a $0.6 million decrease in professional services, supplies, recruiting costs and D&amp;O insurance costs.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Interest Expense</w:t>
      </w:r>
    </w:p>
    <w:p>
      <w:pPr>
        <w:pStyle w:val="TextBody"/>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Interest expense increased in the thirteen weeks ended April 2, 2023 by $0.3 million, or 151%, compared to the thirteen weeks ended April 3, 2022. The increase is attributable to a $5 million higher revolver balance along with higher interest rates compared to the prior year.</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Income Tax Benefit (Provision)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tax benefit (provision) in the thirteen weeks ended April 2, 2023 decreased by $1.8 million to a benefit of $0.7 million, compared to a provision of $1.1 million in the thirteen weeks ended April 3, 2022. The decrease was primarily due to a decrease in our income to a loss before benefit (provision) for income taxes.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Quarterly Trends and Seasonality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experience moderate seasonal fluctuations in aggregate sales volume during the year. Seasonality in our business does not follow that of traditional retailers, such as a typical concentration of revenue in the holiday quarter. </w:t>
      </w:r>
      <w:r>
        <w:rPr>
          <w:rFonts w:ascii="Times New Roman;Times;serif" w:hAnsi="Times New Roman;Times;serif"/>
          <w:sz w:val="20"/>
          <w:highlight w:val="white"/>
        </w:rPr>
        <w:t xml:space="preserve">Our quarterly net revenue in 2022 reflected the highest concentrations in the first and second fiscal quarters compared to the rest of the year, as customer demand remained strong for dresses and event wear, carrying forward the trend seen in 2021 with the resurgence of events and special occasions. The third and fourth fiscal quarters of 2022 were impacted by a worsened macroeconomic environment where consumers generally lowered their spending levels and sought higher levels of promotions and discounts which has continued into the first quarter of 2023. </w:t>
      </w:r>
      <w:r>
        <w:rPr>
          <w:rFonts w:ascii="Times New Roman;Times;serif" w:hAnsi="Times New Roman;Times;serif"/>
          <w:sz w:val="20"/>
        </w:rPr>
        <w:t>The seasonality of our business has resulted in variability in our total net revenue quarter-to-quarter. We believe that this seasonality has affected and will continue to affect 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quarterly gross profit fluctuates primarily based on how we manage our inventory and merchandise mix and has typically been in line with fluctuations in net revenue. When quarterly gross profit fluctuations have been unfavorable relative to the fluctuations in sales, these situations have been driven by non-recurring, external factors, such as the COVID-19 pandemic and the ensuing macroeconomic slowdown that begun in mid-2022, which led to increased promotional discounts and higher markdowns in order to optimize our inventory mix and quantities. Additionally, gross profit has recently been impacted by decreases in discretionary consumer spending as a result of inflation and macroeconomic conditions, increased promotions and discounts in response to decreases in consumer spending, and trends observed regarding the levels of returns.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 costs and vary quarter to quarter due to changes in the number of seasonal workers to meet demand based on our seasonality.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sources of liquidity and capital resources are cash generated from operating activities and borrowings under our Revolving Facility. Our primary requirements for liquidity and capital are inventory purchases, payroll and general operating expenses, capital expenditures associated with distribution, network expansion and capitalized software and debt service requirements.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Initial Public Offering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November 15, 2021, we completed our IPO, in which we issued and sold 5,750,000 shares of our common stock at a price to the public of $16.00 per share and raised net proceeds of approximately $82.0 million, after deducting the underwriting discounts and commissions of approximately $6.1 million and other issuance costs of approximately $3.9 million.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Credit Facilities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November 2021, we entered into a Credit Agreement with Bank of America (the "Credit Agreement") to provide a revolving facility that provides for borrowings up to $50.0 million (the "Revolving Facility"). During the term of the Credit Agreement, we may increase the aggregate amount of the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(the “Letter of Credit”). As of April 2, 2023, we had $20.0 million outstanding under the Revolving Facility and had utilized $0.3 million under the Letter of Credit. As of April 2, 2023, we had $29.7 million available for borrowing under the Revolving Facility and $7.2 million available to issue letters of credit.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Revolving Facility matures on November 15, 2024, and borrowings thereunder will accrue interest at a rate equal to, at our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The Revolving Facility contains a financial maintenance covenant requiring a maximum total leverage ratio of no more than 2.50:1.00, stepping down to 2.00:1.00 after 18 months. We were in compliance with our debt covenants under the Credit Agreement as of April 2, 2023. While we expect to continue to be in compliance with our debt covenants, any failure to remain in compliance with our debt covenants may materially adversely affect our liquidity. A commitment fee of 37.5 basis points will be assessed on unused commitments under the Revolving Facility.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Availability and Use of Cash</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April 2, 2023, we had cash and cash equivalents of $7.8 million. We believe that our cash and cash equivalents, cash flows from operations and the available borrowings under our Revolving Facility, will be sufficient to meet our capital expenditures, working capital needs and debt repayments for at least the next 12 months from the date of this Quarterly Report on Form 10-Q. However, we cannot ensure that our business will generate sufficient cash flow from operating activities or that future borrowings will be available under our borrowing agreements in amounts sufficient to pay indebtedness or fund other working capital needs. Actual results of operations will depend on numerous factors, many of which are beyond our control, as further discussed in Part I, Item 1A, “Risk Factors” included in our 2022 10-K.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 Analysis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8281" w:type="dxa"/>
        <w:jc w:val="left"/>
        <w:tblInd w:w="0" w:type="dxa"/>
        <w:tblCellMar>
          <w:top w:w="0" w:type="dxa"/>
          <w:left w:w="0" w:type="dxa"/>
          <w:bottom w:w="0" w:type="dxa"/>
          <w:right w:w="0" w:type="dxa"/>
        </w:tblCellMar>
      </w:tblPr>
      <w:tblGrid>
        <w:gridCol w:w="5566"/>
        <w:gridCol w:w="326"/>
        <w:gridCol w:w="211"/>
        <w:gridCol w:w="691"/>
        <w:gridCol w:w="326"/>
        <w:gridCol w:w="211"/>
        <w:gridCol w:w="796"/>
        <w:gridCol w:w="154"/>
      </w:tblGrid>
      <w:tr>
        <w:trPr/>
        <w:tc>
          <w:tcPr>
            <w:tcW w:w="5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534410" cy="175260"/>
                      <wp:effectExtent l="0" t="0" r="0" b="0"/>
                      <wp:wrapNone/>
                      <wp:docPr id="174" name="Frame173"/>
                      <a:graphic xmlns:a="http://schemas.openxmlformats.org/drawingml/2006/main">
                        <a:graphicData uri="http://schemas.microsoft.com/office/word/2010/wordprocessingShape">
                          <wps:wsp>
                            <wps:cNvSpPr txBox="1"/>
                            <wps:spPr>
                              <a:xfrm>
                                <a:off x="0" y="0"/>
                                <a:ext cx="3534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38785" cy="175260"/>
                      <wp:effectExtent l="0" t="0" r="0" b="0"/>
                      <wp:wrapNone/>
                      <wp:docPr id="177" name="Frame17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05460" cy="175260"/>
                      <wp:effectExtent l="0" t="0" r="0" b="0"/>
                      <wp:wrapNone/>
                      <wp:docPr id="180" name="Frame17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7790" cy="175260"/>
                      <wp:effectExtent l="0" t="0" r="0" b="0"/>
                      <wp:wrapNone/>
                      <wp:docPr id="181" name="Frame18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2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shd w:fill="auto"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154" w:type="dxa"/>
            <w:tcBorders/>
            <w:shd w:fill="auto"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8281"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3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20,248</w:t>
            </w:r>
          </w:p>
        </w:tc>
        <w:tc>
          <w:tcPr>
            <w:tcW w:w="154"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(1,654)</w:t>
            </w:r>
          </w:p>
        </w:tc>
        <w:tc>
          <w:tcPr>
            <w:tcW w:w="154"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(10,563)</w:t>
            </w:r>
          </w:p>
        </w:tc>
        <w:tc>
          <w:tcPr>
            <w:tcW w:w="154"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(decrease) increase in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8,031</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i/>
          <w:sz w:val="20"/>
        </w:rPr>
      </w:pPr>
      <w:bookmarkStart w:id="885" w:name="_Hlk133044864"/>
      <w:bookmarkEnd w:id="885"/>
      <w:r>
        <w:rPr>
          <w:rFonts w:ascii="Times New Roman;Times;serif" w:hAnsi="Times New Roman;Times;serif"/>
          <w:i/>
          <w:sz w:val="20"/>
        </w:rPr>
        <w:t>Operating Activities</w:t>
      </w:r>
    </w:p>
    <w:p>
      <w:pPr>
        <w:pStyle w:val="TextBody"/>
        <w:shd w:fill="FFFFFF" w:val="clear"/>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thirteen weeks ended April 2, 2023, net cash provided by operating activities was $3.7 million after net loss of $5.6 million was adjusted for certain non-cash items, including depreciation and amortization, non-cash lease expense, amortization of debt discount and debt issuance costs, equity-based compensation, deferred taxes and the effect of changes in working capital and other activities.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the thirteen weeks ended April 2, 2023, net cash provided by operating activities decreased by $16.5 million to $3.7 million from $20.2 million </w:t>
      </w:r>
      <w:r>
        <w:rPr>
          <w:rFonts w:ascii="Times New Roman;Times;serif" w:hAnsi="Times New Roman;Times;serif"/>
          <w:sz w:val="20"/>
          <w:highlight w:val="white"/>
        </w:rPr>
        <w:t>in the same period of the prior year</w:t>
      </w:r>
      <w:r>
        <w:rPr>
          <w:rFonts w:ascii="Times New Roman;Times;serif" w:hAnsi="Times New Roman;Times;serif"/>
          <w:sz w:val="20"/>
        </w:rPr>
        <w:t xml:space="preserve">. The decrease in cash provided by operating activities was primarily driven by a decrease of $7.6 million in net income resulting in a net loss of $5.6 million for the thirteen weeks ended April 2, 2023 compared to a net income of $2.0 million for the thirteen weeks ended April 3, 2022. In addition, there was a decrease of $6.6 million related to changes in our operating assets and liabilities and a decrease of $2.3 million of non-cash items. </w:t>
      </w:r>
      <w:r>
        <w:rPr>
          <w:rFonts w:ascii="Times New Roman;Times;serif" w:hAnsi="Times New Roman;Times;serif"/>
          <w:sz w:val="20"/>
          <w:highlight w:val="white"/>
        </w:rPr>
        <w:t xml:space="preserve">There was a net decrease in cash of $6.6 million attributed to changes in operating assets and liabilities which resulted from a change to a $4.7 million net increase during the thirteen weeks ended </w:t>
      </w:r>
      <w:r>
        <w:rPr>
          <w:rFonts w:ascii="Times New Roman;Times;serif" w:hAnsi="Times New Roman;Times;serif"/>
          <w:sz w:val="20"/>
        </w:rPr>
        <w:t xml:space="preserve">April 2, 2023 </w:t>
      </w:r>
      <w:r>
        <w:rPr>
          <w:rFonts w:ascii="Times New Roman;Times;serif" w:hAnsi="Times New Roman;Times;serif"/>
          <w:sz w:val="20"/>
          <w:highlight w:val="white"/>
        </w:rPr>
        <w:t xml:space="preserve">from a $11.3 million net increase during the thirteen weeks ended </w:t>
      </w:r>
      <w:r>
        <w:rPr>
          <w:rFonts w:ascii="Times New Roman;Times;serif" w:hAnsi="Times New Roman;Times;serif"/>
          <w:sz w:val="20"/>
        </w:rPr>
        <w:t>April 3, 2022</w:t>
      </w:r>
      <w:r>
        <w:rPr>
          <w:rFonts w:ascii="Times New Roman;Times;serif" w:hAnsi="Times New Roman;Times;serif"/>
          <w:sz w:val="20"/>
          <w:highlight w:val="white"/>
        </w:rPr>
        <w:t xml:space="preserve">. This was driven primarily by </w:t>
      </w:r>
      <w:r>
        <w:rPr>
          <w:rFonts w:ascii="Times New Roman;Times;serif" w:hAnsi="Times New Roman;Times;serif"/>
          <w:sz w:val="20"/>
        </w:rPr>
        <w:t>an $11.0 million decrease in accrued expenses and other current liabilities;</w:t>
      </w:r>
      <w:r>
        <w:rPr>
          <w:rFonts w:ascii="Times New Roman;Times;serif" w:hAnsi="Times New Roman;Times;serif"/>
          <w:sz w:val="20"/>
          <w:highlight w:val="white"/>
        </w:rPr>
        <w:t xml:space="preserve"> </w:t>
      </w:r>
      <w:r>
        <w:rPr>
          <w:rFonts w:ascii="Times New Roman;Times;serif" w:hAnsi="Times New Roman;Times;serif"/>
          <w:sz w:val="20"/>
        </w:rPr>
        <w:t xml:space="preserve">a $5.4 million lower accounts </w:t>
      </w:r>
      <w:r>
        <w:rPr>
          <w:rFonts w:ascii="Times New Roman;Times;serif" w:hAnsi="Times New Roman;Times;serif"/>
          <w:sz w:val="20"/>
          <w:highlight w:val="white"/>
        </w:rPr>
        <w:t xml:space="preserve">payable; </w:t>
      </w:r>
      <w:r>
        <w:rPr>
          <w:rFonts w:ascii="Times New Roman;Times;serif" w:hAnsi="Times New Roman;Times;serif"/>
          <w:sz w:val="20"/>
        </w:rPr>
        <w:t xml:space="preserve">a </w:t>
      </w:r>
      <w:r>
        <w:rPr>
          <w:rFonts w:ascii="Times New Roman;Times;serif" w:hAnsi="Times New Roman;Times;serif"/>
          <w:sz w:val="20"/>
          <w:highlight w:val="white"/>
        </w:rPr>
        <w:t xml:space="preserve">$1.1 million higher accounts receivable; </w:t>
      </w:r>
      <w:r>
        <w:rPr>
          <w:rFonts w:ascii="Times New Roman;Times;serif" w:hAnsi="Times New Roman;Times;serif"/>
          <w:sz w:val="20"/>
        </w:rPr>
        <w:t>$0.8 million higher operating lease liabilities and a $0.2 million lower income tax payable.</w:t>
      </w:r>
      <w:r>
        <w:rPr>
          <w:rFonts w:ascii="Times New Roman;Times;serif" w:hAnsi="Times New Roman;Times;serif"/>
          <w:sz w:val="20"/>
          <w:highlight w:val="white"/>
        </w:rPr>
        <w:t xml:space="preserve"> </w:t>
      </w:r>
      <w:r>
        <w:rPr>
          <w:rFonts w:ascii="Times New Roman;Times;serif" w:hAnsi="Times New Roman;Times;serif"/>
          <w:sz w:val="20"/>
        </w:rPr>
        <w:t xml:space="preserve">These were partially offset by an $11.3 million lower inventory balance; a </w:t>
      </w:r>
      <w:r>
        <w:rPr>
          <w:rFonts w:ascii="Times New Roman;Times;serif" w:hAnsi="Times New Roman;Times;serif"/>
          <w:sz w:val="20"/>
          <w:highlight w:val="white"/>
        </w:rPr>
        <w:t>$0.4 million lower other non-current liabilities</w:t>
      </w:r>
      <w:r>
        <w:rPr>
          <w:rFonts w:ascii="Times New Roman;Times;serif" w:hAnsi="Times New Roman;Times;serif"/>
          <w:sz w:val="20"/>
        </w:rPr>
        <w:t xml:space="preserve"> and a </w:t>
      </w:r>
      <w:r>
        <w:rPr>
          <w:rFonts w:ascii="Times New Roman;Times;serif" w:hAnsi="Times New Roman;Times;serif"/>
          <w:sz w:val="20"/>
          <w:highlight w:val="white"/>
        </w:rPr>
        <w:t>$0.2 million lower prepaid and other current assets. In addition, there was a decrease of $2.2 million in non-cash items which was from a change to net increase</w:t>
      </w:r>
      <w:r>
        <w:rPr>
          <w:rFonts w:ascii="Times New Roman;Times;serif" w:hAnsi="Times New Roman;Times;serif"/>
          <w:sz w:val="20"/>
        </w:rPr>
        <w:t xml:space="preserve"> of $4.6 million during the thirteen weeks ended April 2, 2023 </w:t>
      </w:r>
      <w:r>
        <w:rPr>
          <w:rFonts w:ascii="Times New Roman;Times;serif" w:hAnsi="Times New Roman;Times;serif"/>
          <w:sz w:val="20"/>
          <w:highlight w:val="white"/>
        </w:rPr>
        <w:t xml:space="preserve">from a net increase of $6.8 million </w:t>
      </w:r>
      <w:r>
        <w:rPr>
          <w:rFonts w:ascii="Times New Roman;Times;serif" w:hAnsi="Times New Roman;Times;serif"/>
          <w:sz w:val="20"/>
        </w:rPr>
        <w:t>during the thirteen weeks ended April 3, 2022</w:t>
      </w:r>
      <w:r>
        <w:rPr>
          <w:rFonts w:ascii="Times New Roman;Times;serif" w:hAnsi="Times New Roman;Times;serif"/>
          <w:sz w:val="20"/>
          <w:highlight w:val="white"/>
        </w:rPr>
        <w:t xml:space="preserve">. This was primarily driven by a $1.5 million increase in deferred income taxes and </w:t>
      </w:r>
      <w:r>
        <w:rPr>
          <w:rFonts w:ascii="Times New Roman;Times;serif" w:hAnsi="Times New Roman;Times;serif"/>
          <w:sz w:val="20"/>
        </w:rPr>
        <w:t xml:space="preserve">a decrease of $1.1 million in non-cash equity-based compensation expenses including equity-based compensation expense related to employees, Executive Chairman, CEO special compensation awards and Executive Chairman liability-classified awards. These were partially offset by $0.3 million increase in depreciation and amortization and </w:t>
      </w:r>
      <w:r>
        <w:rPr>
          <w:rFonts w:ascii="Times New Roman;Times;serif" w:hAnsi="Times New Roman;Times;serif"/>
          <w:sz w:val="20"/>
          <w:highlight w:val="white"/>
        </w:rPr>
        <w:t>$0.1 million increase in non-cash lease expense.  </w:t>
      </w:r>
      <w:r>
        <w:rPr>
          <w:rFonts w:ascii="Times New Roman;Times;serif" w:hAnsi="Times New Roman;Times;serif"/>
          <w:sz w:val="20"/>
        </w:rPr>
        <w:t xml:space="preserve"> </w:t>
      </w:r>
    </w:p>
    <w:p>
      <w:pPr>
        <w:pStyle w:val="TextBody"/>
        <w:spacing w:before="0" w:after="0"/>
        <w:ind w:left="0" w:right="0" w:firstLine="360"/>
        <w:jc w:val="both"/>
        <w:rPr/>
      </w:pPr>
      <w:r>
        <w:rPr/>
        <w:t>​</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Investing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period-to-period due to timing of the expansion of our operations. We have no material commitments for capital expenditures.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the thirteen weeks ended April 2, 2023, net cash used in investing activities was $1.1 million, which was a $0.6 million increase from $1.7 million in the thirteen weeks ended April 3, 2022. This was attributable to capital expenditures related to leasehold improvements, construction progress, purchase of computer hardware and e</w:t>
      </w:r>
      <w:r>
        <w:rPr>
          <w:rFonts w:ascii="Times New Roman;Times;serif" w:hAnsi="Times New Roman;Times;serif"/>
          <w:sz w:val="20"/>
          <w:highlight w:val="white"/>
        </w:rPr>
        <w:t>quipment for our general operations</w:t>
      </w:r>
      <w:r>
        <w:rPr>
          <w:rFonts w:ascii="Times New Roman;Times;serif" w:hAnsi="Times New Roman;Times;serif"/>
          <w:sz w:val="20"/>
        </w:rPr>
        <w:t>.</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Financing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Financing activities consist primarily of borrowings and repayments related to our Revolving Facility.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the thirteen weeks ended April 2, 2023</w:t>
      </w:r>
      <w:r>
        <w:rPr>
          <w:rFonts w:ascii="Times New Roman;Times;serif" w:hAnsi="Times New Roman;Times;serif"/>
          <w:sz w:val="20"/>
          <w:highlight w:val="white"/>
        </w:rPr>
        <w:t xml:space="preserve">, net cash used in financing activities was $5.0 million, which was a decrease of $5.6 million from $10.6 million of net cash used in financing activities </w:t>
      </w:r>
      <w:r>
        <w:rPr>
          <w:rFonts w:ascii="Times New Roman;Times;serif" w:hAnsi="Times New Roman;Times;serif"/>
          <w:sz w:val="20"/>
        </w:rPr>
        <w:t>in the thirteen weeks ended April 3, 2022</w:t>
      </w:r>
      <w:r>
        <w:rPr>
          <w:rFonts w:ascii="Times New Roman;Times;serif" w:hAnsi="Times New Roman;Times;serif"/>
          <w:sz w:val="20"/>
          <w:highlight w:val="white"/>
        </w:rPr>
        <w:t xml:space="preserve">. This decrease was attributable primarily to a reduction of $3.0 million in repayments of our revolving facility, $2.0 million increases in proceeds from our revolving line of credit facilities; reduction of $0.6 million in offering costs related to the IPO in 2021 and $0.2 million increase in proceeds from issuance of common stock under the ESPP offset by $0.2 million increase in principal payments on finance lease obligations.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other material changes to our contractual obligations and commitments as disclosed in our 2022 10-K.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estimates. To the extent that there are differences between our estimates and actual results, our future financial statement presentation, financial condition, results of operations and cash flows will be affected.</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critical accounting policies are described under the heading “Management’s Discussion and Analysis of Financial Condition and Results of Operations-Critical Accounting Policies and Estimates” in our 2022 10-K and the notes to the audited consolidated financial statements appearing elsewhere in our 2022 10-K. There have been no significant changes to our critical accounting policies and estimates as disclosed in our 2022 10-K.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2, “Significant Accounting Policies-Recently Issued Accounting Pronouncements,”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JOBS Act Accounting Election</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886" w:name="Item3QuantitativeandQualitativeDisclosur"/>
      <w:bookmarkStart w:id="887" w:name="_ff886c38_a4d4_41e3_866a_c70c018cfdb9"/>
      <w:bookmarkEnd w:id="886"/>
      <w:bookmarkEnd w:id="887"/>
      <w:r>
        <w:rPr>
          <w:rFonts w:ascii="Times New Roman;Times;serif" w:hAnsi="Times New Roman;Times;serif"/>
          <w:b/>
          <w:sz w:val="20"/>
        </w:rPr>
        <w:t>Item 3. Quantitative and Qualitative Disclosures About Market Risk.</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There has been no material change in our exposure to market risk from that discussed in our 2022 10-K.</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bookmarkStart w:id="888" w:name="Item4ControlsandProcedures_489265"/>
      <w:bookmarkStart w:id="889" w:name="_5b19a2c0_29df_4969_9346_32ad5e2ff2c2"/>
      <w:bookmarkEnd w:id="888"/>
      <w:bookmarkEnd w:id="889"/>
      <w:r>
        <w:rPr>
          <w:rFonts w:ascii="Times New Roman;Times;serif" w:hAnsi="Times New Roman;Times;serif"/>
          <w:b/>
          <w:sz w:val="20"/>
        </w:rPr>
        <w:t>Item 4. Controls and Procedures.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April 2, 2023, our disclosure controls and procedures were effective.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April 2, 2023 that have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bookmarkStart w:id="890" w:name="PARTIIOTHERINFORMATION_807620"/>
      <w:bookmarkStart w:id="891" w:name="_61db4a37_b5a7_483a_8109_5a1479d876d6"/>
      <w:bookmarkEnd w:id="890"/>
      <w:bookmarkEnd w:id="891"/>
      <w:r>
        <w:rPr>
          <w:rFonts w:ascii="Times New Roman;Times;serif" w:hAnsi="Times New Roman;Times;serif"/>
          <w:b/>
          <w:sz w:val="20"/>
        </w:rPr>
        <w:t>PART II—OTHER INFORMATION</w:t>
      </w:r>
    </w:p>
    <w:p>
      <w:pPr>
        <w:pStyle w:val="TextBody"/>
        <w:spacing w:before="0" w:after="240"/>
        <w:ind w:left="0" w:right="0" w:hanging="0"/>
        <w:rPr>
          <w:rFonts w:ascii="Times New Roman;Times;serif" w:hAnsi="Times New Roman;Times;serif"/>
          <w:b/>
          <w:sz w:val="20"/>
        </w:rPr>
      </w:pPr>
      <w:bookmarkStart w:id="892" w:name="Item1LegalProceedings_569580"/>
      <w:bookmarkEnd w:id="892"/>
      <w:r>
        <w:rPr>
          <w:rFonts w:ascii="Times New Roman;Times;serif" w:hAnsi="Times New Roman;Times;serif"/>
          <w:b/>
          <w:sz w:val="20"/>
        </w:rPr>
        <w:t>Item 1. Legal Proceedings.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bookmarkStart w:id="893" w:name="Item1ARiskFactors_224374"/>
      <w:bookmarkStart w:id="894" w:name="_f5e0e6c1_5ae3_4d42_b9e9_3db4ccb4d5e6"/>
      <w:bookmarkEnd w:id="893"/>
      <w:bookmarkEnd w:id="894"/>
      <w:r>
        <w:rPr>
          <w:rFonts w:ascii="Times New Roman;Times;serif" w:hAnsi="Times New Roman;Times;serif"/>
          <w:b/>
          <w:sz w:val="20"/>
        </w:rPr>
        <w:t>Item 1A. Risk Factors.</w:t>
      </w:r>
    </w:p>
    <w:p>
      <w:pPr>
        <w:pStyle w:val="TextBody"/>
        <w:spacing w:before="0" w:after="240"/>
        <w:ind w:left="0" w:right="0" w:firstLine="360"/>
        <w:jc w:val="both"/>
        <w:rPr>
          <w:rFonts w:ascii="Times New Roman;Times;serif" w:hAnsi="Times New Roman;Times;serif"/>
          <w:sz w:val="20"/>
          <w:highlight w:val="white"/>
        </w:rPr>
      </w:pPr>
      <w:r>
        <w:rPr>
          <w:rFonts w:ascii="Times New Roman;Times;serif" w:hAnsi="Times New Roman;Times;serif"/>
          <w:sz w:val="20"/>
          <w:highlight w:val="white"/>
        </w:rPr>
        <w:t>For detailed information about certain risk factors that could materially affect our business, financial condition or future results see “Risk Factors” in Part I, Item 1A of our 2022 10-K. There have been no material changes to the risk factors previously disclosed in our 2022 10-K.</w:t>
      </w:r>
    </w:p>
    <w:p>
      <w:pPr>
        <w:pStyle w:val="TextBody"/>
        <w:spacing w:before="0" w:after="240"/>
        <w:ind w:left="0" w:right="0" w:hanging="0"/>
        <w:rPr>
          <w:rFonts w:ascii="Times New Roman;Times;serif" w:hAnsi="Times New Roman;Times;serif"/>
          <w:b/>
          <w:sz w:val="20"/>
        </w:rPr>
      </w:pPr>
      <w:bookmarkStart w:id="895" w:name="Item2UnregisteredSalesofEquitySecurities"/>
      <w:bookmarkStart w:id="896" w:name="_52019784_1eaf_48b2_8958_6713f1ddbfc7"/>
      <w:bookmarkEnd w:id="895"/>
      <w:bookmarkEnd w:id="896"/>
      <w:r>
        <w:rPr>
          <w:rFonts w:ascii="Times New Roman;Times;serif" w:hAnsi="Times New Roman;Times;serif"/>
          <w:b/>
          <w:sz w:val="20"/>
        </w:rPr>
        <w:t>Item 2. Unregistered Sales of Equity Securities and Use of Proceeds.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897" w:name="Item3DefaultsUponSeniorSecurities_546631"/>
      <w:bookmarkStart w:id="898" w:name="_ff79fe40_d0d9_4a85_b50b_dbc27e482fe3"/>
      <w:bookmarkEnd w:id="897"/>
      <w:bookmarkEnd w:id="898"/>
      <w:r>
        <w:rPr>
          <w:rFonts w:ascii="Times New Roman;Times;serif" w:hAnsi="Times New Roman;Times;serif"/>
          <w:b/>
          <w:sz w:val="20"/>
        </w:rPr>
        <w:t>Item 3. Defaults Upon Senior Securities.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bookmarkStart w:id="899" w:name="Item4MineSafetyDisclosures_84191"/>
      <w:bookmarkStart w:id="900" w:name="_e0712903_438d_4dd8_8473_87ccf38b988e"/>
      <w:bookmarkEnd w:id="899"/>
      <w:bookmarkEnd w:id="900"/>
      <w:r>
        <w:rPr>
          <w:rFonts w:ascii="Times New Roman;Times;serif" w:hAnsi="Times New Roman;Times;serif"/>
          <w:b/>
          <w:sz w:val="20"/>
        </w:rPr>
        <w:t>Item 4. Mine Safety Disclosures.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firstLine="360"/>
        <w:jc w:val="both"/>
        <w:rPr/>
      </w:pPr>
      <w:r>
        <w:rPr/>
        <w:t>​</w:t>
      </w:r>
    </w:p>
    <w:p>
      <w:pPr>
        <w:pStyle w:val="TextBody"/>
        <w:spacing w:before="0" w:after="240"/>
        <w:ind w:left="0" w:right="0" w:hanging="0"/>
        <w:jc w:val="both"/>
        <w:rPr>
          <w:rFonts w:ascii="Times New Roman;Times;serif" w:hAnsi="Times New Roman;Times;serif"/>
          <w:b/>
          <w:sz w:val="20"/>
        </w:rPr>
      </w:pPr>
      <w:bookmarkStart w:id="901" w:name="Item5OtherInformation_793305"/>
      <w:bookmarkStart w:id="902" w:name="_3f1485f2_f8df_4081_831f_2a0b4b0cc878"/>
      <w:bookmarkEnd w:id="901"/>
      <w:bookmarkEnd w:id="902"/>
      <w:r>
        <w:rPr>
          <w:rFonts w:ascii="Times New Roman;Times;serif" w:hAnsi="Times New Roman;Times;serif"/>
          <w:b/>
          <w:sz w:val="20"/>
        </w:rPr>
        <w:t>Item 5. Other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903" w:name="Item6Exhibits_785378"/>
      <w:bookmarkStart w:id="904" w:name="_8e6ef8a5_5341_4dcb_b213_bbb8f69ab1f7"/>
      <w:bookmarkEnd w:id="903"/>
      <w:bookmarkEnd w:id="904"/>
      <w:r>
        <w:rPr>
          <w:rFonts w:ascii="Times New Roman;Times;serif" w:hAnsi="Times New Roman;Times;serif"/>
          <w:b/>
          <w:sz w:val="20"/>
        </w:rPr>
        <w:t>Item 6. Exhibits.</w:t>
      </w:r>
    </w:p>
    <w:tbl>
      <w:tblPr>
        <w:tblW w:w="10539" w:type="dxa"/>
        <w:jc w:val="left"/>
        <w:tblInd w:w="0" w:type="dxa"/>
        <w:tblCellMar>
          <w:top w:w="0" w:type="dxa"/>
          <w:left w:w="0" w:type="dxa"/>
          <w:bottom w:w="28" w:type="dxa"/>
          <w:right w:w="0" w:type="dxa"/>
        </w:tblCellMar>
      </w:tblPr>
      <w:tblGrid>
        <w:gridCol w:w="824"/>
        <w:gridCol w:w="109"/>
        <w:gridCol w:w="5201"/>
        <w:gridCol w:w="109"/>
        <w:gridCol w:w="586"/>
        <w:gridCol w:w="109"/>
        <w:gridCol w:w="818"/>
        <w:gridCol w:w="109"/>
        <w:gridCol w:w="736"/>
        <w:gridCol w:w="109"/>
        <w:gridCol w:w="713"/>
        <w:gridCol w:w="109"/>
        <w:gridCol w:w="1007"/>
      </w:tblGrid>
      <w:tr>
        <w:trPr/>
        <w:tc>
          <w:tcPr>
            <w:tcW w:w="824" w:type="dxa"/>
            <w:tcBorders>
              <w:bottom w:val="single" w:sz="2" w:space="0" w:color="000000"/>
            </w:tcBorders>
            <w:shd w:fill="auto" w:val="clear"/>
            <w:vAlign w:val="center"/>
          </w:tcPr>
          <w:p>
            <w:pPr>
              <w:pStyle w:val="TableHeading"/>
              <w:spacing w:before="0" w:after="0"/>
              <w:ind w:left="0" w:right="0" w:hanging="0"/>
              <w:jc w:val="left"/>
              <w:rPr/>
            </w:pPr>
            <w:r>
              <w:rPr/>
              <w:t>​</w:t>
            </w:r>
          </w:p>
        </w:tc>
        <w:tc>
          <w:tcPr>
            <w:tcW w:w="109" w:type="dxa"/>
            <w:tcBorders>
              <w:bottom w:val="single" w:sz="2" w:space="0" w:color="000000"/>
            </w:tcBorders>
            <w:shd w:fill="auto" w:val="clear"/>
            <w:vAlign w:val="center"/>
          </w:tcPr>
          <w:p>
            <w:pPr>
              <w:pStyle w:val="TableHeading"/>
              <w:spacing w:before="0" w:after="0"/>
              <w:ind w:left="0" w:right="0" w:hanging="0"/>
              <w:jc w:val="center"/>
              <w:rPr/>
            </w:pPr>
            <w:r>
              <w:rPr/>
              <w:t>​</w:t>
            </w:r>
          </w:p>
        </w:tc>
        <w:tc>
          <w:tcPr>
            <w:tcW w:w="5201" w:type="dxa"/>
            <w:tcBorders>
              <w:bottom w:val="single" w:sz="2" w:space="0" w:color="000000"/>
            </w:tcBorders>
            <w:shd w:fill="auto" w:val="clear"/>
            <w:vAlign w:val="center"/>
          </w:tcPr>
          <w:p>
            <w:pPr>
              <w:pStyle w:val="TableHeading"/>
              <w:spacing w:before="0" w:after="0"/>
              <w:ind w:left="0" w:right="0" w:hanging="0"/>
              <w:jc w:val="center"/>
              <w:rPr/>
            </w:pPr>
            <w:r>
              <w:rPr/>
              <w:t>​</w:t>
            </w:r>
          </w:p>
        </w:tc>
        <w:tc>
          <w:tcPr>
            <w:tcW w:w="109" w:type="dxa"/>
            <w:tcBorders>
              <w:bottom w:val="single" w:sz="2" w:space="0" w:color="000000"/>
            </w:tcBorders>
            <w:shd w:fill="auto" w:val="clear"/>
            <w:vAlign w:val="center"/>
          </w:tcPr>
          <w:p>
            <w:pPr>
              <w:pStyle w:val="TableHeading"/>
              <w:spacing w:before="0" w:after="0"/>
              <w:ind w:left="0" w:right="0" w:hanging="0"/>
              <w:jc w:val="center"/>
              <w:rPr/>
            </w:pPr>
            <w:r>
              <w:rPr/>
              <w:t>​</w:t>
            </w:r>
          </w:p>
        </w:tc>
        <w:tc>
          <w:tcPr>
            <w:tcW w:w="3180" w:type="dxa"/>
            <w:gridSpan w:val="7"/>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109" w:type="dxa"/>
            <w:tcBorders>
              <w:bottom w:val="single" w:sz="2" w:space="0" w:color="000000"/>
            </w:tcBorders>
            <w:shd w:fill="auto" w:val="clear"/>
            <w:vAlign w:val="center"/>
          </w:tcPr>
          <w:p>
            <w:pPr>
              <w:pStyle w:val="TableHeading"/>
              <w:spacing w:before="0" w:after="0"/>
              <w:ind w:left="0" w:right="0" w:hanging="0"/>
              <w:jc w:val="center"/>
              <w:rPr/>
            </w:pPr>
            <w:r>
              <w:rPr/>
              <w:t>​</w:t>
            </w:r>
          </w:p>
        </w:tc>
        <w:tc>
          <w:tcPr>
            <w:tcW w:w="1007"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824"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109" w:type="dxa"/>
            <w:tcBorders>
              <w:bottom w:val="single" w:sz="2" w:space="0" w:color="000000"/>
            </w:tcBorders>
            <w:shd w:fill="auto" w:val="clear"/>
            <w:vAlign w:val="center"/>
          </w:tcPr>
          <w:p>
            <w:pPr>
              <w:pStyle w:val="TableHeading"/>
              <w:spacing w:before="0" w:after="0"/>
              <w:ind w:left="0" w:right="0" w:hanging="0"/>
              <w:jc w:val="center"/>
              <w:rPr/>
            </w:pPr>
            <w:r>
              <w:rPr/>
              <w:t>​</w:t>
            </w:r>
          </w:p>
        </w:tc>
        <w:tc>
          <w:tcPr>
            <w:tcW w:w="5201"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109" w:type="dxa"/>
            <w:tcBorders>
              <w:bottom w:val="single" w:sz="2" w:space="0" w:color="000000"/>
            </w:tcBorders>
            <w:shd w:fill="auto" w:val="clear"/>
            <w:vAlign w:val="center"/>
          </w:tcPr>
          <w:p>
            <w:pPr>
              <w:pStyle w:val="TableHeading"/>
              <w:spacing w:before="0" w:after="0"/>
              <w:ind w:left="0" w:right="0" w:hanging="0"/>
              <w:jc w:val="center"/>
              <w:rPr/>
            </w:pPr>
            <w:r>
              <w:rPr/>
              <w:t>​</w:t>
            </w:r>
          </w:p>
        </w:tc>
        <w:tc>
          <w:tcPr>
            <w:tcW w:w="586" w:type="dxa"/>
            <w:tcBorders>
              <w:top w:val="single" w:sz="2" w:space="0" w:color="000000"/>
              <w:bottom w:val="single" w:sz="2" w:space="0" w:color="000000"/>
            </w:tcBorders>
            <w:shd w:fill="auto" w:val="clear"/>
            <w:tcMar>
              <w:top w:w="28" w:type="dxa"/>
            </w:tcM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109" w:type="dxa"/>
            <w:tcBorders>
              <w:top w:val="single" w:sz="2" w:space="0" w:color="000000"/>
              <w:bottom w:val="single" w:sz="2" w:space="0" w:color="000000"/>
            </w:tcBorders>
            <w:shd w:fill="auto" w:val="clear"/>
            <w:tcMar>
              <w:top w:w="28" w:type="dxa"/>
            </w:tcMar>
            <w:vAlign w:val="center"/>
          </w:tcPr>
          <w:p>
            <w:pPr>
              <w:pStyle w:val="TableHeading"/>
              <w:spacing w:before="0" w:after="0"/>
              <w:ind w:left="0" w:right="0" w:hanging="0"/>
              <w:jc w:val="center"/>
              <w:rPr/>
            </w:pPr>
            <w:r>
              <w:rPr/>
              <w:t>​</w:t>
            </w:r>
          </w:p>
        </w:tc>
        <w:tc>
          <w:tcPr>
            <w:tcW w:w="818" w:type="dxa"/>
            <w:tcBorders>
              <w:top w:val="single" w:sz="2" w:space="0" w:color="000000"/>
              <w:bottom w:val="single" w:sz="2" w:space="0" w:color="000000"/>
            </w:tcBorders>
            <w:shd w:fill="auto" w:val="clear"/>
            <w:tcMar>
              <w:top w:w="28" w:type="dxa"/>
            </w:tcM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109" w:type="dxa"/>
            <w:tcBorders>
              <w:top w:val="single" w:sz="2" w:space="0" w:color="000000"/>
              <w:bottom w:val="single" w:sz="2" w:space="0" w:color="000000"/>
            </w:tcBorders>
            <w:shd w:fill="auto" w:val="clear"/>
            <w:tcMar>
              <w:top w:w="28" w:type="dxa"/>
            </w:tcMar>
            <w:vAlign w:val="center"/>
          </w:tcPr>
          <w:p>
            <w:pPr>
              <w:pStyle w:val="TableHeading"/>
              <w:spacing w:before="0" w:after="0"/>
              <w:ind w:left="0" w:right="0" w:hanging="0"/>
              <w:jc w:val="center"/>
              <w:rPr/>
            </w:pPr>
            <w:r>
              <w:rPr/>
              <w:t>​</w:t>
            </w:r>
          </w:p>
        </w:tc>
        <w:tc>
          <w:tcPr>
            <w:tcW w:w="736" w:type="dxa"/>
            <w:tcBorders>
              <w:top w:val="single" w:sz="2" w:space="0" w:color="000000"/>
              <w:bottom w:val="single" w:sz="2" w:space="0" w:color="000000"/>
            </w:tcBorders>
            <w:shd w:fill="auto" w:val="clear"/>
            <w:tcMar>
              <w:top w:w="28" w:type="dxa"/>
            </w:tcM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09" w:type="dxa"/>
            <w:tcBorders>
              <w:top w:val="single" w:sz="2" w:space="0" w:color="000000"/>
              <w:bottom w:val="single" w:sz="2" w:space="0" w:color="000000"/>
            </w:tcBorders>
            <w:shd w:fill="auto" w:val="clear"/>
            <w:tcMar>
              <w:top w:w="28" w:type="dxa"/>
            </w:tcMar>
            <w:vAlign w:val="center"/>
          </w:tcPr>
          <w:p>
            <w:pPr>
              <w:pStyle w:val="TableHeading"/>
              <w:spacing w:before="0" w:after="0"/>
              <w:ind w:left="0" w:right="0" w:hanging="0"/>
              <w:jc w:val="center"/>
              <w:rPr/>
            </w:pPr>
            <w:r>
              <w:rPr/>
              <w:t>​</w:t>
            </w:r>
          </w:p>
        </w:tc>
        <w:tc>
          <w:tcPr>
            <w:tcW w:w="713" w:type="dxa"/>
            <w:tcBorders>
              <w:top w:val="single" w:sz="2" w:space="0" w:color="000000"/>
              <w:bottom w:val="single" w:sz="2" w:space="0" w:color="000000"/>
            </w:tcBorders>
            <w:shd w:fill="auto" w:val="clear"/>
            <w:tcMar>
              <w:top w:w="28" w:type="dxa"/>
            </w:tcM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bottom w:val="single" w:sz="2" w:space="0" w:color="000000"/>
            </w:tcBorders>
            <w:shd w:fill="auto" w:val="clear"/>
            <w:vAlign w:val="center"/>
          </w:tcPr>
          <w:p>
            <w:pPr>
              <w:pStyle w:val="TableHeading"/>
              <w:spacing w:before="0" w:after="0"/>
              <w:ind w:left="0" w:right="0" w:hanging="0"/>
              <w:jc w:val="center"/>
              <w:rPr/>
            </w:pPr>
            <w:r>
              <w:rPr/>
              <w:t>​</w:t>
            </w:r>
          </w:p>
        </w:tc>
        <w:tc>
          <w:tcPr>
            <w:tcW w:w="1007"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Furnished</w:t>
            </w:r>
          </w:p>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First Amendment to Lulu's Fashion Lounge Holdings, Inc. 2021 Equity Incentive Plan Stock Option Agreement, dated as of February 13, 2023, between Lulu's Fashion Lounge Holdings, Inc. and David W. McCreight</w:t>
              </w:r>
            </w:hyperlink>
            <w:r>
              <w:rPr>
                <w:rFonts w:ascii="Times New Roman;Times;serif" w:hAnsi="Times New Roman;Times;serif"/>
                <w:sz w:val="20"/>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8-K</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02/14/2023</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pPr>
            <w:r>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Employment Agreement, dated as of March 5, 2023, among Lulu's Fashion Lounge Holdings, Inc., Lulu's Fashion Lounge, LLC and Crystal Landsem</w:t>
              </w:r>
            </w:hyperlink>
            <w:r>
              <w:rPr>
                <w:rFonts w:ascii="Times New Roman;Times;serif" w:hAnsi="Times New Roman;Times;serif"/>
                <w:sz w:val="20"/>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8-K</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03/06/2023</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pPr>
            <w:r>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Amendment to Employment Agreement, dated as of March 5, 2023, among Lulu's Fashion Lounge Holdings, Inc, Lulu's Fashion Lounge, LLC and Mark Vos</w:t>
              </w:r>
            </w:hyperlink>
            <w:r>
              <w:rPr>
                <w:rFonts w:ascii="Times New Roman;Times;serif" w:hAnsi="Times New Roman;Times;serif"/>
                <w:sz w:val="20"/>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8-K</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03/06/2023</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pPr>
            <w:r>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4"/>
                </w:rPr>
                <w:t>Employment Agreement, dated as of March 8, 2023, among Lulu's Fashion Lounge Holdings, Inc., Lulu's Fashion Lounge, LLC and Tiffany R. Smith.</w:t>
              </w:r>
            </w:hyperlink>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8-K</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03/09/2023</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pPr>
            <w:r>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pPr>
            <w:hyperlink w:anchor="tmb-20230402xex31d1.htm">
              <w:r>
                <w:rPr>
                  <w:rStyle w:val="InternetLink"/>
                  <w:rFonts w:ascii="Times New Roman;Times;serif" w:hAnsi="Times New Roman;Times;serif"/>
                  <w:b w:val="false"/>
                  <w:i w:val="false"/>
                  <w:caps w:val="false"/>
                  <w:smallCaps w:val="false"/>
                  <w:sz w:val="24"/>
                </w:rPr>
                <w:t>Certification of Chief Executive Officer pursuant to Rule 13a-14(a)/15d-14(a).</w:t>
              </w:r>
            </w:hyperlink>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pPr>
            <w:hyperlink w:anchor="tmb-20230402xex31d2.htm">
              <w:r>
                <w:rPr>
                  <w:rStyle w:val="InternetLink"/>
                  <w:rFonts w:ascii="Times New Roman;Times;serif" w:hAnsi="Times New Roman;Times;serif"/>
                  <w:b w:val="false"/>
                  <w:i w:val="false"/>
                  <w:caps w:val="false"/>
                  <w:smallCaps w:val="false"/>
                  <w:sz w:val="24"/>
                </w:rPr>
                <w:t>Certification of Chief Financial Officer pursuant to Rule 13a-14(a)/15d-14(a).</w:t>
              </w:r>
            </w:hyperlink>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pPr>
            <w:hyperlink w:anchor="tmb-20230402xex32d1.htm">
              <w:r>
                <w:rPr>
                  <w:rStyle w:val="InternetLink"/>
                  <w:rFonts w:ascii="Times New Roman;Times;serif" w:hAnsi="Times New Roman;Times;serif"/>
                  <w:b w:val="false"/>
                  <w:i w:val="false"/>
                  <w:caps w:val="false"/>
                  <w:smallCaps w:val="false"/>
                  <w:sz w:val="24"/>
                </w:rPr>
                <w:t>Certification of Chief Executive Officer pursuant to 18 U.S.C. Section 1350.</w:t>
              </w:r>
            </w:hyperlink>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32.2</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pPr>
            <w:hyperlink w:anchor="tmb-20230402xex32d2.htm">
              <w:r>
                <w:rPr>
                  <w:rStyle w:val="InternetLink"/>
                  <w:rFonts w:ascii="Times New Roman;Times;serif" w:hAnsi="Times New Roman;Times;serif"/>
                  <w:b w:val="false"/>
                  <w:i w:val="false"/>
                  <w:caps w:val="false"/>
                  <w:smallCaps w:val="false"/>
                  <w:sz w:val="24"/>
                </w:rPr>
                <w:t>Certification of Chief Financial Officer pursuant to 18 U.S.C. Section 1350.</w:t>
              </w:r>
            </w:hyperlink>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2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(as formatted as Inline XBRL and contained in Exhibit 101)</w:t>
            </w:r>
          </w:p>
        </w:tc>
        <w:tc>
          <w:tcPr>
            <w:tcW w:w="109" w:type="dxa"/>
            <w:tcBorders/>
            <w:shd w:fill="auto" w:val="clear"/>
            <w:tcMar>
              <w:bottom w:w="0" w:type="dxa"/>
            </w:tcMar>
            <w:vAlign w:val="center"/>
          </w:tcPr>
          <w:p>
            <w:pPr>
              <w:pStyle w:val="TableContents"/>
              <w:spacing w:before="0" w:after="0"/>
              <w:ind w:left="0" w:right="0" w:hanging="0"/>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818"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36"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713" w:type="dxa"/>
            <w:tcBorders/>
            <w:shd w:fill="auto" w:val="clear"/>
            <w:tcMar>
              <w:bottom w:w="0" w:type="dxa"/>
            </w:tcMar>
            <w:vAlign w:val="center"/>
          </w:tcPr>
          <w:p>
            <w:pPr>
              <w:pStyle w:val="TableContents"/>
              <w:spacing w:before="0" w:after="0"/>
              <w:ind w:left="0" w:right="0" w:hanging="0"/>
              <w:jc w:val="center"/>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0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rFonts w:ascii="Times New Roman;Times;serif" w:hAnsi="Times New Roman;Times;serif"/>
          <w:sz w:val="24"/>
        </w:rPr>
      </w:pPr>
      <w:r>
        <w:rPr>
          <w:rFonts w:ascii="Times New Roman;Times;serif" w:hAnsi="Times New Roman;Times;serif"/>
          <w:b w:val="false"/>
          <w:i w:val="false"/>
          <w:caps w:val="false"/>
          <w:smallCaps w:val="false"/>
          <w:sz w:val="24"/>
        </w:rPr>
        <w:t>*</w:t>
      </w:r>
      <w:r>
        <w:rPr>
          <w:rFonts w:ascii="Times New Roman;Times;serif" w:hAnsi="Times New Roman;Times;serif"/>
          <w:sz w:val="20"/>
        </w:rPr>
        <w:t>Filed herewith</w:t>
      </w:r>
      <w:r>
        <w:rPr>
          <w:rFonts w:ascii="Times New Roman;Times;serif" w:hAnsi="Times New Roman;Times;serif"/>
          <w:sz w:val="24"/>
        </w:rPr>
        <w:t>.</w:t>
      </w:r>
    </w:p>
    <w:p>
      <w:pPr>
        <w:pStyle w:val="TextBody"/>
        <w:spacing w:before="0" w:after="120"/>
        <w:ind w:left="0" w:right="0" w:hanging="0"/>
        <w:rPr>
          <w:rFonts w:ascii="Times New Roman;Times;serif" w:hAnsi="Times New Roman;Times;serif"/>
          <w:sz w:val="24"/>
        </w:rPr>
      </w:pPr>
      <w:r>
        <w:rPr>
          <w:rFonts w:ascii="Times New Roman;Times;serif" w:hAnsi="Times New Roman;Times;serif"/>
          <w:b w:val="false"/>
          <w:i w:val="false"/>
          <w:caps w:val="false"/>
          <w:smallCaps w:val="false"/>
          <w:sz w:val="24"/>
        </w:rPr>
        <w:t>**</w:t>
      </w:r>
      <w:r>
        <w:rPr>
          <w:rFonts w:ascii="Times New Roman;Times;serif" w:hAnsi="Times New Roman;Times;serif"/>
          <w:sz w:val="20"/>
        </w:rPr>
        <w:t>Furnished herewith</w:t>
      </w:r>
      <w:r>
        <w:rPr>
          <w:rFonts w:ascii="Times New Roman;Times;serif" w:hAnsi="Times New Roman;Times;serif"/>
          <w:sz w:val="24"/>
        </w:rPr>
        <w:t>.</w:t>
      </w:r>
    </w:p>
    <w:p>
      <w:pPr>
        <w:pStyle w:val="TextBody"/>
        <w:spacing w:before="0" w:after="12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905" w:name="SIGNATURES_813814"/>
      <w:bookmarkStart w:id="906" w:name="_d12abeb3_9d56_418e_8ec8_e718469f78fe"/>
      <w:bookmarkEnd w:id="905"/>
      <w:bookmarkEnd w:id="906"/>
      <w:r>
        <w:rPr>
          <w:rFonts w:ascii="Times New Roman;Times;serif" w:hAnsi="Times New Roman;Times;serif"/>
          <w:b/>
          <w:sz w:val="20"/>
        </w:rPr>
        <w:t>SIGNATURES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w:t>
      </w:r>
    </w:p>
    <w:tbl>
      <w:tblPr>
        <w:tblW w:w="6059" w:type="dxa"/>
        <w:jc w:val="left"/>
        <w:tblInd w:w="0" w:type="dxa"/>
        <w:tblCellMar>
          <w:top w:w="0" w:type="dxa"/>
          <w:left w:w="0" w:type="dxa"/>
          <w:bottom w:w="0" w:type="dxa"/>
          <w:right w:w="0" w:type="dxa"/>
        </w:tblCellMar>
      </w:tblPr>
      <w:tblGrid>
        <w:gridCol w:w="1636"/>
        <w:gridCol w:w="146"/>
        <w:gridCol w:w="406"/>
        <w:gridCol w:w="3871"/>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92710" cy="29210"/>
                      <wp:effectExtent l="0" t="0" r="0" b="0"/>
                      <wp:wrapNone/>
                      <wp:docPr id="182" name="Frame181"/>
                      <a:graphic xmlns:a="http://schemas.openxmlformats.org/drawingml/2006/main">
                        <a:graphicData uri="http://schemas.microsoft.com/office/word/2010/wordprocessingShape">
                          <wps:wsp>
                            <wps:cNvSpPr txBox="1"/>
                            <wps:spPr>
                              <a:xfrm>
                                <a:off x="0" y="0"/>
                                <a:ext cx="927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57810" cy="29210"/>
                      <wp:effectExtent l="0" t="0" r="0" b="0"/>
                      <wp:wrapNone/>
                      <wp:docPr id="183" name="Frame182"/>
                      <a:graphic xmlns:a="http://schemas.openxmlformats.org/drawingml/2006/main">
                        <a:graphicData uri="http://schemas.microsoft.com/office/word/2010/wordprocessingShape">
                          <wps:wsp>
                            <wps:cNvSpPr txBox="1"/>
                            <wps:spPr>
                              <a:xfrm>
                                <a:off x="0" y="0"/>
                                <a:ext cx="2578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58085" cy="29210"/>
                      <wp:effectExtent l="0" t="0" r="0" b="0"/>
                      <wp:wrapNone/>
                      <wp:docPr id="184" name="Frame183"/>
                      <a:graphic xmlns:a="http://schemas.openxmlformats.org/drawingml/2006/main">
                        <a:graphicData uri="http://schemas.microsoft.com/office/word/2010/wordprocessingShape">
                          <wps:wsp>
                            <wps:cNvSpPr txBox="1"/>
                            <wps:spPr>
                              <a:xfrm>
                                <a:off x="0" y="0"/>
                                <a:ext cx="24580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63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4277"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163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3871" w:type="dxa"/>
            <w:tcBorders/>
            <w:shd w:fill="auto" w:val="clear"/>
            <w:vAlign w:val="center"/>
          </w:tcPr>
          <w:p>
            <w:pPr>
              <w:pStyle w:val="TableContents"/>
              <w:spacing w:before="0" w:after="0"/>
              <w:ind w:left="0" w:right="0" w:hanging="0"/>
              <w:rPr/>
            </w:pPr>
            <w:r>
              <w:rPr/>
              <w:t> </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9, 2023</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63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387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63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387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63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3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i/>
                <w:sz w:val="20"/>
              </w:rPr>
              <w:t>(Principal Executive Officer)</w:t>
            </w:r>
            <w:r>
              <w:rPr>
                <w:rFonts w:ascii="Times New Roman;Times;serif" w:hAnsi="Times New Roman;Times;serif"/>
                <w:sz w:val="20"/>
              </w:rPr>
              <w:t> </w:t>
            </w:r>
          </w:p>
        </w:tc>
      </w:tr>
      <w:tr>
        <w:trPr/>
        <w:tc>
          <w:tcPr>
            <w:tcW w:w="163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jc w:val="center"/>
              <w:rPr/>
            </w:pPr>
            <w:r>
              <w:rPr/>
              <w:t>​</w:t>
            </w:r>
          </w:p>
        </w:tc>
      </w:tr>
      <w:tr>
        <w:trPr/>
        <w:tc>
          <w:tcPr>
            <w:tcW w:w="163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3871" w:type="dxa"/>
            <w:tcBorders/>
            <w:shd w:fill="auto" w:val="clear"/>
            <w:vAlign w:val="center"/>
          </w:tcPr>
          <w:p>
            <w:pPr>
              <w:pStyle w:val="TableContents"/>
              <w:spacing w:before="0" w:after="0"/>
              <w:ind w:left="0" w:right="0" w:hanging="0"/>
              <w:rPr/>
            </w:pPr>
            <w:r>
              <w:rPr/>
              <w:t> </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9, 2023</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63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387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63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387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63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3871"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spacing w:before="0" w:after="240"/>
        <w:ind w:left="0" w:right="0" w:firstLine="36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r>
        <w:br w:type="page"/>
      </w:r>
    </w:p>
    <w:p>
      <w:pPr>
        <w:pStyle w:val="TextBody"/>
        <w:spacing w:before="0" w:after="0"/>
        <w:ind w:left="0" w:right="0" w:hanging="0"/>
        <w:jc w:val="right"/>
        <w:rPr>
          <w:rFonts w:ascii="Times New Roman;Times;serif" w:hAnsi="Times New Roman;Times;serif"/>
          <w:b/>
          <w:sz w:val="20"/>
        </w:rPr>
      </w:pPr>
      <w:bookmarkStart w:id="907" w:name="tmb-20230402xex31d1.htm"/>
      <w:bookmarkStart w:id="908" w:name="kstmb20230402xex31d1"/>
      <w:bookmarkEnd w:id="907"/>
      <w:bookmarkEnd w:id="908"/>
      <w:r>
        <w:rPr>
          <w:rFonts w:ascii="Times New Roman;Times;serif" w:hAnsi="Times New Roman;Times;serif"/>
          <w:b/>
          <w:sz w:val="20"/>
        </w:rPr>
        <w:t>Exhibit 31.1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Crystal Landsem, certify that:</w:t>
      </w:r>
    </w:p>
    <w:tbl>
      <w:tblPr>
        <w:tblW w:w="7780" w:type="dxa"/>
        <w:jc w:val="left"/>
        <w:tblInd w:w="0" w:type="dxa"/>
        <w:tblCellMar>
          <w:top w:w="0" w:type="dxa"/>
          <w:left w:w="0" w:type="dxa"/>
          <w:bottom w:w="0" w:type="dxa"/>
          <w:right w:w="0" w:type="dxa"/>
        </w:tblCellMar>
      </w:tblPr>
      <w:tblGrid>
        <w:gridCol w:w="170"/>
        <w:gridCol w:w="7610"/>
      </w:tblGrid>
      <w:tr>
        <w:trPr/>
        <w:tc>
          <w:tcPr>
            <w:tcW w:w="1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761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539" w:type="dxa"/>
        <w:jc w:val="left"/>
        <w:tblInd w:w="0" w:type="dxa"/>
        <w:tblCellMar>
          <w:top w:w="0" w:type="dxa"/>
          <w:left w:w="0" w:type="dxa"/>
          <w:bottom w:w="0" w:type="dxa"/>
          <w:right w:w="0" w:type="dxa"/>
        </w:tblCellMar>
      </w:tblPr>
      <w:tblGrid>
        <w:gridCol w:w="143"/>
        <w:gridCol w:w="10396"/>
      </w:tblGrid>
      <w:tr>
        <w:trPr/>
        <w:tc>
          <w:tcPr>
            <w:tcW w:w="14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2.</w:t>
            </w:r>
          </w:p>
        </w:tc>
        <w:tc>
          <w:tcPr>
            <w:tcW w:w="1039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539" w:type="dxa"/>
        <w:jc w:val="left"/>
        <w:tblInd w:w="0" w:type="dxa"/>
        <w:tblCellMar>
          <w:top w:w="0" w:type="dxa"/>
          <w:left w:w="0" w:type="dxa"/>
          <w:bottom w:w="0" w:type="dxa"/>
          <w:right w:w="0" w:type="dxa"/>
        </w:tblCellMar>
      </w:tblPr>
      <w:tblGrid>
        <w:gridCol w:w="145"/>
        <w:gridCol w:w="10394"/>
      </w:tblGrid>
      <w:tr>
        <w:trPr/>
        <w:tc>
          <w:tcPr>
            <w:tcW w:w="1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3.</w:t>
            </w:r>
          </w:p>
        </w:tc>
        <w:tc>
          <w:tcPr>
            <w:tcW w:w="1039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539" w:type="dxa"/>
        <w:jc w:val="left"/>
        <w:tblInd w:w="0" w:type="dxa"/>
        <w:tblCellMar>
          <w:top w:w="0" w:type="dxa"/>
          <w:left w:w="0" w:type="dxa"/>
          <w:bottom w:w="0" w:type="dxa"/>
          <w:right w:w="0" w:type="dxa"/>
        </w:tblCellMar>
      </w:tblPr>
      <w:tblGrid>
        <w:gridCol w:w="150"/>
        <w:gridCol w:w="10389"/>
      </w:tblGrid>
      <w:tr>
        <w:trPr/>
        <w:tc>
          <w:tcPr>
            <w:tcW w:w="15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4.</w:t>
            </w:r>
          </w:p>
        </w:tc>
        <w:tc>
          <w:tcPr>
            <w:tcW w:w="1038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539" w:type="dxa"/>
        <w:jc w:val="left"/>
        <w:tblInd w:w="0" w:type="dxa"/>
        <w:tblCellMar>
          <w:top w:w="0" w:type="dxa"/>
          <w:left w:w="0" w:type="dxa"/>
          <w:bottom w:w="0" w:type="dxa"/>
          <w:right w:w="0" w:type="dxa"/>
        </w:tblCellMar>
      </w:tblPr>
      <w:tblGrid>
        <w:gridCol w:w="23"/>
        <w:gridCol w:w="189"/>
        <w:gridCol w:w="10327"/>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1032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CellMar>
          <w:top w:w="0" w:type="dxa"/>
          <w:left w:w="0" w:type="dxa"/>
          <w:bottom w:w="0" w:type="dxa"/>
          <w:right w:w="0" w:type="dxa"/>
        </w:tblCellMar>
      </w:tblPr>
      <w:tblGrid>
        <w:gridCol w:w="23"/>
        <w:gridCol w:w="245"/>
        <w:gridCol w:w="86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86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[Omitted];</w:t>
            </w:r>
          </w:p>
        </w:tc>
      </w:tr>
    </w:tbl>
    <w:tbl>
      <w:tblPr>
        <w:tblW w:w="10539" w:type="dxa"/>
        <w:jc w:val="left"/>
        <w:tblInd w:w="0" w:type="dxa"/>
        <w:tblCellMar>
          <w:top w:w="0" w:type="dxa"/>
          <w:left w:w="0" w:type="dxa"/>
          <w:bottom w:w="0" w:type="dxa"/>
          <w:right w:w="0" w:type="dxa"/>
        </w:tblCellMar>
      </w:tblPr>
      <w:tblGrid>
        <w:gridCol w:w="23"/>
        <w:gridCol w:w="196"/>
        <w:gridCol w:w="10320"/>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w:t>
            </w:r>
          </w:p>
        </w:tc>
        <w:tc>
          <w:tcPr>
            <w:tcW w:w="1032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539" w:type="dxa"/>
        <w:jc w:val="left"/>
        <w:tblInd w:w="0" w:type="dxa"/>
        <w:tblCellMar>
          <w:top w:w="0" w:type="dxa"/>
          <w:left w:w="0" w:type="dxa"/>
          <w:bottom w:w="0" w:type="dxa"/>
          <w:right w:w="0" w:type="dxa"/>
        </w:tblCellMar>
      </w:tblPr>
      <w:tblGrid>
        <w:gridCol w:w="23"/>
        <w:gridCol w:w="205"/>
        <w:gridCol w:w="10311"/>
      </w:tblGrid>
      <w:tr>
        <w:trPr/>
        <w:tc>
          <w:tcPr>
            <w:tcW w:w="2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w:t>
            </w:r>
          </w:p>
        </w:tc>
        <w:tc>
          <w:tcPr>
            <w:tcW w:w="1031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539" w:type="dxa"/>
        <w:jc w:val="left"/>
        <w:tblInd w:w="0" w:type="dxa"/>
        <w:tblCellMar>
          <w:top w:w="0" w:type="dxa"/>
          <w:left w:w="0" w:type="dxa"/>
          <w:bottom w:w="0" w:type="dxa"/>
          <w:right w:w="0" w:type="dxa"/>
        </w:tblCellMar>
      </w:tblPr>
      <w:tblGrid>
        <w:gridCol w:w="144"/>
        <w:gridCol w:w="10395"/>
      </w:tblGrid>
      <w:tr>
        <w:trPr/>
        <w:tc>
          <w:tcPr>
            <w:tcW w:w="14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5.</w:t>
            </w:r>
          </w:p>
        </w:tc>
        <w:tc>
          <w:tcPr>
            <w:tcW w:w="1039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539" w:type="dxa"/>
        <w:jc w:val="left"/>
        <w:tblInd w:w="0" w:type="dxa"/>
        <w:tblCellMar>
          <w:top w:w="0" w:type="dxa"/>
          <w:left w:w="0" w:type="dxa"/>
          <w:bottom w:w="0" w:type="dxa"/>
          <w:right w:w="0" w:type="dxa"/>
        </w:tblCellMar>
      </w:tblPr>
      <w:tblGrid>
        <w:gridCol w:w="23"/>
        <w:gridCol w:w="197"/>
        <w:gridCol w:w="10319"/>
      </w:tblGrid>
      <w:tr>
        <w:trPr/>
        <w:tc>
          <w:tcPr>
            <w:tcW w:w="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1031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539" w:type="dxa"/>
        <w:jc w:val="left"/>
        <w:tblInd w:w="0" w:type="dxa"/>
        <w:tblCellMar>
          <w:top w:w="0" w:type="dxa"/>
          <w:left w:w="0" w:type="dxa"/>
          <w:bottom w:w="0" w:type="dxa"/>
          <w:right w:w="0" w:type="dxa"/>
        </w:tblCellMar>
      </w:tblPr>
      <w:tblGrid>
        <w:gridCol w:w="23"/>
        <w:gridCol w:w="229"/>
        <w:gridCol w:w="10287"/>
      </w:tblGrid>
      <w:tr>
        <w:trPr/>
        <w:tc>
          <w:tcPr>
            <w:tcW w:w="2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102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657" w:type="dxa"/>
        <w:jc w:val="center"/>
        <w:tblInd w:w="0" w:type="dxa"/>
        <w:tblCellMar>
          <w:top w:w="0" w:type="dxa"/>
          <w:left w:w="0" w:type="dxa"/>
          <w:bottom w:w="0" w:type="dxa"/>
          <w:right w:w="0" w:type="dxa"/>
        </w:tblCellMar>
      </w:tblPr>
      <w:tblGrid>
        <w:gridCol w:w="1636"/>
        <w:gridCol w:w="109"/>
        <w:gridCol w:w="406"/>
        <w:gridCol w:w="2506"/>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038860" cy="175260"/>
                      <wp:effectExtent l="0" t="0" r="0" b="0"/>
                      <wp:wrapNone/>
                      <wp:docPr id="185" name="Frame184"/>
                      <a:graphic xmlns:a="http://schemas.openxmlformats.org/drawingml/2006/main">
                        <a:graphicData uri="http://schemas.microsoft.com/office/word/2010/wordprocessingShape">
                          <wps:wsp>
                            <wps:cNvSpPr txBox="1"/>
                            <wps:spPr>
                              <a:xfrm>
                                <a:off x="0" y="0"/>
                                <a:ext cx="1038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591310" cy="175260"/>
                      <wp:effectExtent l="0" t="0" r="0" b="0"/>
                      <wp:wrapNone/>
                      <wp:docPr id="187" name="Frame186"/>
                      <a:graphic xmlns:a="http://schemas.openxmlformats.org/drawingml/2006/main">
                        <a:graphicData uri="http://schemas.microsoft.com/office/word/2010/wordprocessingShape">
                          <wps:wsp>
                            <wps:cNvSpPr txBox="1"/>
                            <wps:spPr>
                              <a:xfrm>
                                <a:off x="0" y="0"/>
                                <a:ext cx="1591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9, 2023</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909" w:name="tmb-20230402xex31d2.htm"/>
      <w:bookmarkStart w:id="910" w:name="kstmb20230402xex31d2"/>
      <w:bookmarkEnd w:id="909"/>
      <w:bookmarkEnd w:id="910"/>
      <w:r>
        <w:rPr>
          <w:rFonts w:ascii="Times New Roman;Times;serif" w:hAnsi="Times New Roman;Times;serif"/>
          <w:b/>
          <w:sz w:val="20"/>
        </w:rPr>
        <w:t>Exhibit 31.2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Tiffany R. Smith, certify that:</w:t>
      </w:r>
    </w:p>
    <w:tbl>
      <w:tblPr>
        <w:tblW w:w="7780" w:type="dxa"/>
        <w:jc w:val="left"/>
        <w:tblInd w:w="0" w:type="dxa"/>
        <w:tblCellMar>
          <w:top w:w="0" w:type="dxa"/>
          <w:left w:w="0" w:type="dxa"/>
          <w:bottom w:w="0" w:type="dxa"/>
          <w:right w:w="0" w:type="dxa"/>
        </w:tblCellMar>
      </w:tblPr>
      <w:tblGrid>
        <w:gridCol w:w="170"/>
        <w:gridCol w:w="7610"/>
      </w:tblGrid>
      <w:tr>
        <w:trPr/>
        <w:tc>
          <w:tcPr>
            <w:tcW w:w="1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761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539" w:type="dxa"/>
        <w:jc w:val="left"/>
        <w:tblInd w:w="0" w:type="dxa"/>
        <w:tblCellMar>
          <w:top w:w="0" w:type="dxa"/>
          <w:left w:w="0" w:type="dxa"/>
          <w:bottom w:w="0" w:type="dxa"/>
          <w:right w:w="0" w:type="dxa"/>
        </w:tblCellMar>
      </w:tblPr>
      <w:tblGrid>
        <w:gridCol w:w="143"/>
        <w:gridCol w:w="10396"/>
      </w:tblGrid>
      <w:tr>
        <w:trPr/>
        <w:tc>
          <w:tcPr>
            <w:tcW w:w="14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2.</w:t>
            </w:r>
          </w:p>
        </w:tc>
        <w:tc>
          <w:tcPr>
            <w:tcW w:w="1039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539" w:type="dxa"/>
        <w:jc w:val="left"/>
        <w:tblInd w:w="0" w:type="dxa"/>
        <w:tblCellMar>
          <w:top w:w="0" w:type="dxa"/>
          <w:left w:w="0" w:type="dxa"/>
          <w:bottom w:w="0" w:type="dxa"/>
          <w:right w:w="0" w:type="dxa"/>
        </w:tblCellMar>
      </w:tblPr>
      <w:tblGrid>
        <w:gridCol w:w="145"/>
        <w:gridCol w:w="10394"/>
      </w:tblGrid>
      <w:tr>
        <w:trPr/>
        <w:tc>
          <w:tcPr>
            <w:tcW w:w="1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3.</w:t>
            </w:r>
          </w:p>
        </w:tc>
        <w:tc>
          <w:tcPr>
            <w:tcW w:w="1039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539" w:type="dxa"/>
        <w:jc w:val="left"/>
        <w:tblInd w:w="0" w:type="dxa"/>
        <w:tblCellMar>
          <w:top w:w="0" w:type="dxa"/>
          <w:left w:w="0" w:type="dxa"/>
          <w:bottom w:w="0" w:type="dxa"/>
          <w:right w:w="0" w:type="dxa"/>
        </w:tblCellMar>
      </w:tblPr>
      <w:tblGrid>
        <w:gridCol w:w="150"/>
        <w:gridCol w:w="10389"/>
      </w:tblGrid>
      <w:tr>
        <w:trPr/>
        <w:tc>
          <w:tcPr>
            <w:tcW w:w="15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4.</w:t>
            </w:r>
          </w:p>
        </w:tc>
        <w:tc>
          <w:tcPr>
            <w:tcW w:w="1038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539" w:type="dxa"/>
        <w:jc w:val="left"/>
        <w:tblInd w:w="0" w:type="dxa"/>
        <w:tblCellMar>
          <w:top w:w="0" w:type="dxa"/>
          <w:left w:w="0" w:type="dxa"/>
          <w:bottom w:w="0" w:type="dxa"/>
          <w:right w:w="0" w:type="dxa"/>
        </w:tblCellMar>
      </w:tblPr>
      <w:tblGrid>
        <w:gridCol w:w="23"/>
        <w:gridCol w:w="189"/>
        <w:gridCol w:w="10327"/>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1032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CellMar>
          <w:top w:w="0" w:type="dxa"/>
          <w:left w:w="0" w:type="dxa"/>
          <w:bottom w:w="0" w:type="dxa"/>
          <w:right w:w="0" w:type="dxa"/>
        </w:tblCellMar>
      </w:tblPr>
      <w:tblGrid>
        <w:gridCol w:w="23"/>
        <w:gridCol w:w="245"/>
        <w:gridCol w:w="86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86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[Omitted];</w:t>
            </w:r>
          </w:p>
        </w:tc>
      </w:tr>
    </w:tbl>
    <w:tbl>
      <w:tblPr>
        <w:tblW w:w="10539" w:type="dxa"/>
        <w:jc w:val="left"/>
        <w:tblInd w:w="0" w:type="dxa"/>
        <w:tblCellMar>
          <w:top w:w="0" w:type="dxa"/>
          <w:left w:w="0" w:type="dxa"/>
          <w:bottom w:w="0" w:type="dxa"/>
          <w:right w:w="0" w:type="dxa"/>
        </w:tblCellMar>
      </w:tblPr>
      <w:tblGrid>
        <w:gridCol w:w="23"/>
        <w:gridCol w:w="196"/>
        <w:gridCol w:w="10320"/>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w:t>
            </w:r>
          </w:p>
        </w:tc>
        <w:tc>
          <w:tcPr>
            <w:tcW w:w="1032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539" w:type="dxa"/>
        <w:jc w:val="left"/>
        <w:tblInd w:w="0" w:type="dxa"/>
        <w:tblCellMar>
          <w:top w:w="0" w:type="dxa"/>
          <w:left w:w="0" w:type="dxa"/>
          <w:bottom w:w="0" w:type="dxa"/>
          <w:right w:w="0" w:type="dxa"/>
        </w:tblCellMar>
      </w:tblPr>
      <w:tblGrid>
        <w:gridCol w:w="23"/>
        <w:gridCol w:w="205"/>
        <w:gridCol w:w="10311"/>
      </w:tblGrid>
      <w:tr>
        <w:trPr/>
        <w:tc>
          <w:tcPr>
            <w:tcW w:w="2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w:t>
            </w:r>
          </w:p>
        </w:tc>
        <w:tc>
          <w:tcPr>
            <w:tcW w:w="1031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539" w:type="dxa"/>
        <w:jc w:val="left"/>
        <w:tblInd w:w="0" w:type="dxa"/>
        <w:tblCellMar>
          <w:top w:w="0" w:type="dxa"/>
          <w:left w:w="0" w:type="dxa"/>
          <w:bottom w:w="0" w:type="dxa"/>
          <w:right w:w="0" w:type="dxa"/>
        </w:tblCellMar>
      </w:tblPr>
      <w:tblGrid>
        <w:gridCol w:w="144"/>
        <w:gridCol w:w="10395"/>
      </w:tblGrid>
      <w:tr>
        <w:trPr/>
        <w:tc>
          <w:tcPr>
            <w:tcW w:w="14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5.</w:t>
            </w:r>
          </w:p>
        </w:tc>
        <w:tc>
          <w:tcPr>
            <w:tcW w:w="1039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539" w:type="dxa"/>
        <w:jc w:val="left"/>
        <w:tblInd w:w="0" w:type="dxa"/>
        <w:tblCellMar>
          <w:top w:w="0" w:type="dxa"/>
          <w:left w:w="0" w:type="dxa"/>
          <w:bottom w:w="0" w:type="dxa"/>
          <w:right w:w="0" w:type="dxa"/>
        </w:tblCellMar>
      </w:tblPr>
      <w:tblGrid>
        <w:gridCol w:w="23"/>
        <w:gridCol w:w="197"/>
        <w:gridCol w:w="10319"/>
      </w:tblGrid>
      <w:tr>
        <w:trPr/>
        <w:tc>
          <w:tcPr>
            <w:tcW w:w="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1031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539" w:type="dxa"/>
        <w:jc w:val="left"/>
        <w:tblInd w:w="0" w:type="dxa"/>
        <w:tblCellMar>
          <w:top w:w="0" w:type="dxa"/>
          <w:left w:w="0" w:type="dxa"/>
          <w:bottom w:w="0" w:type="dxa"/>
          <w:right w:w="0" w:type="dxa"/>
        </w:tblCellMar>
      </w:tblPr>
      <w:tblGrid>
        <w:gridCol w:w="23"/>
        <w:gridCol w:w="229"/>
        <w:gridCol w:w="10287"/>
      </w:tblGrid>
      <w:tr>
        <w:trPr/>
        <w:tc>
          <w:tcPr>
            <w:tcW w:w="2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102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022" w:type="dxa"/>
        <w:jc w:val="left"/>
        <w:tblInd w:w="0" w:type="dxa"/>
        <w:tblCellMar>
          <w:top w:w="0" w:type="dxa"/>
          <w:left w:w="0" w:type="dxa"/>
          <w:bottom w:w="0" w:type="dxa"/>
          <w:right w:w="0" w:type="dxa"/>
        </w:tblCellMar>
      </w:tblPr>
      <w:tblGrid>
        <w:gridCol w:w="1636"/>
        <w:gridCol w:w="109"/>
        <w:gridCol w:w="406"/>
        <w:gridCol w:w="3871"/>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038860" cy="175260"/>
                      <wp:effectExtent l="0" t="0" r="0" b="0"/>
                      <wp:wrapNone/>
                      <wp:docPr id="188" name="Frame187"/>
                      <a:graphic xmlns:a="http://schemas.openxmlformats.org/drawingml/2006/main">
                        <a:graphicData uri="http://schemas.microsoft.com/office/word/2010/wordprocessingShape">
                          <wps:wsp>
                            <wps:cNvSpPr txBox="1"/>
                            <wps:spPr>
                              <a:xfrm>
                                <a:off x="0" y="0"/>
                                <a:ext cx="1038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58085" cy="175260"/>
                      <wp:effectExtent l="0" t="0" r="0" b="0"/>
                      <wp:wrapNone/>
                      <wp:docPr id="190" name="Frame189"/>
                      <a:graphic xmlns:a="http://schemas.openxmlformats.org/drawingml/2006/main">
                        <a:graphicData uri="http://schemas.microsoft.com/office/word/2010/wordprocessingShape">
                          <wps:wsp>
                            <wps:cNvSpPr txBox="1"/>
                            <wps:spPr>
                              <a:xfrm>
                                <a:off x="0" y="0"/>
                                <a:ext cx="2458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9, 2023</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87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911" w:name="tmb-20230402xex32d1.htm"/>
      <w:bookmarkStart w:id="912" w:name="kstmb20230402xex32d1"/>
      <w:bookmarkEnd w:id="911"/>
      <w:bookmarkEnd w:id="912"/>
      <w:r>
        <w:rPr>
          <w:rFonts w:ascii="Times New Roman;Times;serif" w:hAnsi="Times New Roman;Times;serif"/>
          <w:b/>
          <w:sz w:val="20"/>
        </w:rPr>
        <w:t>Exhibit 32.1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240"/>
        <w:ind w:left="0" w:right="0" w:firstLine="490"/>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April 2, 2023 as filed with the Securities and Exchange Commission on the date hereof (the “Report”), I certify, pursuant to 18 U.S.C. § 1350, as adopted pursuant to § 906 of the Sarbanes-Oxley Act of 2002, that:</w:t>
      </w:r>
    </w:p>
    <w:tbl>
      <w:tblPr>
        <w:tblW w:w="9828" w:type="dxa"/>
        <w:jc w:val="left"/>
        <w:tblInd w:w="0" w:type="dxa"/>
        <w:tblCellMar>
          <w:top w:w="0" w:type="dxa"/>
          <w:left w:w="0" w:type="dxa"/>
          <w:bottom w:w="0" w:type="dxa"/>
          <w:right w:w="0" w:type="dxa"/>
        </w:tblCellMar>
      </w:tblPr>
      <w:tblGrid>
        <w:gridCol w:w="23"/>
        <w:gridCol w:w="245"/>
        <w:gridCol w:w="956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956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539" w:type="dxa"/>
        <w:jc w:val="left"/>
        <w:tblInd w:w="0" w:type="dxa"/>
        <w:tblCellMar>
          <w:top w:w="0" w:type="dxa"/>
          <w:left w:w="0" w:type="dxa"/>
          <w:bottom w:w="0" w:type="dxa"/>
          <w:right w:w="0" w:type="dxa"/>
        </w:tblCellMar>
      </w:tblPr>
      <w:tblGrid>
        <w:gridCol w:w="23"/>
        <w:gridCol w:w="236"/>
        <w:gridCol w:w="10280"/>
      </w:tblGrid>
      <w:tr>
        <w:trPr/>
        <w:tc>
          <w:tcPr>
            <w:tcW w:w="2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(2)</w:t>
            </w:r>
          </w:p>
        </w:tc>
        <w:tc>
          <w:tcPr>
            <w:tcW w:w="1028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657" w:type="dxa"/>
        <w:jc w:val="center"/>
        <w:tblInd w:w="0" w:type="dxa"/>
        <w:tblCellMar>
          <w:top w:w="0" w:type="dxa"/>
          <w:left w:w="0" w:type="dxa"/>
          <w:bottom w:w="0" w:type="dxa"/>
          <w:right w:w="0" w:type="dxa"/>
        </w:tblCellMar>
      </w:tblPr>
      <w:tblGrid>
        <w:gridCol w:w="1636"/>
        <w:gridCol w:w="109"/>
        <w:gridCol w:w="406"/>
        <w:gridCol w:w="2506"/>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038860" cy="175260"/>
                      <wp:effectExtent l="0" t="0" r="0" b="0"/>
                      <wp:wrapNone/>
                      <wp:docPr id="191" name="Frame190"/>
                      <a:graphic xmlns:a="http://schemas.openxmlformats.org/drawingml/2006/main">
                        <a:graphicData uri="http://schemas.microsoft.com/office/word/2010/wordprocessingShape">
                          <wps:wsp>
                            <wps:cNvSpPr txBox="1"/>
                            <wps:spPr>
                              <a:xfrm>
                                <a:off x="0" y="0"/>
                                <a:ext cx="1038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591310" cy="175260"/>
                      <wp:effectExtent l="0" t="0" r="0" b="0"/>
                      <wp:wrapNone/>
                      <wp:docPr id="193" name="Frame192"/>
                      <a:graphic xmlns:a="http://schemas.openxmlformats.org/drawingml/2006/main">
                        <a:graphicData uri="http://schemas.microsoft.com/office/word/2010/wordprocessingShape">
                          <wps:wsp>
                            <wps:cNvSpPr txBox="1"/>
                            <wps:spPr>
                              <a:xfrm>
                                <a:off x="0" y="0"/>
                                <a:ext cx="1591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9, 2023</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913" w:name="tmb-20230402xex32d2.htm"/>
      <w:bookmarkStart w:id="914" w:name="kstmb20230402xex32d2"/>
      <w:bookmarkEnd w:id="913"/>
      <w:bookmarkEnd w:id="914"/>
      <w:r>
        <w:rPr>
          <w:rFonts w:ascii="Times New Roman;Times;serif" w:hAnsi="Times New Roman;Times;serif"/>
          <w:b/>
          <w:sz w:val="20"/>
        </w:rPr>
        <w:t>Exhibit 32.2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240"/>
        <w:ind w:left="0" w:right="0" w:firstLine="490"/>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April 2, 2023 as filed with the Securities and Exchange Commission on the date hereof (the “Report”), I certify, pursuant to 18 U.S.C. § 1350, as adopted pursuant to § 906 of the Sarbanes-Oxley Act of 2002, that:</w:t>
      </w:r>
    </w:p>
    <w:tbl>
      <w:tblPr>
        <w:tblW w:w="9828" w:type="dxa"/>
        <w:jc w:val="left"/>
        <w:tblInd w:w="0" w:type="dxa"/>
        <w:tblCellMar>
          <w:top w:w="0" w:type="dxa"/>
          <w:left w:w="0" w:type="dxa"/>
          <w:bottom w:w="0" w:type="dxa"/>
          <w:right w:w="0" w:type="dxa"/>
        </w:tblCellMar>
      </w:tblPr>
      <w:tblGrid>
        <w:gridCol w:w="23"/>
        <w:gridCol w:w="245"/>
        <w:gridCol w:w="956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956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539" w:type="dxa"/>
        <w:jc w:val="left"/>
        <w:tblInd w:w="0" w:type="dxa"/>
        <w:tblCellMar>
          <w:top w:w="0" w:type="dxa"/>
          <w:left w:w="0" w:type="dxa"/>
          <w:bottom w:w="0" w:type="dxa"/>
          <w:right w:w="0" w:type="dxa"/>
        </w:tblCellMar>
      </w:tblPr>
      <w:tblGrid>
        <w:gridCol w:w="23"/>
        <w:gridCol w:w="236"/>
        <w:gridCol w:w="10280"/>
      </w:tblGrid>
      <w:tr>
        <w:trPr/>
        <w:tc>
          <w:tcPr>
            <w:tcW w:w="2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(2)</w:t>
            </w:r>
          </w:p>
        </w:tc>
        <w:tc>
          <w:tcPr>
            <w:tcW w:w="1028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022" w:type="dxa"/>
        <w:jc w:val="center"/>
        <w:tblInd w:w="0" w:type="dxa"/>
        <w:tblCellMar>
          <w:top w:w="0" w:type="dxa"/>
          <w:left w:w="0" w:type="dxa"/>
          <w:bottom w:w="0" w:type="dxa"/>
          <w:right w:w="0" w:type="dxa"/>
        </w:tblCellMar>
      </w:tblPr>
      <w:tblGrid>
        <w:gridCol w:w="1636"/>
        <w:gridCol w:w="109"/>
        <w:gridCol w:w="406"/>
        <w:gridCol w:w="3871"/>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038860" cy="175260"/>
                      <wp:effectExtent l="0" t="0" r="0" b="0"/>
                      <wp:wrapNone/>
                      <wp:docPr id="194" name="Frame193"/>
                      <a:graphic xmlns:a="http://schemas.openxmlformats.org/drawingml/2006/main">
                        <a:graphicData uri="http://schemas.microsoft.com/office/word/2010/wordprocessingShape">
                          <wps:wsp>
                            <wps:cNvSpPr txBox="1"/>
                            <wps:spPr>
                              <a:xfrm>
                                <a:off x="0" y="0"/>
                                <a:ext cx="1038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458720" cy="175260"/>
                      <wp:effectExtent l="0" t="0" r="0" b="0"/>
                      <wp:wrapNone/>
                      <wp:docPr id="196" name="Frame195"/>
                      <a:graphic xmlns:a="http://schemas.openxmlformats.org/drawingml/2006/main">
                        <a:graphicData uri="http://schemas.microsoft.com/office/word/2010/wordprocessingShape">
                          <wps:wsp>
                            <wps:cNvSpPr txBox="1"/>
                            <wps:spPr>
                              <a:xfrm>
                                <a:off x="0" y="0"/>
                                <a:ext cx="2458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9, 2023</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87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Symbol">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0201/000110465923021498/tm236633d1_ex10-1.htm" TargetMode="External"/><Relationship Id="rId4" Type="http://schemas.openxmlformats.org/officeDocument/2006/relationships/hyperlink" Target="https://www.sec.gov/Archives/edgar/data/1780201/000110465923028988/tm238619d1_ex10-1.htm" TargetMode="External"/><Relationship Id="rId5" Type="http://schemas.openxmlformats.org/officeDocument/2006/relationships/hyperlink" Target="https://www.sec.gov/Archives/edgar/data/1780201/000110465923028988/tm238619d1_ex10-2.htm" TargetMode="External"/><Relationship Id="rId6" Type="http://schemas.openxmlformats.org/officeDocument/2006/relationships/hyperlink" Target="https://www.sec.gov/Archives/edgar/data/1780201/000110465923030578/tm239030d1_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18895</Words>
  <CharactersWithSpaces>124712</CharactersWithSpaces>
  <Paragraphs>3911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