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447d1_8k.htm"/>
      <w:bookmarkStart w:id="1" w:name="kstm2622447d1_8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7_edei--DocumentType_c2026080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xdx_90D_edei--DocumentPeriodEndDate_c202"/>
      <w:bookmarkEnd w:id="3"/>
      <w:r>
        <w:rPr>
          <w:rFonts w:ascii="Times New Roman;Times;Serif" w:hAnsi="Times New Roman;Times;Serif"/>
          <w:b/>
          <w:i w:val="false"/>
          <w:caps w:val="false"/>
          <w:smallCaps w:val="false"/>
          <w:sz w:val="20"/>
        </w:rPr>
        <w:t>August 5, 2026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31190" cy="2654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1190" cy="26543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Lulu’s Fashion Lounge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0" w:type="dxa"/>
          <w:right w:w="0" w:type="dxa"/>
        </w:tblCellMar>
      </w:tblPr>
      <w:tblGrid>
        <w:gridCol w:w="2360"/>
        <w:gridCol w:w="60"/>
        <w:gridCol w:w="1400"/>
        <w:gridCol w:w="60"/>
        <w:gridCol w:w="2375"/>
      </w:tblGrid>
      <w:tr>
        <w:trPr/>
        <w:tc>
          <w:tcPr>
            <w:tcW w:w="2360" w:type="dxa"/>
            <w:tcBorders/>
            <w:vAlign w:val="center"/>
          </w:tcPr>
          <w:p>
            <w:pPr>
              <w:pStyle w:val="TableContents"/>
              <w:bidi w:val="0"/>
              <w:spacing w:before="0" w:after="283"/>
              <w:jc w:val="center"/>
              <w:rPr>
                <w:rFonts w:ascii="Times New Roman;Times;Serif" w:hAnsi="Times New Roman;Times;Serif"/>
                <w:b/>
                <w:sz w:val="20"/>
              </w:rPr>
            </w:pPr>
            <w:bookmarkStart w:id="5" w:name="xdx_905_edei--EntityIncorporationStateCo"/>
            <w:bookmarkEnd w:id="5"/>
            <w:r>
              <w:rPr>
                <w:rFonts w:ascii="Times New Roman;Times;Serif" w:hAnsi="Times New Roman;Times;Serif"/>
                <w:b/>
                <w:sz w:val="20"/>
              </w:rPr>
              <w:t>Delaware</w:t>
            </w:r>
          </w:p>
        </w:tc>
        <w:tc>
          <w:tcPr>
            <w:tcW w:w="6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rFonts w:ascii="Times New Roman;Times;Serif" w:hAnsi="Times New Roman;Times;Serif"/>
                <w:b/>
                <w:sz w:val="20"/>
              </w:rPr>
            </w:pPr>
            <w:bookmarkStart w:id="6" w:name="xdx_902_edei--EntityFileNumber_c20260805"/>
            <w:bookmarkEnd w:id="6"/>
            <w:r>
              <w:rPr>
                <w:rFonts w:ascii="Times New Roman;Times;Serif" w:hAnsi="Times New Roman;Times;Serif"/>
                <w:b/>
                <w:sz w:val="20"/>
              </w:rPr>
              <w:t>001-41059</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rFonts w:ascii="Times New Roman;Times;Serif" w:hAnsi="Times New Roman;Times;Serif"/>
                <w:b/>
                <w:sz w:val="20"/>
              </w:rPr>
            </w:pPr>
            <w:bookmarkStart w:id="7" w:name="xdx_905_edei--EntityTaxIdentificationNum"/>
            <w:bookmarkEnd w:id="7"/>
            <w:r>
              <w:rPr>
                <w:rFonts w:ascii="Times New Roman;Times;Serif" w:hAnsi="Times New Roman;Times;Serif"/>
                <w:b/>
                <w:sz w:val="20"/>
              </w:rPr>
              <w:t>20-8442468</w:t>
            </w:r>
          </w:p>
        </w:tc>
      </w:tr>
      <w:tr>
        <w:trPr/>
        <w:tc>
          <w:tcPr>
            <w:tcW w:w="23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vAlign w:val="center"/>
          </w:tcPr>
          <w:p>
            <w:pPr>
              <w:pStyle w:val="TableContents"/>
              <w:bidi w:val="0"/>
              <w:spacing w:before="0" w:after="283"/>
              <w:jc w:val="center"/>
              <w:rPr/>
            </w:pPr>
            <w:r>
              <w:rPr/>
              <w:t> </w:t>
            </w:r>
          </w:p>
        </w:tc>
        <w:tc>
          <w:tcPr>
            <w:tcW w:w="1400" w:type="dxa"/>
            <w:tcBorders/>
            <w:vAlign w:val="center"/>
          </w:tcPr>
          <w:p>
            <w:pPr>
              <w:pStyle w:val="TableContents"/>
              <w:bidi w:val="0"/>
              <w:spacing w:before="0" w:after="283"/>
              <w:jc w:val="center"/>
              <w:rPr>
                <w:b/>
              </w:rPr>
            </w:pPr>
            <w:r>
              <w:rPr>
                <w:b/>
              </w:rPr>
              <w:t xml:space="preserve">(Commission </w:t>
              <w:br/>
              <w:t>File Number)</w:t>
            </w:r>
          </w:p>
        </w:tc>
        <w:tc>
          <w:tcPr>
            <w:tcW w:w="60" w:type="dxa"/>
            <w:tcBorders/>
            <w:vAlign w:val="center"/>
          </w:tcPr>
          <w:p>
            <w:pPr>
              <w:pStyle w:val="TableContents"/>
              <w:bidi w:val="0"/>
              <w:spacing w:before="0" w:after="283"/>
              <w:jc w:val="center"/>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495 Ryan Avenue</w:t>
      </w:r>
      <w:r>
        <w:rPr>
          <w:rFonts w:ascii="Times New Roman;Times;Serif" w:hAnsi="Times New Roman;Times;Serif"/>
          <w:b w:val="false"/>
          <w:i w:val="false"/>
          <w:caps w:val="false"/>
          <w:smallCaps w:val="false"/>
          <w:sz w:val="20"/>
        </w:rPr>
        <w:t xml:space="preserve">, </w:t>
      </w:r>
      <w:bookmarkStart w:id="9" w:name="xdx_903_edei--EntityAddressAddressLine2_"/>
      <w:bookmarkEnd w:id="9"/>
      <w:r>
        <w:rPr>
          <w:rFonts w:ascii="Times New Roman;Times;Serif" w:hAnsi="Times New Roman;Times;Serif"/>
          <w:b/>
          <w:i w:val="false"/>
          <w:caps w:val="false"/>
          <w:smallCaps w:val="false"/>
          <w:sz w:val="20"/>
        </w:rPr>
        <w:t>Suite 125</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2_edei--EntityAddressCityOrTown_c2"/>
      <w:bookmarkEnd w:id="10"/>
      <w:r>
        <w:rPr>
          <w:rFonts w:ascii="Times New Roman;Times;Serif" w:hAnsi="Times New Roman;Times;Serif"/>
          <w:b/>
          <w:i w:val="false"/>
          <w:caps w:val="false"/>
          <w:smallCaps w:val="false"/>
          <w:sz w:val="20"/>
        </w:rPr>
        <w:t xml:space="preserve">Chico, </w:t>
      </w:r>
      <w:bookmarkStart w:id="11" w:name="xdx_900_edei--EntityAddressStateOrProvin"/>
      <w:bookmarkEnd w:id="11"/>
      <w:r>
        <w:rPr>
          <w:rFonts w:ascii="Times New Roman;Times;Serif" w:hAnsi="Times New Roman;Times;Serif"/>
          <w:b/>
          <w:i w:val="false"/>
          <w:caps w:val="false"/>
          <w:smallCaps w:val="false"/>
          <w:sz w:val="20"/>
        </w:rPr>
        <w:t xml:space="preserve">California </w:t>
      </w:r>
      <w:bookmarkStart w:id="12" w:name="xdx_901_edei--EntityAddressPostalZipCode"/>
      <w:bookmarkEnd w:id="12"/>
      <w:r>
        <w:rPr>
          <w:rFonts w:ascii="Times New Roman;Times;Serif" w:hAnsi="Times New Roman;Times;Serif"/>
          <w:b/>
          <w:i w:val="false"/>
          <w:caps w:val="false"/>
          <w:smallCaps w:val="false"/>
          <w:sz w:val="20"/>
        </w:rPr>
        <w:t>95973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3" w:name="xdx_903_edei--CityAreaCode_c20260805__20"/>
      <w:bookmarkEnd w:id="13"/>
      <w:r>
        <w:rPr>
          <w:rFonts w:ascii="Times New Roman;Times;Serif" w:hAnsi="Times New Roman;Times;Serif"/>
          <w:b/>
          <w:i w:val="false"/>
          <w:caps w:val="false"/>
          <w:smallCaps w:val="false"/>
          <w:sz w:val="20"/>
        </w:rPr>
        <w:t xml:space="preserve">530) </w:t>
      </w:r>
      <w:bookmarkStart w:id="14" w:name="xdx_909_edei--LocalPhoneNumber_c20260805"/>
      <w:bookmarkEnd w:id="14"/>
      <w:r>
        <w:rPr>
          <w:rFonts w:ascii="Times New Roman;Times;Serif" w:hAnsi="Times New Roman;Times;Serif"/>
          <w:b/>
          <w:i w:val="false"/>
          <w:caps w:val="false"/>
          <w:smallCaps w:val="false"/>
          <w:sz w:val="20"/>
        </w:rPr>
        <w:t>343-3545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B_edei--WrittenCommunications_c202"/>
            <w:bookmarkEnd w:id="15"/>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6" w:name="xdx_90A_edei--SolicitingMaterial_c202608"/>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7" w:name="xdx_90B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8" w:name="xdx_905_edei--PreCommencementIssuerTende"/>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tbl>
      <w:tblPr>
        <w:tblW w:w="7335" w:type="dxa"/>
        <w:jc w:val="left"/>
        <w:tblInd w:w="0" w:type="dxa"/>
        <w:tblLayout w:type="fixed"/>
        <w:tblCellMar>
          <w:top w:w="0" w:type="dxa"/>
          <w:left w:w="0" w:type="dxa"/>
          <w:bottom w:w="0" w:type="dxa"/>
          <w:right w:w="0" w:type="dxa"/>
        </w:tblCellMar>
      </w:tblPr>
      <w:tblGrid>
        <w:gridCol w:w="3680"/>
        <w:gridCol w:w="60"/>
        <w:gridCol w:w="860"/>
        <w:gridCol w:w="60"/>
        <w:gridCol w:w="2675"/>
      </w:tblGrid>
      <w:tr>
        <w:trPr/>
        <w:tc>
          <w:tcPr>
            <w:tcW w:w="7335" w:type="dxa"/>
            <w:gridSpan w:val="5"/>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tc>
      </w:tr>
      <w:tr>
        <w:trPr/>
        <w:tc>
          <w:tcPr>
            <w:tcW w:w="7335" w:type="dxa"/>
            <w:gridSpan w:val="5"/>
            <w:tcBorders/>
            <w:vAlign w:val="center"/>
          </w:tcPr>
          <w:p>
            <w:pPr>
              <w:pStyle w:val="TableContents"/>
              <w:bidi w:val="0"/>
              <w:spacing w:before="0" w:after="283"/>
              <w:jc w:val="center"/>
              <w:rPr/>
            </w:pPr>
            <w:r>
              <w:rPr/>
              <w:t> </w:t>
            </w:r>
          </w:p>
        </w:tc>
      </w:tr>
      <w:tr>
        <w:trPr/>
        <w:tc>
          <w:tcPr>
            <w:tcW w:w="368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Trading </w:t>
              <w:br/>
              <w:t>Symbol(s)</w:t>
            </w:r>
          </w:p>
        </w:tc>
        <w:tc>
          <w:tcPr>
            <w:tcW w:w="60" w:type="dxa"/>
            <w:tcBorders/>
            <w:vAlign w:val="center"/>
          </w:tcPr>
          <w:p>
            <w:pPr>
              <w:pStyle w:val="TableContents"/>
              <w:bidi w:val="0"/>
              <w:spacing w:before="0" w:after="283"/>
              <w:jc w:val="left"/>
              <w:rPr/>
            </w:pPr>
            <w:r>
              <w:rPr/>
              <w:t> </w:t>
            </w:r>
          </w:p>
        </w:tc>
        <w:tc>
          <w:tcPr>
            <w:tcW w:w="26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Name of Each Exchange on </w:t>
              <w:br/>
              <w:t>Which Registered</w:t>
            </w:r>
          </w:p>
        </w:tc>
      </w:tr>
      <w:tr>
        <w:trPr/>
        <w:tc>
          <w:tcPr>
            <w:tcW w:w="3680" w:type="dxa"/>
            <w:tcBorders/>
            <w:vAlign w:val="center"/>
          </w:tcPr>
          <w:p>
            <w:pPr>
              <w:pStyle w:val="TableContents"/>
              <w:bidi w:val="0"/>
              <w:spacing w:before="0" w:after="283"/>
              <w:jc w:val="center"/>
              <w:rPr>
                <w:rFonts w:ascii="Times New Roman;Times;Serif" w:hAnsi="Times New Roman;Times;Serif"/>
                <w:b/>
                <w:sz w:val="20"/>
              </w:rPr>
            </w:pPr>
            <w:bookmarkStart w:id="19" w:name="xdx_904_edei--Security12bTitle_c20260805"/>
            <w:bookmarkEnd w:id="19"/>
            <w:r>
              <w:rPr>
                <w:rFonts w:ascii="Times New Roman;Times;Serif" w:hAnsi="Times New Roman;Times;Serif"/>
                <w:b/>
                <w:sz w:val="20"/>
              </w:rPr>
              <w:t>Common Stock, par value $0.001 per share</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rFonts w:ascii="Times New Roman;Times;Serif" w:hAnsi="Times New Roman;Times;Serif"/>
                <w:b/>
                <w:sz w:val="20"/>
              </w:rPr>
            </w:pPr>
            <w:bookmarkStart w:id="20" w:name="xdx_909_edei--TradingSymbol_c20260805__2"/>
            <w:bookmarkEnd w:id="20"/>
            <w:r>
              <w:rPr>
                <w:rFonts w:ascii="Times New Roman;Times;Serif" w:hAnsi="Times New Roman;Times;Serif"/>
                <w:b/>
                <w:sz w:val="20"/>
              </w:rPr>
              <w:t>LVLU</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283"/>
              <w:jc w:val="center"/>
              <w:rPr>
                <w:rFonts w:ascii="Times New Roman;Times;Serif" w:hAnsi="Times New Roman;Times;Serif"/>
                <w:b/>
                <w:sz w:val="20"/>
              </w:rPr>
            </w:pPr>
            <w:bookmarkStart w:id="21" w:name="xdx_904_edei--SecurityExchangeName_c2026"/>
            <w:bookmarkEnd w:id="21"/>
            <w:r>
              <w:rPr>
                <w:rFonts w:ascii="Times New Roman;Times;Serif" w:hAnsi="Times New Roman;Times;Serif"/>
                <w:b/>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A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F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1040"/>
        <w:gridCol w:w="1445"/>
      </w:tblGrid>
      <w:tr>
        <w:trPr/>
        <w:tc>
          <w:tcPr>
            <w:tcW w:w="1040"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both"/>
              <w:rPr>
                <w:b/>
              </w:rPr>
            </w:pPr>
            <w:r>
              <w:rPr>
                <w:b/>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Lulu’s Fashion Lounge Holdings, Inc. (the “Company”) received a notice (the “Nasdaq Notice”) from The Nasdaq Stock Market LLC (“Nasdaq”) notifying the Company that it had regained compliance with the Nasdaq continued listing requirements by satisfying the alternative market value of listed securities standard of at least $35 million, as set forth in Nasdaq Listing Rule 5550(b)(2) (the “MVLS Standard”).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previously notified on May 21, 2026, that it was not in compliance with the minimum of $2.5 million of stockholders’ equity required for continued listing on the Nasdaq Capital Market, as set forth in Nasdaq Listing Rule 5550(b)(1). At such time, the Company did not meet the alternative compliance standards of either market value of listed securities of $35 million or net income from continuing operations of $500,000 in the most recently completed fiscal year or in two of the last three most recently completed fiscal years. On July 6, 2026, the Company submitted a compliance plan to the Nasdaq Listing Qualifications Staff to address its deficiency with the minimum amount of $2.5 million of stockholders’ equity. On July 31, 2026, the Company sent a letter advising the Nasdaq Listing Qualifications Staff that the Company now satisfies the alternative MVLS Standard. On August 5, 2026, the Company received the Nasdaq Notice notifying the Company that it had regained compliance with the Nasdaq continued listing requirements by satisfying the alternative MVLS Standard for ten consecutive business days from July 22, 2026 to August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155" w:type="dxa"/>
        <w:jc w:val="left"/>
        <w:tblInd w:w="0" w:type="dxa"/>
        <w:tblLayout w:type="fixed"/>
        <w:tblCellMar>
          <w:top w:w="0" w:type="dxa"/>
          <w:left w:w="0" w:type="dxa"/>
          <w:bottom w:w="0" w:type="dxa"/>
          <w:right w:w="0" w:type="dxa"/>
        </w:tblCellMar>
      </w:tblPr>
      <w:tblGrid>
        <w:gridCol w:w="470"/>
        <w:gridCol w:w="1490"/>
        <w:gridCol w:w="320"/>
        <w:gridCol w:w="3875"/>
      </w:tblGrid>
      <w:tr>
        <w:trPr/>
        <w:tc>
          <w:tcPr>
            <w:tcW w:w="47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b/>
              </w:rPr>
            </w:pPr>
            <w:r>
              <w:rPr>
                <w:b/>
              </w:rPr>
              <w:t>Lulu’s Fashion Lounge Holdings, Inc.</w:t>
            </w:r>
          </w:p>
        </w:tc>
      </w:tr>
      <w:tr>
        <w:trPr/>
        <w:tc>
          <w:tcPr>
            <w:tcW w:w="47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490" w:type="dxa"/>
            <w:tcBorders/>
            <w:vAlign w:val="center"/>
          </w:tcPr>
          <w:p>
            <w:pPr>
              <w:pStyle w:val="TableContents"/>
              <w:bidi w:val="0"/>
              <w:spacing w:before="0" w:after="283"/>
              <w:jc w:val="left"/>
              <w:rPr/>
            </w:pPr>
            <w:r>
              <w:rPr/>
              <w:t>August 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875" w:type="dxa"/>
            <w:tcBorders>
              <w:bottom w:val="single" w:sz="8" w:space="0" w:color="000000"/>
            </w:tcBorders>
            <w:tcMar>
              <w:bottom w:w="28" w:type="dxa"/>
            </w:tcMar>
            <w:vAlign w:val="center"/>
          </w:tcPr>
          <w:p>
            <w:pPr>
              <w:pStyle w:val="TableContents"/>
              <w:bidi w:val="0"/>
              <w:spacing w:before="0" w:after="283"/>
              <w:jc w:val="left"/>
              <w:rPr>
                <w:i/>
              </w:rPr>
            </w:pPr>
            <w:r>
              <w:rPr>
                <w:i/>
              </w:rPr>
              <w:t>/s/ Crystal Landsem</w:t>
            </w:r>
          </w:p>
        </w:tc>
      </w:tr>
      <w:tr>
        <w:trPr/>
        <w:tc>
          <w:tcPr>
            <w:tcW w:w="47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Crystal Landsem</w:t>
            </w:r>
          </w:p>
        </w:tc>
      </w:tr>
      <w:tr>
        <w:trPr/>
        <w:tc>
          <w:tcPr>
            <w:tcW w:w="470" w:type="dxa"/>
            <w:tcBorders/>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xml:space="preserve">Chief Executive Officer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609</Words>
  <Characters>3315</Characters>
  <CharactersWithSpaces>3938</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