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orizontalLine"/>
        <w:bidi w:val="0"/>
        <w:jc w:val="left"/>
        <w:rPr/>
      </w:pPr>
      <w:r>
        <w:rPr/>
      </w:r>
      <w:bookmarkStart w:id="0" w:name="ny20064169x3_defa14a.htm"/>
      <w:bookmarkStart w:id="1" w:name="ksny20064169x3_defa14a"/>
      <w:bookmarkStart w:id="2" w:name="ny20064169x3_defa14a.htm"/>
      <w:bookmarkStart w:id="3" w:name="ksny20064169x3_defa14a"/>
      <w:bookmarkEnd w:id="2"/>
      <w:bookmarkEnd w:id="3"/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8"/>
        </w:rPr>
      </w:pPr>
      <w:r>
        <w:rPr>
          <w:rFonts w:ascii="Times New Roman;Times;serif" w:hAnsi="Times New Roman;Times;serif"/>
          <w:b/>
          <w:color w:val="000000"/>
          <w:sz w:val="28"/>
        </w:rPr>
        <w:t>UNITED STATES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8"/>
        </w:rPr>
      </w:pPr>
      <w:r>
        <w:rPr>
          <w:rFonts w:ascii="Times New Roman;Times;serif" w:hAnsi="Times New Roman;Times;serif"/>
          <w:b/>
          <w:color w:val="000000"/>
          <w:sz w:val="28"/>
        </w:rPr>
        <w:t>SECURITIES AND EXCHANGE COMMISSION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4"/>
        </w:rPr>
      </w:pPr>
      <w:r>
        <w:rPr>
          <w:rFonts w:ascii="Times New Roman;Times;serif" w:hAnsi="Times New Roman;Times;serif"/>
          <w:b/>
          <w:color w:val="000000"/>
          <w:sz w:val="24"/>
        </w:rPr>
        <w:t>Washington, DC 20549</w:t>
      </w:r>
    </w:p>
    <w:p>
      <w:pPr>
        <w:pStyle w:val="TextBody"/>
        <w:bidi w:val="0"/>
        <w:spacing w:before="0" w:after="0"/>
        <w:jc w:val="left"/>
        <w:rPr>
          <w:color w:val="000000"/>
        </w:rPr>
      </w:pPr>
      <w:r>
        <w:rPr>
          <w:color w:val="000000"/>
        </w:rPr>
        <w:t xml:space="preserve">  </w:t>
      </w:r>
    </w:p>
    <w:p>
      <w:pPr>
        <w:pStyle w:val="HorizontalLine"/>
        <w:pBdr>
          <w:bottom w:val="single" w:sz="12" w:space="0" w:color="808080"/>
        </w:pBdr>
        <w:bidi w:val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8"/>
        </w:rPr>
      </w:pPr>
      <w:r>
        <w:rPr>
          <w:rFonts w:ascii="Times New Roman;Times;serif" w:hAnsi="Times New Roman;Times;serif"/>
          <w:b/>
          <w:color w:val="000000"/>
          <w:sz w:val="28"/>
        </w:rPr>
        <w:t>SCHEDULE 14A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4"/>
        </w:rPr>
      </w:pPr>
      <w:r>
        <w:rPr>
          <w:rFonts w:ascii="Times New Roman;Times;serif" w:hAnsi="Times New Roman;Times;serif"/>
          <w:b/>
          <w:color w:val="000000"/>
          <w:sz w:val="24"/>
        </w:rPr>
        <w:t>(Rule 14a-101)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>INFORMATION REQUIRED IN PROXY STATEMENT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>SCHEDULE 14A INFORMATION</w:t>
      </w:r>
    </w:p>
    <w:p>
      <w:pPr>
        <w:pStyle w:val="TextBody"/>
        <w:bidi w:val="0"/>
        <w:spacing w:before="0" w:after="0"/>
        <w:jc w:val="center"/>
        <w:rPr>
          <w:b/>
        </w:rPr>
      </w:pPr>
      <w:r>
        <w:rPr>
          <w:b/>
        </w:rPr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>Proxy Statement Pursuant to Section 14(a) of the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>Securities Exchange Act of 1934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>(Amendment No. )</w:t>
      </w:r>
    </w:p>
    <w:p>
      <w:pPr>
        <w:pStyle w:val="TextBody"/>
        <w:bidi w:val="0"/>
        <w:spacing w:before="0" w:after="0"/>
        <w:jc w:val="center"/>
        <w:rPr>
          <w:b/>
        </w:rPr>
      </w:pPr>
      <w:r>
        <w:rPr>
          <w:b/>
        </w:rPr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b/>
        </w:rPr>
      </w:pPr>
      <w:r>
        <w:rPr>
          <w:b/>
        </w:rPr>
      </w:r>
    </w:p>
    <w:p>
      <w:pPr>
        <w:pStyle w:val="TextBody"/>
        <w:bidi w:val="0"/>
        <w:spacing w:before="0" w:after="0"/>
        <w:jc w:val="left"/>
        <w:rPr>
          <w:color w:val="000000"/>
        </w:rPr>
      </w:pPr>
      <w:r>
        <w:rPr>
          <w:color w:val="000000"/>
        </w:rPr>
        <w:t> </w:t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4" w:name="zed99f1896bfc4ae89fb3512de7884461"/>
      <w:bookmarkStart w:id="5" w:name="zed99f1896bfc4ae89fb3512de7884461"/>
      <w:bookmarkEnd w:id="5"/>
    </w:p>
    <w:tbl>
      <w:tblPr>
        <w:tblW w:w="664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35"/>
        <w:gridCol w:w="4205"/>
      </w:tblGrid>
      <w:tr>
        <w:trPr/>
        <w:tc>
          <w:tcPr>
            <w:tcW w:w="243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Filed by the Registrant ☒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​</w:t>
            </w:r>
          </w:p>
        </w:tc>
        <w:tc>
          <w:tcPr>
            <w:tcW w:w="420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Filed by a Party other than the Registrant  ☐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Check the appropriate box:</w:t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6" w:name="z4f3ac2145521472f9ac69d5e4fee0044"/>
      <w:bookmarkStart w:id="7" w:name="z4f3ac2145521472f9ac69d5e4fee0044"/>
      <w:bookmarkEnd w:id="7"/>
    </w:p>
    <w:tbl>
      <w:tblPr>
        <w:tblW w:w="8441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0"/>
        <w:gridCol w:w="23"/>
        <w:gridCol w:w="23"/>
        <w:gridCol w:w="8105"/>
      </w:tblGrid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☐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​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​</w:t>
            </w:r>
          </w:p>
        </w:tc>
        <w:tc>
          <w:tcPr>
            <w:tcW w:w="810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Preliminary Proxy Statement</w:t>
            </w:r>
          </w:p>
        </w:tc>
      </w:tr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 ☐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​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​</w:t>
            </w:r>
          </w:p>
        </w:tc>
        <w:tc>
          <w:tcPr>
            <w:tcW w:w="810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b/>
              </w:rPr>
            </w:pPr>
            <w:r>
              <w:rPr>
                <w:b/>
              </w:rPr>
              <w:t>Confidential, for Use of the Commission Only (as permitted by Rule 14a-6(e)(2))</w:t>
            </w:r>
          </w:p>
        </w:tc>
      </w:tr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☐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​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​</w:t>
            </w:r>
          </w:p>
        </w:tc>
        <w:tc>
          <w:tcPr>
            <w:tcW w:w="810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Definitive Proxy Statement</w:t>
            </w:r>
          </w:p>
        </w:tc>
      </w:tr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 ☒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​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​</w:t>
            </w:r>
          </w:p>
        </w:tc>
        <w:tc>
          <w:tcPr>
            <w:tcW w:w="810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Definitive Additional Materials</w:t>
            </w:r>
          </w:p>
        </w:tc>
      </w:tr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 ☐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​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​</w:t>
            </w:r>
          </w:p>
        </w:tc>
        <w:tc>
          <w:tcPr>
            <w:tcW w:w="810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Soliciting Material under §240.14a-12</w:t>
            </w:r>
          </w:p>
        </w:tc>
      </w:tr>
      <w:tr>
        <w:trPr/>
        <w:tc>
          <w:tcPr>
            <w:tcW w:w="8441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</w:r>
          </w:p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drawing>
                <wp:inline distT="0" distB="0" distL="0" distR="0">
                  <wp:extent cx="2428875" cy="92392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875" cy="923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Lulu’s Fashion Lounge Holdings, Inc.</w:t>
            </w:r>
          </w:p>
        </w:tc>
      </w:tr>
      <w:tr>
        <w:trPr/>
        <w:tc>
          <w:tcPr>
            <w:tcW w:w="8441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(Name of Registrant as Specified in its Charter)</w:t>
            </w:r>
          </w:p>
        </w:tc>
      </w:tr>
      <w:tr>
        <w:trPr/>
        <w:tc>
          <w:tcPr>
            <w:tcW w:w="8441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</w:tc>
      </w:tr>
      <w:tr>
        <w:trPr/>
        <w:tc>
          <w:tcPr>
            <w:tcW w:w="8441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(Name of Person(s) Filing Proxy Statement, if Other Than the Registrant)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Payment of Filing Fee (Check all boxes that apply):</w:t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8" w:name="z5592f69cb9ae4407b0e4f15baf177781"/>
      <w:bookmarkStart w:id="9" w:name="z5592f69cb9ae4407b0e4f15baf177781"/>
      <w:bookmarkEnd w:id="9"/>
    </w:p>
    <w:tbl>
      <w:tblPr>
        <w:tblW w:w="10061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0"/>
        <w:gridCol w:w="23"/>
        <w:gridCol w:w="23"/>
        <w:gridCol w:w="9725"/>
      </w:tblGrid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☒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​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​</w:t>
            </w:r>
          </w:p>
        </w:tc>
        <w:tc>
          <w:tcPr>
            <w:tcW w:w="972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No fee required.</w:t>
            </w:r>
          </w:p>
        </w:tc>
      </w:tr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 ☐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​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​</w:t>
            </w:r>
          </w:p>
        </w:tc>
        <w:tc>
          <w:tcPr>
            <w:tcW w:w="972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Fee paid previously with preliminary materials.</w:t>
            </w:r>
          </w:p>
        </w:tc>
      </w:tr>
      <w:tr>
        <w:trPr/>
        <w:tc>
          <w:tcPr>
            <w:tcW w:w="29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 ☐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​</w:t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​</w:t>
            </w:r>
          </w:p>
        </w:tc>
        <w:tc>
          <w:tcPr>
            <w:tcW w:w="972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Fee computed on table in exhibit required by Item 25(b) per Exchange Act Rules 14a-6(i)(1) and 0-11.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HorizontalLine"/>
        <w:bidi w:val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6667500" cy="8620125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862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6667500" cy="8620125"/>
            <wp:effectExtent l="0" t="0" r="0" b="0"/>
            <wp:docPr id="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862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spacing w:before="0" w:after="283"/>
        <w:jc w:val="center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147</Words>
  <Characters>810</Characters>
  <CharactersWithSpaces>954</CharactersWithSpaces>
  <Paragraphs>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