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51435</wp:posOffset>
            </wp:positionV>
            <wp:extent cx="64979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1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104140</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40"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71" w:lineRule="exact"/>
        <w:rPr>
          <w:sz w:val="24"/>
          <w:szCs w:val="24"/>
          <w:color w:val="auto"/>
        </w:rPr>
      </w:pPr>
    </w:p>
    <w:p>
      <w:pPr>
        <w:ind w:left="3420" w:right="920" w:hanging="3410"/>
        <w:spacing w:after="0" w:line="328" w:lineRule="auto"/>
        <w:tabs>
          <w:tab w:leader="none" w:pos="504"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December 31, 2023</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90" w:lineRule="exact"/>
        <w:rPr>
          <w:sz w:val="24"/>
          <w:szCs w:val="24"/>
          <w:color w:val="auto"/>
        </w:rPr>
      </w:pPr>
    </w:p>
    <w:p>
      <w:pPr>
        <w:ind w:left="520" w:hanging="510"/>
        <w:spacing w:after="0"/>
        <w:tabs>
          <w:tab w:leader="none" w:pos="52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76" w:lineRule="exact"/>
        <w:rPr>
          <w:rFonts w:ascii="MS PGothic" w:cs="MS PGothic" w:eastAsia="MS PGothic" w:hAnsi="MS PGothic"/>
          <w:sz w:val="18"/>
          <w:szCs w:val="18"/>
          <w:color w:val="auto"/>
          <w:highlight w:val="black"/>
        </w:rPr>
      </w:pPr>
    </w:p>
    <w:p>
      <w:pPr>
        <w:ind w:left="210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For the transition period from ___________________ to ___________________</w:t>
      </w:r>
    </w:p>
    <w:p>
      <w:pPr>
        <w:spacing w:after="0" w:line="117" w:lineRule="exact"/>
        <w:rPr>
          <w:rFonts w:ascii="MS PGothic" w:cs="MS PGothic" w:eastAsia="MS PGothic" w:hAnsi="MS PGothic"/>
          <w:sz w:val="18"/>
          <w:szCs w:val="18"/>
          <w:color w:val="auto"/>
          <w:highlight w:val="black"/>
        </w:rPr>
      </w:pPr>
    </w:p>
    <w:p>
      <w:pPr>
        <w:ind w:left="370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Commission File Number: 001-41059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71120</wp:posOffset>
            </wp:positionV>
            <wp:extent cx="64979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1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6"/>
          <w:szCs w:val="36"/>
          <w:b w:val="1"/>
          <w:bCs w:val="1"/>
          <w:color w:val="auto"/>
        </w:rPr>
        <w:t>Lulu’s Fashion Lounge Holdings, Inc.</w:t>
      </w:r>
    </w:p>
    <w:p>
      <w:pPr>
        <w:spacing w:after="0" w:line="5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55880</wp:posOffset>
            </wp:positionV>
            <wp:extent cx="64979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141" w:lineRule="exact"/>
        <w:rPr>
          <w:sz w:val="24"/>
          <w:szCs w:val="24"/>
          <w:color w:val="auto"/>
        </w:rPr>
      </w:pPr>
    </w:p>
    <w:tbl>
      <w:tblPr>
        <w:tblLayout w:type="fixed"/>
        <w:tblInd w:w="1520" w:type="dxa"/>
        <w:tblCellMar>
          <w:top w:w="0" w:type="dxa"/>
          <w:left w:w="0" w:type="dxa"/>
          <w:bottom w:w="0" w:type="dxa"/>
          <w:right w:w="0" w:type="dxa"/>
        </w:tblCellMar>
      </w:tblPr>
      <w:tr>
        <w:trPr>
          <w:trHeight w:val="218"/>
        </w:trPr>
        <w:tc>
          <w:tcPr>
            <w:tcW w:w="3880" w:type="dxa"/>
            <w:vAlign w:val="bottom"/>
          </w:tcPr>
          <w:p>
            <w:pPr>
              <w:jc w:val="center"/>
              <w:ind w:right="1704"/>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20-8442468</w:t>
            </w:r>
          </w:p>
        </w:tc>
      </w:tr>
      <w:tr>
        <w:trPr>
          <w:trHeight w:val="135"/>
        </w:trPr>
        <w:tc>
          <w:tcPr>
            <w:tcW w:w="3880" w:type="dxa"/>
            <w:vAlign w:val="bottom"/>
          </w:tcPr>
          <w:p>
            <w:pPr>
              <w:jc w:val="center"/>
              <w:ind w:right="1704"/>
              <w:spacing w:after="0" w:line="135" w:lineRule="exact"/>
              <w:rPr>
                <w:sz w:val="20"/>
                <w:szCs w:val="20"/>
                <w:color w:val="auto"/>
              </w:rPr>
            </w:pPr>
            <w:r>
              <w:rPr>
                <w:rFonts w:ascii="Times New Roman" w:cs="Times New Roman" w:eastAsia="Times New Roman" w:hAnsi="Times New Roman"/>
                <w:sz w:val="13"/>
                <w:szCs w:val="13"/>
                <w:b w:val="1"/>
                <w:bCs w:val="1"/>
                <w:color w:val="auto"/>
                <w:w w:val="97"/>
              </w:rPr>
              <w:t>(State or other jurisdiction of</w:t>
            </w:r>
          </w:p>
        </w:tc>
        <w:tc>
          <w:tcPr>
            <w:tcW w:w="2780" w:type="dxa"/>
            <w:vAlign w:val="bottom"/>
          </w:tcPr>
          <w:p>
            <w:pPr>
              <w:jc w:val="center"/>
              <w:ind w:left="1706"/>
              <w:spacing w:after="0" w:line="135" w:lineRule="exact"/>
              <w:rPr>
                <w:sz w:val="20"/>
                <w:szCs w:val="20"/>
                <w:color w:val="auto"/>
              </w:rPr>
            </w:pPr>
            <w:r>
              <w:rPr>
                <w:rFonts w:ascii="Times New Roman" w:cs="Times New Roman" w:eastAsia="Times New Roman" w:hAnsi="Times New Roman"/>
                <w:sz w:val="13"/>
                <w:szCs w:val="13"/>
                <w:b w:val="1"/>
                <w:bCs w:val="1"/>
                <w:color w:val="auto"/>
                <w:w w:val="97"/>
              </w:rPr>
              <w:t>(I.R.S. Employer</w:t>
            </w:r>
          </w:p>
        </w:tc>
      </w:tr>
      <w:tr>
        <w:trPr>
          <w:trHeight w:val="133"/>
        </w:trPr>
        <w:tc>
          <w:tcPr>
            <w:tcW w:w="3880" w:type="dxa"/>
            <w:vAlign w:val="bottom"/>
          </w:tcPr>
          <w:p>
            <w:pPr>
              <w:jc w:val="center"/>
              <w:ind w:right="1704"/>
              <w:spacing w:after="0" w:line="133" w:lineRule="exact"/>
              <w:rPr>
                <w:sz w:val="20"/>
                <w:szCs w:val="20"/>
                <w:color w:val="auto"/>
              </w:rPr>
            </w:pPr>
            <w:r>
              <w:rPr>
                <w:rFonts w:ascii="Times New Roman" w:cs="Times New Roman" w:eastAsia="Times New Roman" w:hAnsi="Times New Roman"/>
                <w:sz w:val="13"/>
                <w:szCs w:val="13"/>
                <w:b w:val="1"/>
                <w:bCs w:val="1"/>
                <w:color w:val="auto"/>
                <w:w w:val="97"/>
              </w:rPr>
              <w:t>incorporation or organization)</w:t>
            </w:r>
          </w:p>
        </w:tc>
        <w:tc>
          <w:tcPr>
            <w:tcW w:w="2780" w:type="dxa"/>
            <w:vAlign w:val="bottom"/>
          </w:tcPr>
          <w:p>
            <w:pPr>
              <w:jc w:val="center"/>
              <w:ind w:left="1706"/>
              <w:spacing w:after="0" w:line="133" w:lineRule="exact"/>
              <w:rPr>
                <w:sz w:val="20"/>
                <w:szCs w:val="20"/>
                <w:color w:val="auto"/>
              </w:rPr>
            </w:pPr>
            <w:r>
              <w:rPr>
                <w:rFonts w:ascii="Times New Roman" w:cs="Times New Roman" w:eastAsia="Times New Roman" w:hAnsi="Times New Roman"/>
                <w:sz w:val="13"/>
                <w:szCs w:val="13"/>
                <w:b w:val="1"/>
                <w:bCs w:val="1"/>
                <w:color w:val="auto"/>
                <w:w w:val="98"/>
              </w:rPr>
              <w:t>Identification No.)</w:t>
            </w:r>
          </w:p>
        </w:tc>
      </w:tr>
      <w:tr>
        <w:trPr>
          <w:trHeight w:val="216"/>
        </w:trPr>
        <w:tc>
          <w:tcPr>
            <w:tcW w:w="3880" w:type="dxa"/>
            <w:vAlign w:val="bottom"/>
          </w:tcPr>
          <w:p>
            <w:pPr>
              <w:jc w:val="center"/>
              <w:ind w:right="1704"/>
              <w:spacing w:after="0"/>
              <w:rPr>
                <w:sz w:val="20"/>
                <w:szCs w:val="20"/>
                <w:color w:val="auto"/>
              </w:rPr>
            </w:pPr>
            <w:r>
              <w:rPr>
                <w:rFonts w:ascii="Times New Roman" w:cs="Times New Roman" w:eastAsia="Times New Roman" w:hAnsi="Times New Roman"/>
                <w:sz w:val="18"/>
                <w:szCs w:val="18"/>
                <w:b w:val="1"/>
                <w:bCs w:val="1"/>
                <w:color w:val="auto"/>
                <w:w w:val="98"/>
              </w:rPr>
              <w:t>195 Humboldt Avenue</w:t>
            </w:r>
          </w:p>
        </w:tc>
        <w:tc>
          <w:tcPr>
            <w:tcW w:w="2780" w:type="dxa"/>
            <w:vAlign w:val="bottom"/>
          </w:tcPr>
          <w:p>
            <w:pPr>
              <w:spacing w:after="0"/>
              <w:rPr>
                <w:sz w:val="18"/>
                <w:szCs w:val="18"/>
                <w:color w:val="auto"/>
              </w:rPr>
            </w:pPr>
          </w:p>
        </w:tc>
      </w:tr>
      <w:tr>
        <w:trPr>
          <w:trHeight w:val="218"/>
        </w:trPr>
        <w:tc>
          <w:tcPr>
            <w:tcW w:w="3880" w:type="dxa"/>
            <w:vAlign w:val="bottom"/>
          </w:tcPr>
          <w:p>
            <w:pPr>
              <w:jc w:val="center"/>
              <w:ind w:right="1704"/>
              <w:spacing w:after="0"/>
              <w:rPr>
                <w:sz w:val="20"/>
                <w:szCs w:val="20"/>
                <w:color w:val="auto"/>
              </w:rPr>
            </w:pPr>
            <w:r>
              <w:rPr>
                <w:rFonts w:ascii="Times New Roman" w:cs="Times New Roman" w:eastAsia="Times New Roman" w:hAnsi="Times New Roman"/>
                <w:sz w:val="18"/>
                <w:szCs w:val="18"/>
                <w:b w:val="1"/>
                <w:bCs w:val="1"/>
                <w:color w:val="auto"/>
              </w:rPr>
              <w:t>Chico, California</w:t>
            </w:r>
          </w:p>
        </w:tc>
        <w:tc>
          <w:tcPr>
            <w:tcW w:w="2780" w:type="dxa"/>
            <w:vAlign w:val="bottom"/>
          </w:tcPr>
          <w:p>
            <w:pPr>
              <w:jc w:val="right"/>
              <w:ind w:right="206"/>
              <w:spacing w:after="0"/>
              <w:rPr>
                <w:sz w:val="20"/>
                <w:szCs w:val="20"/>
                <w:color w:val="auto"/>
              </w:rPr>
            </w:pPr>
            <w:r>
              <w:rPr>
                <w:rFonts w:ascii="Times New Roman" w:cs="Times New Roman" w:eastAsia="Times New Roman" w:hAnsi="Times New Roman"/>
                <w:sz w:val="18"/>
                <w:szCs w:val="18"/>
                <w:b w:val="1"/>
                <w:bCs w:val="1"/>
                <w:color w:val="auto"/>
              </w:rPr>
              <w:t>95928</w:t>
            </w:r>
          </w:p>
        </w:tc>
      </w:tr>
      <w:tr>
        <w:trPr>
          <w:trHeight w:val="166"/>
        </w:trPr>
        <w:tc>
          <w:tcPr>
            <w:tcW w:w="3880" w:type="dxa"/>
            <w:vAlign w:val="bottom"/>
          </w:tcPr>
          <w:p>
            <w:pPr>
              <w:jc w:val="center"/>
              <w:ind w:right="1724"/>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2780" w:type="dxa"/>
            <w:vAlign w:val="bottom"/>
          </w:tcPr>
          <w:p>
            <w:pPr>
              <w:jc w:val="center"/>
              <w:ind w:left="1706"/>
              <w:spacing w:after="0"/>
              <w:rPr>
                <w:sz w:val="20"/>
                <w:szCs w:val="20"/>
                <w:color w:val="auto"/>
              </w:rPr>
            </w:pPr>
            <w:r>
              <w:rPr>
                <w:rFonts w:ascii="Times New Roman" w:cs="Times New Roman" w:eastAsia="Times New Roman" w:hAnsi="Times New Roman"/>
                <w:sz w:val="13"/>
                <w:szCs w:val="13"/>
                <w:b w:val="1"/>
                <w:bCs w:val="1"/>
                <w:color w:val="auto"/>
                <w:w w:val="99"/>
              </w:rPr>
              <w:t>(Zip Code)</w:t>
            </w:r>
          </w:p>
        </w:tc>
      </w:tr>
    </w:tbl>
    <w:p>
      <w:pPr>
        <w:spacing w:after="0" w:line="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(530) 343-3545</w:t>
      </w:r>
    </w:p>
    <w:p>
      <w:pPr>
        <w:spacing w:after="0" w:line="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101600</wp:posOffset>
            </wp:positionV>
            <wp:extent cx="64979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8890"/>
                    </a:xfrm>
                    <a:prstGeom prst="rect">
                      <a:avLst/>
                    </a:prstGeom>
                    <a:noFill/>
                  </pic:spPr>
                </pic:pic>
              </a:graphicData>
            </a:graphic>
          </wp:anchor>
        </w:drawing>
      </w:r>
    </w:p>
    <w:p>
      <w:pPr>
        <w:spacing w:after="0" w:line="24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80" w:lineRule="exact"/>
        <w:rPr>
          <w:sz w:val="24"/>
          <w:szCs w:val="24"/>
          <w:color w:val="auto"/>
        </w:rPr>
      </w:pPr>
    </w:p>
    <w:tbl>
      <w:tblPr>
        <w:tblLayout w:type="fixed"/>
        <w:tblInd w:w="10" w:type="dxa"/>
        <w:tblCellMar>
          <w:top w:w="0" w:type="dxa"/>
          <w:left w:w="0" w:type="dxa"/>
          <w:bottom w:w="0" w:type="dxa"/>
          <w:right w:w="0" w:type="dxa"/>
        </w:tblCellMar>
      </w:tblPr>
      <w:tr>
        <w:trPr>
          <w:trHeight w:val="216"/>
        </w:trPr>
        <w:tc>
          <w:tcPr>
            <w:tcW w:w="3500" w:type="dxa"/>
            <w:vAlign w:val="bottom"/>
            <w:tcBorders>
              <w:top w:val="single" w:sz="8" w:color="auto"/>
              <w:left w:val="single" w:sz="8" w:color="auto"/>
              <w:bottom w:val="single" w:sz="8" w:color="auto"/>
            </w:tcBorders>
          </w:tcPr>
          <w:p>
            <w:pPr>
              <w:jc w:val="center"/>
              <w:ind w:left="519"/>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600" w:type="dxa"/>
            <w:vAlign w:val="bottom"/>
            <w:tcBorders>
              <w:top w:val="single" w:sz="8" w:color="auto"/>
              <w:bottom w:val="single" w:sz="8" w:color="auto"/>
              <w:right w:val="single" w:sz="8" w:color="auto"/>
            </w:tcBorders>
          </w:tcPr>
          <w:p>
            <w:pPr>
              <w:spacing w:after="0"/>
              <w:rPr>
                <w:sz w:val="18"/>
                <w:szCs w:val="18"/>
                <w:color w:val="auto"/>
              </w:rPr>
            </w:pPr>
          </w:p>
        </w:tc>
        <w:tc>
          <w:tcPr>
            <w:tcW w:w="20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41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395"/>
        </w:trPr>
        <w:tc>
          <w:tcPr>
            <w:tcW w:w="3500" w:type="dxa"/>
            <w:vAlign w:val="bottom"/>
            <w:tcBorders>
              <w:left w:val="single" w:sz="8" w:color="auto"/>
              <w:bottom w:val="single" w:sz="8" w:color="auto"/>
            </w:tcBorders>
          </w:tcPr>
          <w:p>
            <w:pPr>
              <w:jc w:val="center"/>
              <w:ind w:left="519"/>
              <w:spacing w:after="0"/>
              <w:rPr>
                <w:sz w:val="20"/>
                <w:szCs w:val="20"/>
                <w:color w:val="auto"/>
              </w:rPr>
            </w:pPr>
            <w:r>
              <w:rPr>
                <w:rFonts w:ascii="Times New Roman" w:cs="Times New Roman" w:eastAsia="Times New Roman" w:hAnsi="Times New Roman"/>
                <w:sz w:val="16"/>
                <w:szCs w:val="16"/>
                <w:color w:val="auto"/>
              </w:rPr>
              <w:t>Common stock, $0.001 par value per share</w:t>
            </w:r>
          </w:p>
        </w:tc>
        <w:tc>
          <w:tcPr>
            <w:tcW w:w="600" w:type="dxa"/>
            <w:vAlign w:val="bottom"/>
            <w:tcBorders>
              <w:bottom w:val="single" w:sz="8" w:color="auto"/>
              <w:right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LVLU</w:t>
            </w:r>
          </w:p>
        </w:tc>
        <w:tc>
          <w:tcPr>
            <w:tcW w:w="4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Nasdaq Global Market</w:t>
            </w:r>
          </w:p>
        </w:tc>
      </w:tr>
      <w:tr>
        <w:trPr>
          <w:trHeight w:val="213"/>
        </w:trPr>
        <w:tc>
          <w:tcPr>
            <w:tcW w:w="3500" w:type="dxa"/>
            <w:vAlign w:val="bottom"/>
          </w:tcPr>
          <w:p>
            <w:pPr>
              <w:spacing w:after="0"/>
              <w:rPr>
                <w:sz w:val="18"/>
                <w:szCs w:val="18"/>
                <w:color w:val="auto"/>
              </w:rPr>
            </w:pPr>
          </w:p>
        </w:tc>
        <w:tc>
          <w:tcPr>
            <w:tcW w:w="6740" w:type="dxa"/>
            <w:vAlign w:val="bottom"/>
            <w:gridSpan w:val="3"/>
          </w:tcPr>
          <w:p>
            <w:pPr>
              <w:jc w:val="center"/>
              <w:ind w:right="3419"/>
              <w:spacing w:after="0"/>
              <w:rPr>
                <w:sz w:val="20"/>
                <w:szCs w:val="20"/>
                <w:color w:val="auto"/>
              </w:rPr>
            </w:pPr>
            <w:r>
              <w:rPr>
                <w:rFonts w:ascii="Times New Roman" w:cs="Times New Roman" w:eastAsia="Times New Roman" w:hAnsi="Times New Roman"/>
                <w:sz w:val="13"/>
                <w:szCs w:val="13"/>
                <w:color w:val="auto"/>
              </w:rPr>
              <w:t>Securities registered pursuant to Section 12(g) of the Act:</w:t>
            </w:r>
          </w:p>
        </w:tc>
      </w:tr>
      <w:tr>
        <w:trPr>
          <w:trHeight w:val="174"/>
        </w:trPr>
        <w:tc>
          <w:tcPr>
            <w:tcW w:w="35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None.</w:t>
            </w:r>
          </w:p>
        </w:tc>
        <w:tc>
          <w:tcPr>
            <w:tcW w:w="4100" w:type="dxa"/>
            <w:vAlign w:val="bottom"/>
          </w:tcPr>
          <w:p>
            <w:pPr>
              <w:spacing w:after="0"/>
              <w:rPr>
                <w:sz w:val="15"/>
                <w:szCs w:val="15"/>
                <w:color w:val="auto"/>
              </w:rPr>
            </w:pPr>
          </w:p>
        </w:tc>
      </w:tr>
    </w:tbl>
    <w:p>
      <w:pPr>
        <w:spacing w:after="0" w:line="92" w:lineRule="exact"/>
        <w:rPr>
          <w:sz w:val="24"/>
          <w:szCs w:val="24"/>
          <w:color w:val="auto"/>
        </w:rPr>
      </w:pPr>
    </w:p>
    <w:p>
      <w:pPr>
        <w:ind w:left="20" w:right="2880"/>
        <w:spacing w:after="0" w:line="171" w:lineRule="exact"/>
        <w:rPr>
          <w:sz w:val="20"/>
          <w:szCs w:val="20"/>
          <w:color w:val="auto"/>
        </w:rPr>
      </w:pPr>
      <w:r>
        <w:rPr>
          <w:rFonts w:ascii="Times New Roman" w:cs="Times New Roman" w:eastAsia="Times New Roman" w:hAnsi="Times New Roman"/>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Indicate by check mark if the registrant is not required to file reports pursuant to Section 13 or Section 15(d) of the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 w:lineRule="exact"/>
        <w:rPr>
          <w:sz w:val="24"/>
          <w:szCs w:val="24"/>
          <w:color w:val="auto"/>
        </w:rPr>
      </w:pPr>
    </w:p>
    <w:p>
      <w:pPr>
        <w:ind w:left="20" w:right="20"/>
        <w:spacing w:after="0" w:line="149"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 w:lineRule="exact"/>
        <w:rPr>
          <w:sz w:val="24"/>
          <w:szCs w:val="24"/>
          <w:color w:val="auto"/>
        </w:rPr>
      </w:pPr>
    </w:p>
    <w:p>
      <w:pPr>
        <w:ind w:left="20" w:right="220"/>
        <w:spacing w:after="0" w:line="149"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 w:lineRule="exact"/>
        <w:rPr>
          <w:sz w:val="24"/>
          <w:szCs w:val="24"/>
          <w:color w:val="auto"/>
        </w:rPr>
      </w:pPr>
    </w:p>
    <w:p>
      <w:pPr>
        <w:ind w:left="20" w:right="80"/>
        <w:spacing w:after="0" w:line="255"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 w:lineRule="exact"/>
        <w:rPr>
          <w:sz w:val="24"/>
          <w:szCs w:val="24"/>
          <w:color w:val="auto"/>
        </w:rPr>
      </w:pPr>
    </w:p>
    <w:tbl>
      <w:tblPr>
        <w:tblLayout w:type="fixed"/>
        <w:tblInd w:w="20" w:type="dxa"/>
        <w:tblCellMar>
          <w:top w:w="0" w:type="dxa"/>
          <w:left w:w="0" w:type="dxa"/>
          <w:bottom w:w="0" w:type="dxa"/>
          <w:right w:w="0" w:type="dxa"/>
        </w:tblCellMar>
      </w:tblPr>
      <w:tr>
        <w:trPr>
          <w:trHeight w:val="165"/>
        </w:trPr>
        <w:tc>
          <w:tcPr>
            <w:tcW w:w="202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2540" w:type="dxa"/>
            <w:vAlign w:val="bottom"/>
          </w:tcPr>
          <w:p>
            <w:pPr>
              <w:ind w:left="800"/>
              <w:spacing w:after="0" w:line="131" w:lineRule="exact"/>
              <w:rPr>
                <w:sz w:val="20"/>
                <w:szCs w:val="20"/>
                <w:color w:val="auto"/>
              </w:rPr>
            </w:pPr>
            <w:r>
              <w:rPr>
                <w:rFonts w:ascii="MS PGothic" w:cs="MS PGothic" w:eastAsia="MS PGothic" w:hAnsi="MS PGothic"/>
                <w:sz w:val="13"/>
                <w:szCs w:val="13"/>
                <w:color w:val="auto"/>
              </w:rPr>
              <w:t>☐</w:t>
            </w:r>
          </w:p>
        </w:tc>
        <w:tc>
          <w:tcPr>
            <w:tcW w:w="4040" w:type="dxa"/>
            <w:vAlign w:val="bottom"/>
          </w:tcPr>
          <w:p>
            <w:pPr>
              <w:ind w:left="1620"/>
              <w:spacing w:after="0"/>
              <w:rPr>
                <w:sz w:val="20"/>
                <w:szCs w:val="20"/>
                <w:color w:val="auto"/>
              </w:rPr>
            </w:pPr>
            <w:r>
              <w:rPr>
                <w:rFonts w:ascii="Times New Roman" w:cs="Times New Roman" w:eastAsia="Times New Roman" w:hAnsi="Times New Roman"/>
                <w:sz w:val="13"/>
                <w:szCs w:val="13"/>
                <w:color w:val="auto"/>
              </w:rPr>
              <w:t>Accelerated filer</w:t>
            </w:r>
          </w:p>
        </w:tc>
        <w:tc>
          <w:tcPr>
            <w:tcW w:w="1080" w:type="dxa"/>
            <w:vAlign w:val="bottom"/>
          </w:tcPr>
          <w:p>
            <w:pPr>
              <w:ind w:left="96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149"/>
        </w:trPr>
        <w:tc>
          <w:tcPr>
            <w:tcW w:w="202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2540" w:type="dxa"/>
            <w:vAlign w:val="bottom"/>
          </w:tcPr>
          <w:p>
            <w:pPr>
              <w:ind w:left="800"/>
              <w:spacing w:after="0" w:line="131" w:lineRule="exact"/>
              <w:rPr>
                <w:sz w:val="20"/>
                <w:szCs w:val="20"/>
                <w:color w:val="auto"/>
              </w:rPr>
            </w:pPr>
            <w:r>
              <w:rPr>
                <w:rFonts w:ascii="MS PGothic" w:cs="MS PGothic" w:eastAsia="MS PGothic" w:hAnsi="MS PGothic"/>
                <w:sz w:val="13"/>
                <w:szCs w:val="13"/>
                <w:color w:val="auto"/>
              </w:rPr>
              <w:t>☒</w:t>
            </w:r>
          </w:p>
        </w:tc>
        <w:tc>
          <w:tcPr>
            <w:tcW w:w="4040" w:type="dxa"/>
            <w:vAlign w:val="bottom"/>
          </w:tcPr>
          <w:p>
            <w:pPr>
              <w:ind w:left="162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1080" w:type="dxa"/>
            <w:vAlign w:val="bottom"/>
          </w:tcPr>
          <w:p>
            <w:pPr>
              <w:ind w:left="96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27"/>
        </w:trPr>
        <w:tc>
          <w:tcPr>
            <w:tcW w:w="20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4040" w:type="dxa"/>
            <w:vAlign w:val="bottom"/>
          </w:tcPr>
          <w:p>
            <w:pPr>
              <w:ind w:left="1620"/>
              <w:spacing w:after="0"/>
              <w:rPr>
                <w:sz w:val="20"/>
                <w:szCs w:val="20"/>
                <w:color w:val="auto"/>
              </w:rPr>
            </w:pPr>
            <w:r>
              <w:rPr>
                <w:rFonts w:ascii="Times New Roman" w:cs="Times New Roman" w:eastAsia="Times New Roman" w:hAnsi="Times New Roman"/>
                <w:sz w:val="13"/>
                <w:szCs w:val="13"/>
                <w:color w:val="auto"/>
              </w:rPr>
              <w:t>Emerging growth company</w:t>
            </w:r>
          </w:p>
        </w:tc>
        <w:tc>
          <w:tcPr>
            <w:tcW w:w="1080" w:type="dxa"/>
            <w:vAlign w:val="bottom"/>
          </w:tcPr>
          <w:p>
            <w:pPr>
              <w:ind w:left="960"/>
              <w:spacing w:after="0" w:line="131" w:lineRule="exact"/>
              <w:rPr>
                <w:sz w:val="20"/>
                <w:szCs w:val="20"/>
                <w:color w:val="auto"/>
              </w:rPr>
            </w:pPr>
            <w:r>
              <w:rPr>
                <w:rFonts w:ascii="MS PGothic" w:cs="MS PGothic" w:eastAsia="MS PGothic" w:hAnsi="MS PGothic"/>
                <w:sz w:val="13"/>
                <w:szCs w:val="13"/>
                <w:color w:val="auto"/>
                <w:w w:val="76"/>
              </w:rPr>
              <w:t>☒</w:t>
            </w:r>
          </w:p>
        </w:tc>
      </w:tr>
    </w:tbl>
    <w:p>
      <w:pPr>
        <w:spacing w:after="0" w:line="151" w:lineRule="exact"/>
        <w:rPr>
          <w:sz w:val="24"/>
          <w:szCs w:val="24"/>
          <w:color w:val="auto"/>
        </w:rPr>
      </w:pPr>
    </w:p>
    <w:p>
      <w:pPr>
        <w:ind w:left="20" w:right="200"/>
        <w:spacing w:after="0" w:line="156"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1" w:lineRule="exact"/>
        <w:rPr>
          <w:sz w:val="24"/>
          <w:szCs w:val="24"/>
          <w:color w:val="auto"/>
        </w:rPr>
      </w:pPr>
    </w:p>
    <w:p>
      <w:pPr>
        <w:ind w:left="20" w:right="160"/>
        <w:spacing w:after="0" w:line="149"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(15-U.S.C. 7262(b)) by the registered public accounting firm that prepared or issued its audit report. </w:t>
      </w:r>
      <w:r>
        <w:rPr>
          <w:rFonts w:ascii="MS PGothic" w:cs="MS PGothic" w:eastAsia="MS PGothic" w:hAnsi="MS PGothic"/>
          <w:sz w:val="13"/>
          <w:szCs w:val="13"/>
          <w:color w:val="auto"/>
        </w:rPr>
        <w:t>☐</w:t>
      </w:r>
    </w:p>
    <w:p>
      <w:pPr>
        <w:spacing w:after="0" w:line="1" w:lineRule="exact"/>
        <w:rPr>
          <w:sz w:val="24"/>
          <w:szCs w:val="24"/>
          <w:color w:val="auto"/>
        </w:rPr>
      </w:pPr>
    </w:p>
    <w:p>
      <w:pPr>
        <w:ind w:left="20" w:right="220"/>
        <w:spacing w:after="0" w:line="149" w:lineRule="exact"/>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spacing w:after="0" w:line="1" w:lineRule="exact"/>
        <w:rPr>
          <w:sz w:val="24"/>
          <w:szCs w:val="24"/>
          <w:color w:val="auto"/>
        </w:rPr>
      </w:pPr>
    </w:p>
    <w:p>
      <w:pPr>
        <w:ind w:left="20" w:right="480"/>
        <w:spacing w:after="0" w:line="146" w:lineRule="exact"/>
        <w:rPr>
          <w:sz w:val="20"/>
          <w:szCs w:val="20"/>
          <w:color w:val="auto"/>
        </w:rPr>
      </w:pPr>
      <w:r>
        <w:rPr>
          <w:rFonts w:ascii="Times New Roman" w:cs="Times New Roman" w:eastAsia="Times New Roman" w:hAnsi="Times New Roman"/>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3"/>
          <w:szCs w:val="13"/>
          <w:color w:val="auto"/>
        </w:rPr>
        <w:t>☐</w:t>
      </w:r>
    </w:p>
    <w:p>
      <w:pPr>
        <w:spacing w:after="0" w:line="1" w:lineRule="exact"/>
        <w:rPr>
          <w:sz w:val="24"/>
          <w:szCs w:val="24"/>
          <w:color w:val="auto"/>
        </w:rPr>
      </w:pPr>
    </w:p>
    <w:p>
      <w:pPr>
        <w:ind w:left="20"/>
        <w:spacing w:after="0" w:line="150"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4" w:lineRule="exact"/>
        <w:rPr>
          <w:sz w:val="24"/>
          <w:szCs w:val="24"/>
          <w:color w:val="auto"/>
        </w:rPr>
      </w:pPr>
    </w:p>
    <w:p>
      <w:pPr>
        <w:ind w:left="20" w:right="420"/>
        <w:spacing w:after="0" w:line="232" w:lineRule="auto"/>
        <w:rPr>
          <w:sz w:val="20"/>
          <w:szCs w:val="20"/>
          <w:color w:val="auto"/>
        </w:rPr>
      </w:pPr>
      <w:r>
        <w:rPr>
          <w:rFonts w:ascii="Times New Roman" w:cs="Times New Roman" w:eastAsia="Times New Roman" w:hAnsi="Times New Roman"/>
          <w:sz w:val="13"/>
          <w:szCs w:val="13"/>
          <w:color w:val="auto"/>
        </w:rPr>
        <w:t>At July 2, 2023, the last business day of the registrant’s most recently completed second fiscal quarter, the aggregate market value of the common stock of the registrant held by non-affiliates was approximately $23.6 million based on the closing price of the common stock on such date.</w:t>
      </w:r>
    </w:p>
    <w:p>
      <w:pPr>
        <w:ind w:left="20"/>
        <w:spacing w:after="0"/>
        <w:rPr>
          <w:sz w:val="20"/>
          <w:szCs w:val="20"/>
          <w:color w:val="auto"/>
        </w:rPr>
      </w:pPr>
      <w:r>
        <w:rPr>
          <w:rFonts w:ascii="Times New Roman" w:cs="Times New Roman" w:eastAsia="Times New Roman" w:hAnsi="Times New Roman"/>
          <w:sz w:val="13"/>
          <w:szCs w:val="13"/>
          <w:color w:val="auto"/>
        </w:rPr>
        <w:t>The number of shares of registrant’s common stock outstanding as of March 1, 2024, was 40,877,994</w:t>
      </w:r>
      <w:r>
        <w:rPr>
          <w:rFonts w:ascii="Times New Roman" w:cs="Times New Roman" w:eastAsia="Times New Roman" w:hAnsi="Times New Roman"/>
          <w:sz w:val="14"/>
          <w:szCs w:val="14"/>
          <w:color w:val="auto"/>
        </w:rPr>
        <w:t>.</w:t>
      </w:r>
    </w:p>
    <w:p>
      <w:pPr>
        <w:spacing w:after="0" w:line="31" w:lineRule="exact"/>
        <w:rPr>
          <w:sz w:val="24"/>
          <w:szCs w:val="24"/>
          <w:color w:val="auto"/>
        </w:rPr>
      </w:pPr>
    </w:p>
    <w:p>
      <w:pPr>
        <w:ind w:left="3580"/>
        <w:spacing w:after="0"/>
        <w:rPr>
          <w:sz w:val="20"/>
          <w:szCs w:val="20"/>
          <w:color w:val="auto"/>
        </w:rPr>
      </w:pPr>
      <w:r>
        <w:rPr>
          <w:rFonts w:ascii="Times New Roman" w:cs="Times New Roman" w:eastAsia="Times New Roman" w:hAnsi="Times New Roman"/>
          <w:sz w:val="13"/>
          <w:szCs w:val="13"/>
          <w:b w:val="1"/>
          <w:bCs w:val="1"/>
          <w:color w:val="auto"/>
        </w:rPr>
        <w:t>DOCUMENTS INCORPORATED BY REFERENCE</w:t>
      </w:r>
    </w:p>
    <w:p>
      <w:pPr>
        <w:spacing w:after="0" w:line="30" w:lineRule="exact"/>
        <w:rPr>
          <w:sz w:val="24"/>
          <w:szCs w:val="24"/>
          <w:color w:val="auto"/>
        </w:rPr>
      </w:pPr>
    </w:p>
    <w:p>
      <w:pPr>
        <w:ind w:left="20" w:right="200"/>
        <w:spacing w:after="0" w:line="321" w:lineRule="auto"/>
        <w:rPr>
          <w:sz w:val="20"/>
          <w:szCs w:val="20"/>
          <w:color w:val="auto"/>
        </w:rPr>
      </w:pPr>
      <w:r>
        <w:rPr>
          <w:rFonts w:ascii="Times New Roman" w:cs="Times New Roman" w:eastAsia="Times New Roman" w:hAnsi="Times New Roman"/>
          <w:sz w:val="13"/>
          <w:szCs w:val="13"/>
          <w:color w:val="auto"/>
        </w:rPr>
        <w:t>Portions of the registrant’s definitive Proxy Statement, relating to its 2024 Annual Meeting of Stockholders to be filed with the Securities and Exchange Commission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320040</wp:posOffset>
            </wp:positionV>
            <wp:extent cx="649795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20" w:top="661" w:right="8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9400" w:type="dxa"/>
            <w:vAlign w:val="bottom"/>
            <w:gridSpan w:val="31"/>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7"/>
        </w:trPr>
        <w:tc>
          <w:tcPr>
            <w:tcW w:w="1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480" w:type="dxa"/>
            <w:vAlign w:val="bottom"/>
            <w:gridSpan w:val="11"/>
          </w:tcPr>
          <w:p>
            <w:pPr>
              <w:ind w:left="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4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0000EE"/>
                <w:w w:val="96"/>
              </w:rPr>
              <w:t>Part I</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74"/>
        </w:trPr>
        <w:tc>
          <w:tcPr>
            <w:tcW w:w="460" w:type="dxa"/>
            <w:vAlign w:val="bottom"/>
            <w:tcBorders>
              <w:bottom w:val="single" w:sz="8" w:color="0000EE"/>
            </w:tcBorders>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4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0000EE"/>
                <w:w w:val="90"/>
              </w:rPr>
              <w:t>Item</w:t>
            </w:r>
          </w:p>
        </w:tc>
        <w:tc>
          <w:tcPr>
            <w:tcW w:w="180" w:type="dxa"/>
            <w:vAlign w:val="bottom"/>
          </w:tcPr>
          <w:p>
            <w:pPr>
              <w:ind w:left="40"/>
              <w:spacing w:after="0"/>
              <w:rPr>
                <w:sz w:val="20"/>
                <w:szCs w:val="20"/>
                <w:color w:val="auto"/>
              </w:rPr>
            </w:pPr>
            <w:r>
              <w:rPr>
                <w:rFonts w:ascii="Times New Roman" w:cs="Times New Roman" w:eastAsia="Times New Roman" w:hAnsi="Times New Roman"/>
                <w:sz w:val="18"/>
                <w:szCs w:val="18"/>
                <w:color w:val="0000EE"/>
                <w:w w:val="88"/>
              </w:rPr>
              <w:t>1.</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34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Business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0000EE"/>
                <w:w w:val="90"/>
              </w:rPr>
              <w:t>Item</w:t>
            </w:r>
          </w:p>
        </w:tc>
        <w:tc>
          <w:tcPr>
            <w:tcW w:w="3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EE"/>
                <w:w w:val="82"/>
              </w:rPr>
              <w:t>1A.</w:t>
            </w:r>
          </w:p>
        </w:tc>
        <w:tc>
          <w:tcPr>
            <w:tcW w:w="300" w:type="dxa"/>
            <w:vAlign w:val="bottom"/>
          </w:tcPr>
          <w:p>
            <w:pPr>
              <w:spacing w:after="0"/>
              <w:rPr>
                <w:sz w:val="18"/>
                <w:szCs w:val="18"/>
                <w:color w:val="auto"/>
              </w:rPr>
            </w:pPr>
          </w:p>
        </w:tc>
        <w:tc>
          <w:tcPr>
            <w:tcW w:w="834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0000EE"/>
                <w:w w:val="90"/>
              </w:rPr>
              <w:t>Item</w:t>
            </w:r>
          </w:p>
        </w:tc>
        <w:tc>
          <w:tcPr>
            <w:tcW w:w="3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EE"/>
                <w:w w:val="86"/>
              </w:rPr>
              <w:t>1B.</w:t>
            </w:r>
          </w:p>
        </w:tc>
        <w:tc>
          <w:tcPr>
            <w:tcW w:w="300" w:type="dxa"/>
            <w:vAlign w:val="bottom"/>
          </w:tcPr>
          <w:p>
            <w:pPr>
              <w:spacing w:after="0"/>
              <w:rPr>
                <w:sz w:val="18"/>
                <w:szCs w:val="18"/>
                <w:color w:val="auto"/>
              </w:rPr>
            </w:pPr>
          </w:p>
        </w:tc>
        <w:tc>
          <w:tcPr>
            <w:tcW w:w="834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Unresolved Staff Comments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0000EE"/>
                <w:w w:val="90"/>
              </w:rPr>
              <w:t>Item</w:t>
            </w:r>
          </w:p>
        </w:tc>
        <w:tc>
          <w:tcPr>
            <w:tcW w:w="60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0000EE"/>
              </w:rPr>
              <w:t>1C</w:t>
            </w:r>
            <w:r>
              <w:rPr>
                <w:rFonts w:ascii="Times New Roman" w:cs="Times New Roman" w:eastAsia="Times New Roman" w:hAnsi="Times New Roman"/>
                <w:sz w:val="18"/>
                <w:szCs w:val="18"/>
                <w:color w:val="000000"/>
              </w:rPr>
              <w:t>.</w:t>
            </w:r>
          </w:p>
        </w:tc>
        <w:tc>
          <w:tcPr>
            <w:tcW w:w="834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Cybersecurity</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10"/>
        </w:trPr>
        <w:tc>
          <w:tcPr>
            <w:tcW w:w="140" w:type="dxa"/>
            <w:vAlign w:val="bottom"/>
          </w:tcPr>
          <w:p>
            <w:pPr>
              <w:spacing w:after="0"/>
              <w:rPr>
                <w:sz w:val="18"/>
                <w:szCs w:val="18"/>
                <w:color w:val="auto"/>
              </w:rPr>
            </w:pPr>
          </w:p>
        </w:tc>
        <w:tc>
          <w:tcPr>
            <w:tcW w:w="32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0"/>
              </w:rPr>
              <w:t>Item</w:t>
            </w:r>
          </w:p>
        </w:tc>
        <w:tc>
          <w:tcPr>
            <w:tcW w:w="180" w:type="dxa"/>
            <w:vAlign w:val="bottom"/>
            <w:tcBorders>
              <w:top w:val="single" w:sz="8" w:color="0000EE"/>
              <w:bottom w:val="single" w:sz="8" w:color="0000EE"/>
            </w:tcBorders>
          </w:tcPr>
          <w:p>
            <w:pPr>
              <w:ind w:left="40"/>
              <w:spacing w:after="0"/>
              <w:rPr>
                <w:sz w:val="20"/>
                <w:szCs w:val="20"/>
                <w:color w:val="auto"/>
              </w:rPr>
            </w:pPr>
            <w:r>
              <w:rPr>
                <w:rFonts w:ascii="Times New Roman" w:cs="Times New Roman" w:eastAsia="Times New Roman" w:hAnsi="Times New Roman"/>
                <w:sz w:val="18"/>
                <w:szCs w:val="18"/>
                <w:color w:val="0000EE"/>
                <w:w w:val="88"/>
              </w:rPr>
              <w:t>2.</w:t>
            </w: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Borders>
              <w:top w:val="single" w:sz="8" w:color="0000EE"/>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8"/>
              </w:rPr>
              <w:t>Properties</w:t>
            </w:r>
          </w:p>
        </w:tc>
        <w:tc>
          <w:tcPr>
            <w:tcW w:w="260" w:type="dxa"/>
            <w:vAlign w:val="bottom"/>
            <w:tcBorders>
              <w:top w:val="single" w:sz="8" w:color="0000EE"/>
            </w:tcBorders>
            <w:gridSpan w:val="2"/>
          </w:tcPr>
          <w:p>
            <w:pPr>
              <w:spacing w:after="0"/>
              <w:rPr>
                <w:sz w:val="18"/>
                <w:szCs w:val="18"/>
                <w:color w:val="auto"/>
              </w:rPr>
            </w:pPr>
          </w:p>
        </w:tc>
        <w:tc>
          <w:tcPr>
            <w:tcW w:w="7320" w:type="dxa"/>
            <w:vAlign w:val="bottom"/>
            <w:gridSpan w:val="18"/>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09"/>
        </w:trPr>
        <w:tc>
          <w:tcPr>
            <w:tcW w:w="140" w:type="dxa"/>
            <w:vAlign w:val="bottom"/>
          </w:tcPr>
          <w:p>
            <w:pPr>
              <w:spacing w:after="0"/>
              <w:rPr>
                <w:sz w:val="18"/>
                <w:szCs w:val="18"/>
                <w:color w:val="auto"/>
              </w:rPr>
            </w:pPr>
          </w:p>
        </w:tc>
        <w:tc>
          <w:tcPr>
            <w:tcW w:w="3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0"/>
              </w:rPr>
              <w:t>Item</w:t>
            </w:r>
          </w:p>
        </w:tc>
        <w:tc>
          <w:tcPr>
            <w:tcW w:w="180" w:type="dxa"/>
            <w:vAlign w:val="bottom"/>
            <w:tcBorders>
              <w:bottom w:val="single" w:sz="8" w:color="0000EE"/>
            </w:tcBorders>
          </w:tcPr>
          <w:p>
            <w:pPr>
              <w:ind w:left="40"/>
              <w:spacing w:after="0"/>
              <w:rPr>
                <w:sz w:val="20"/>
                <w:szCs w:val="20"/>
                <w:color w:val="auto"/>
              </w:rPr>
            </w:pPr>
            <w:r>
              <w:rPr>
                <w:rFonts w:ascii="Times New Roman" w:cs="Times New Roman" w:eastAsia="Times New Roman" w:hAnsi="Times New Roman"/>
                <w:sz w:val="18"/>
                <w:szCs w:val="18"/>
                <w:color w:val="0000EE"/>
                <w:w w:val="88"/>
              </w:rPr>
              <w:t>3.</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8"/>
              </w:rPr>
              <w:t>Legal Proceedings</w:t>
            </w:r>
          </w:p>
        </w:tc>
        <w:tc>
          <w:tcPr>
            <w:tcW w:w="7000" w:type="dxa"/>
            <w:vAlign w:val="bottom"/>
            <w:gridSpan w:val="16"/>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09"/>
        </w:trPr>
        <w:tc>
          <w:tcPr>
            <w:tcW w:w="140" w:type="dxa"/>
            <w:vAlign w:val="bottom"/>
          </w:tcPr>
          <w:p>
            <w:pPr>
              <w:spacing w:after="0"/>
              <w:rPr>
                <w:sz w:val="18"/>
                <w:szCs w:val="18"/>
                <w:color w:val="auto"/>
              </w:rPr>
            </w:pPr>
          </w:p>
        </w:tc>
        <w:tc>
          <w:tcPr>
            <w:tcW w:w="3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0"/>
              </w:rPr>
              <w:t>Item</w:t>
            </w:r>
          </w:p>
        </w:tc>
        <w:tc>
          <w:tcPr>
            <w:tcW w:w="180" w:type="dxa"/>
            <w:vAlign w:val="bottom"/>
            <w:tcBorders>
              <w:bottom w:val="single" w:sz="8" w:color="0000EE"/>
            </w:tcBorders>
          </w:tcPr>
          <w:p>
            <w:pPr>
              <w:ind w:left="40"/>
              <w:spacing w:after="0"/>
              <w:rPr>
                <w:sz w:val="20"/>
                <w:szCs w:val="20"/>
                <w:color w:val="auto"/>
              </w:rPr>
            </w:pPr>
            <w:r>
              <w:rPr>
                <w:rFonts w:ascii="Times New Roman" w:cs="Times New Roman" w:eastAsia="Times New Roman" w:hAnsi="Times New Roman"/>
                <w:sz w:val="18"/>
                <w:szCs w:val="18"/>
                <w:color w:val="0000EE"/>
                <w:w w:val="88"/>
              </w:rPr>
              <w:t>4.</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8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9"/>
              </w:rPr>
              <w:t>Mine Safety Disclosures</w:t>
            </w:r>
          </w:p>
        </w:tc>
        <w:tc>
          <w:tcPr>
            <w:tcW w:w="6560" w:type="dxa"/>
            <w:vAlign w:val="bottom"/>
            <w:gridSpan w:val="14"/>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439"/>
        </w:trPr>
        <w:tc>
          <w:tcPr>
            <w:tcW w:w="106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0000EE"/>
              </w:rPr>
              <w:t>PART II</w:t>
            </w: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40" w:type="dxa"/>
            <w:vAlign w:val="bottom"/>
            <w:tcBorders>
              <w:top w:val="single" w:sz="8" w:color="0000EE"/>
            </w:tcBorders>
          </w:tcPr>
          <w:p>
            <w:pPr>
              <w:spacing w:after="0"/>
              <w:rPr>
                <w:sz w:val="18"/>
                <w:szCs w:val="18"/>
                <w:color w:val="auto"/>
              </w:rPr>
            </w:pPr>
          </w:p>
        </w:tc>
        <w:tc>
          <w:tcPr>
            <w:tcW w:w="32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0"/>
              </w:rPr>
              <w:t>Item</w:t>
            </w:r>
          </w:p>
        </w:tc>
        <w:tc>
          <w:tcPr>
            <w:tcW w:w="180" w:type="dxa"/>
            <w:vAlign w:val="bottom"/>
            <w:tcBorders>
              <w:top w:val="single" w:sz="8" w:color="0000EE"/>
              <w:bottom w:val="single" w:sz="8" w:color="0000EE"/>
            </w:tcBorders>
          </w:tcPr>
          <w:p>
            <w:pPr>
              <w:ind w:left="40"/>
              <w:spacing w:after="0"/>
              <w:rPr>
                <w:sz w:val="20"/>
                <w:szCs w:val="20"/>
                <w:color w:val="auto"/>
              </w:rPr>
            </w:pPr>
            <w:r>
              <w:rPr>
                <w:rFonts w:ascii="Times New Roman" w:cs="Times New Roman" w:eastAsia="Times New Roman" w:hAnsi="Times New Roman"/>
                <w:sz w:val="18"/>
                <w:szCs w:val="18"/>
                <w:color w:val="0000EE"/>
                <w:w w:val="88"/>
              </w:rPr>
              <w:t>5.</w:t>
            </w:r>
          </w:p>
        </w:tc>
        <w:tc>
          <w:tcPr>
            <w:tcW w:w="20" w:type="dxa"/>
            <w:vAlign w:val="bottom"/>
            <w:tcBorders>
              <w:top w:val="single" w:sz="8" w:color="0000EE"/>
            </w:tcBorders>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120" w:type="dxa"/>
            <w:vAlign w:val="bottom"/>
            <w:tcBorders>
              <w:bottom w:val="single" w:sz="8" w:color="0000EE"/>
            </w:tcBorders>
            <w:gridSpan w:val="23"/>
          </w:tcPr>
          <w:p>
            <w:pPr>
              <w:spacing w:after="0"/>
              <w:rPr>
                <w:sz w:val="20"/>
                <w:szCs w:val="20"/>
                <w:color w:val="auto"/>
              </w:rPr>
            </w:pPr>
            <w:r>
              <w:rPr>
                <w:rFonts w:ascii="Times New Roman" w:cs="Times New Roman" w:eastAsia="Times New Roman" w:hAnsi="Times New Roman"/>
                <w:sz w:val="18"/>
                <w:szCs w:val="18"/>
                <w:color w:val="0000EE"/>
                <w:w w:val="99"/>
              </w:rPr>
              <w:t>Market for Registrant’s Common Equity, Related Stockholder Matters, and Issuer Purchases of Equity Securities</w:t>
            </w:r>
          </w:p>
        </w:tc>
        <w:tc>
          <w:tcPr>
            <w:tcW w:w="2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09"/>
        </w:trPr>
        <w:tc>
          <w:tcPr>
            <w:tcW w:w="140" w:type="dxa"/>
            <w:vAlign w:val="bottom"/>
          </w:tcPr>
          <w:p>
            <w:pPr>
              <w:spacing w:after="0"/>
              <w:rPr>
                <w:sz w:val="18"/>
                <w:szCs w:val="18"/>
                <w:color w:val="auto"/>
              </w:rPr>
            </w:pPr>
          </w:p>
        </w:tc>
        <w:tc>
          <w:tcPr>
            <w:tcW w:w="3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0"/>
              </w:rPr>
              <w:t>Item</w:t>
            </w:r>
          </w:p>
        </w:tc>
        <w:tc>
          <w:tcPr>
            <w:tcW w:w="180" w:type="dxa"/>
            <w:vAlign w:val="bottom"/>
            <w:tcBorders>
              <w:bottom w:val="single" w:sz="8" w:color="0000EE"/>
            </w:tcBorders>
          </w:tcPr>
          <w:p>
            <w:pPr>
              <w:ind w:left="40"/>
              <w:spacing w:after="0"/>
              <w:rPr>
                <w:sz w:val="20"/>
                <w:szCs w:val="20"/>
                <w:color w:val="auto"/>
              </w:rPr>
            </w:pPr>
            <w:r>
              <w:rPr>
                <w:rFonts w:ascii="Times New Roman" w:cs="Times New Roman" w:eastAsia="Times New Roman" w:hAnsi="Times New Roman"/>
                <w:sz w:val="18"/>
                <w:szCs w:val="18"/>
                <w:color w:val="0000EE"/>
                <w:w w:val="88"/>
              </w:rPr>
              <w:t>6.</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8"/>
              </w:rPr>
              <w:t>Reserved</w:t>
            </w:r>
          </w:p>
        </w:tc>
        <w:tc>
          <w:tcPr>
            <w:tcW w:w="7660" w:type="dxa"/>
            <w:vAlign w:val="bottom"/>
            <w:gridSpan w:val="21"/>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09"/>
        </w:trPr>
        <w:tc>
          <w:tcPr>
            <w:tcW w:w="140" w:type="dxa"/>
            <w:vAlign w:val="bottom"/>
          </w:tcPr>
          <w:p>
            <w:pPr>
              <w:spacing w:after="0"/>
              <w:rPr>
                <w:sz w:val="18"/>
                <w:szCs w:val="18"/>
                <w:color w:val="auto"/>
              </w:rPr>
            </w:pPr>
          </w:p>
        </w:tc>
        <w:tc>
          <w:tcPr>
            <w:tcW w:w="3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0"/>
              </w:rPr>
              <w:t>Item</w:t>
            </w:r>
          </w:p>
        </w:tc>
        <w:tc>
          <w:tcPr>
            <w:tcW w:w="180" w:type="dxa"/>
            <w:vAlign w:val="bottom"/>
            <w:tcBorders>
              <w:bottom w:val="single" w:sz="8" w:color="0000EE"/>
            </w:tcBorders>
          </w:tcPr>
          <w:p>
            <w:pPr>
              <w:ind w:left="40"/>
              <w:spacing w:after="0"/>
              <w:rPr>
                <w:sz w:val="20"/>
                <w:szCs w:val="20"/>
                <w:color w:val="auto"/>
              </w:rPr>
            </w:pPr>
            <w:r>
              <w:rPr>
                <w:rFonts w:ascii="Times New Roman" w:cs="Times New Roman" w:eastAsia="Times New Roman" w:hAnsi="Times New Roman"/>
                <w:sz w:val="18"/>
                <w:szCs w:val="18"/>
                <w:color w:val="0000EE"/>
                <w:w w:val="88"/>
              </w:rPr>
              <w:t>7.</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60" w:type="dxa"/>
            <w:vAlign w:val="bottom"/>
            <w:tcBorders>
              <w:bottom w:val="single" w:sz="8" w:color="0000EE"/>
            </w:tcBorders>
            <w:gridSpan w:val="20"/>
          </w:tcPr>
          <w:p>
            <w:pPr>
              <w:spacing w:after="0"/>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w:t>
            </w:r>
          </w:p>
        </w:tc>
        <w:tc>
          <w:tcPr>
            <w:tcW w:w="1880" w:type="dxa"/>
            <w:vAlign w:val="bottom"/>
            <w:gridSpan w:val="4"/>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10"/>
        </w:trPr>
        <w:tc>
          <w:tcPr>
            <w:tcW w:w="14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0000EE"/>
                <w:w w:val="90"/>
              </w:rPr>
              <w:t>Item</w:t>
            </w:r>
          </w:p>
        </w:tc>
        <w:tc>
          <w:tcPr>
            <w:tcW w:w="3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EE"/>
                <w:w w:val="82"/>
              </w:rPr>
              <w:t>7A.</w:t>
            </w:r>
          </w:p>
        </w:tc>
        <w:tc>
          <w:tcPr>
            <w:tcW w:w="300" w:type="dxa"/>
            <w:vAlign w:val="bottom"/>
          </w:tcPr>
          <w:p>
            <w:pPr>
              <w:spacing w:after="0"/>
              <w:rPr>
                <w:sz w:val="18"/>
                <w:szCs w:val="18"/>
                <w:color w:val="auto"/>
              </w:rPr>
            </w:pPr>
          </w:p>
        </w:tc>
        <w:tc>
          <w:tcPr>
            <w:tcW w:w="834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Quantitative and Qualitative Disclosure About Market Risk</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09"/>
        </w:trPr>
        <w:tc>
          <w:tcPr>
            <w:tcW w:w="140" w:type="dxa"/>
            <w:vAlign w:val="bottom"/>
          </w:tcPr>
          <w:p>
            <w:pPr>
              <w:spacing w:after="0"/>
              <w:rPr>
                <w:sz w:val="18"/>
                <w:szCs w:val="18"/>
                <w:color w:val="auto"/>
              </w:rPr>
            </w:pPr>
          </w:p>
        </w:tc>
        <w:tc>
          <w:tcPr>
            <w:tcW w:w="32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0"/>
              </w:rPr>
              <w:t>Item</w:t>
            </w:r>
          </w:p>
        </w:tc>
        <w:tc>
          <w:tcPr>
            <w:tcW w:w="180" w:type="dxa"/>
            <w:vAlign w:val="bottom"/>
            <w:tcBorders>
              <w:top w:val="single" w:sz="8" w:color="0000EE"/>
            </w:tcBorders>
          </w:tcPr>
          <w:p>
            <w:pPr>
              <w:ind w:left="40"/>
              <w:spacing w:after="0"/>
              <w:rPr>
                <w:sz w:val="20"/>
                <w:szCs w:val="20"/>
                <w:color w:val="auto"/>
              </w:rPr>
            </w:pPr>
            <w:r>
              <w:rPr>
                <w:rFonts w:ascii="Times New Roman" w:cs="Times New Roman" w:eastAsia="Times New Roman" w:hAnsi="Times New Roman"/>
                <w:sz w:val="18"/>
                <w:szCs w:val="18"/>
                <w:color w:val="0000EE"/>
                <w:w w:val="88"/>
              </w:rPr>
              <w:t>8.</w:t>
            </w: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00" w:type="dxa"/>
            <w:vAlign w:val="bottom"/>
          </w:tcPr>
          <w:p>
            <w:pPr>
              <w:spacing w:after="0"/>
              <w:rPr>
                <w:sz w:val="18"/>
                <w:szCs w:val="18"/>
                <w:color w:val="auto"/>
              </w:rPr>
            </w:pPr>
          </w:p>
        </w:tc>
        <w:tc>
          <w:tcPr>
            <w:tcW w:w="4280" w:type="dxa"/>
            <w:vAlign w:val="bottom"/>
            <w:tcBorders>
              <w:top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rPr>
              <w:t>Financial Statements and Supplementary Data</w:t>
            </w:r>
          </w:p>
        </w:tc>
        <w:tc>
          <w:tcPr>
            <w:tcW w:w="4060" w:type="dxa"/>
            <w:vAlign w:val="bottom"/>
            <w:gridSpan w:val="7"/>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right w:val="single" w:sz="8" w:color="0000EE"/>
            </w:tcBorders>
            <w:gridSpan w:val="4"/>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0" w:type="dxa"/>
            <w:vAlign w:val="bottom"/>
          </w:tcPr>
          <w:p>
            <w:pPr>
              <w:spacing w:after="0"/>
              <w:rPr>
                <w:sz w:val="18"/>
                <w:szCs w:val="18"/>
                <w:color w:val="auto"/>
              </w:rPr>
            </w:pPr>
          </w:p>
        </w:tc>
        <w:tc>
          <w:tcPr>
            <w:tcW w:w="3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0"/>
              </w:rPr>
              <w:t>Item</w:t>
            </w:r>
          </w:p>
        </w:tc>
        <w:tc>
          <w:tcPr>
            <w:tcW w:w="180" w:type="dxa"/>
            <w:vAlign w:val="bottom"/>
            <w:tcBorders>
              <w:bottom w:val="single" w:sz="8" w:color="0000EE"/>
            </w:tcBorders>
          </w:tcPr>
          <w:p>
            <w:pPr>
              <w:ind w:left="40"/>
              <w:spacing w:after="0"/>
              <w:rPr>
                <w:sz w:val="20"/>
                <w:szCs w:val="20"/>
                <w:color w:val="auto"/>
              </w:rPr>
            </w:pPr>
            <w:r>
              <w:rPr>
                <w:rFonts w:ascii="Times New Roman" w:cs="Times New Roman" w:eastAsia="Times New Roman" w:hAnsi="Times New Roman"/>
                <w:sz w:val="18"/>
                <w:szCs w:val="18"/>
                <w:color w:val="0000EE"/>
                <w:w w:val="88"/>
              </w:rPr>
              <w:t>9.</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80" w:type="dxa"/>
            <w:vAlign w:val="bottom"/>
            <w:tcBorders>
              <w:bottom w:val="single" w:sz="8" w:color="0000EE"/>
            </w:tcBorders>
            <w:gridSpan w:val="21"/>
          </w:tcPr>
          <w:p>
            <w:pPr>
              <w:spacing w:after="0"/>
              <w:rPr>
                <w:sz w:val="20"/>
                <w:szCs w:val="20"/>
                <w:color w:val="auto"/>
              </w:rPr>
            </w:pPr>
            <w:r>
              <w:rPr>
                <w:rFonts w:ascii="Times New Roman" w:cs="Times New Roman" w:eastAsia="Times New Roman" w:hAnsi="Times New Roman"/>
                <w:sz w:val="18"/>
                <w:szCs w:val="18"/>
                <w:color w:val="0000EE"/>
                <w:w w:val="99"/>
              </w:rPr>
              <w:t>Changes in and Disagreements with Accountants on Accounting and Financial Disclosure</w:t>
            </w:r>
          </w:p>
        </w:tc>
        <w:tc>
          <w:tcPr>
            <w:tcW w:w="1860" w:type="dxa"/>
            <w:vAlign w:val="bottom"/>
            <w:gridSpan w:val="3"/>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10"/>
        </w:trPr>
        <w:tc>
          <w:tcPr>
            <w:tcW w:w="140" w:type="dxa"/>
            <w:vAlign w:val="bottom"/>
          </w:tcPr>
          <w:p>
            <w:pPr>
              <w:spacing w:after="0"/>
              <w:rPr>
                <w:sz w:val="18"/>
                <w:szCs w:val="18"/>
                <w:color w:val="auto"/>
              </w:rPr>
            </w:pPr>
          </w:p>
        </w:tc>
        <w:tc>
          <w:tcPr>
            <w:tcW w:w="3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0"/>
              </w:rPr>
              <w:t>Item</w:t>
            </w:r>
          </w:p>
        </w:tc>
        <w:tc>
          <w:tcPr>
            <w:tcW w:w="300" w:type="dxa"/>
            <w:vAlign w:val="bottom"/>
            <w:tcBorders>
              <w:bottom w:val="single" w:sz="8" w:color="0000EE"/>
            </w:tcBorders>
            <w:gridSpan w:val="4"/>
          </w:tcPr>
          <w:p>
            <w:pPr>
              <w:ind w:left="40"/>
              <w:spacing w:after="0"/>
              <w:rPr>
                <w:sz w:val="20"/>
                <w:szCs w:val="20"/>
                <w:color w:val="auto"/>
              </w:rPr>
            </w:pPr>
            <w:r>
              <w:rPr>
                <w:rFonts w:ascii="Times New Roman" w:cs="Times New Roman" w:eastAsia="Times New Roman" w:hAnsi="Times New Roman"/>
                <w:sz w:val="18"/>
                <w:szCs w:val="18"/>
                <w:color w:val="0000EE"/>
                <w:w w:val="82"/>
              </w:rPr>
              <w:t>9A.</w:t>
            </w:r>
          </w:p>
        </w:tc>
        <w:tc>
          <w:tcPr>
            <w:tcW w:w="300" w:type="dxa"/>
            <w:vAlign w:val="bottom"/>
          </w:tcPr>
          <w:p>
            <w:pPr>
              <w:spacing w:after="0"/>
              <w:rPr>
                <w:sz w:val="18"/>
                <w:szCs w:val="18"/>
                <w:color w:val="auto"/>
              </w:rPr>
            </w:pPr>
          </w:p>
        </w:tc>
        <w:tc>
          <w:tcPr>
            <w:tcW w:w="178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9"/>
              </w:rPr>
              <w:t>Controls and Procedures</w:t>
            </w:r>
          </w:p>
        </w:tc>
        <w:tc>
          <w:tcPr>
            <w:tcW w:w="6560" w:type="dxa"/>
            <w:vAlign w:val="bottom"/>
            <w:gridSpan w:val="14"/>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09"/>
        </w:trPr>
        <w:tc>
          <w:tcPr>
            <w:tcW w:w="14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0000EE"/>
                <w:w w:val="90"/>
              </w:rPr>
              <w:t>Item</w:t>
            </w:r>
          </w:p>
        </w:tc>
        <w:tc>
          <w:tcPr>
            <w:tcW w:w="60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0000EE"/>
              </w:rPr>
              <w:t>9B.</w:t>
            </w:r>
          </w:p>
        </w:tc>
        <w:tc>
          <w:tcPr>
            <w:tcW w:w="834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Other Information</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right w:val="single" w:sz="8" w:color="0000EE"/>
            </w:tcBorders>
            <w:gridSpan w:val="4"/>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0000EE"/>
                <w:w w:val="90"/>
              </w:rPr>
              <w:t>Item</w:t>
            </w:r>
          </w:p>
        </w:tc>
        <w:tc>
          <w:tcPr>
            <w:tcW w:w="60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0000EE"/>
              </w:rPr>
              <w:t>9C.</w:t>
            </w:r>
          </w:p>
        </w:tc>
        <w:tc>
          <w:tcPr>
            <w:tcW w:w="834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Disclosure Regarding Foreign Jurisdictions That Prevent Inspections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06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0000EE"/>
              </w:rPr>
              <w:t>PART III</w:t>
            </w: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40" w:type="dxa"/>
            <w:vAlign w:val="bottom"/>
            <w:tcBorders>
              <w:top w:val="single" w:sz="8" w:color="0000EE"/>
            </w:tcBorders>
          </w:tcPr>
          <w:p>
            <w:pPr>
              <w:spacing w:after="0"/>
              <w:rPr>
                <w:sz w:val="18"/>
                <w:szCs w:val="18"/>
                <w:color w:val="auto"/>
              </w:rPr>
            </w:pPr>
          </w:p>
        </w:tc>
        <w:tc>
          <w:tcPr>
            <w:tcW w:w="32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0"/>
              </w:rPr>
              <w:t>Item</w:t>
            </w:r>
          </w:p>
        </w:tc>
        <w:tc>
          <w:tcPr>
            <w:tcW w:w="300" w:type="dxa"/>
            <w:vAlign w:val="bottom"/>
            <w:tcBorders>
              <w:top w:val="single" w:sz="8" w:color="0000EE"/>
              <w:bottom w:val="single" w:sz="8" w:color="0000EE"/>
            </w:tcBorders>
            <w:gridSpan w:val="4"/>
          </w:tcPr>
          <w:p>
            <w:pPr>
              <w:ind w:left="40"/>
              <w:spacing w:after="0"/>
              <w:rPr>
                <w:sz w:val="20"/>
                <w:szCs w:val="20"/>
                <w:color w:val="auto"/>
              </w:rPr>
            </w:pPr>
            <w:r>
              <w:rPr>
                <w:rFonts w:ascii="Times New Roman" w:cs="Times New Roman" w:eastAsia="Times New Roman" w:hAnsi="Times New Roman"/>
                <w:sz w:val="18"/>
                <w:szCs w:val="18"/>
                <w:color w:val="0000EE"/>
                <w:w w:val="97"/>
              </w:rPr>
              <w:t>10.</w:t>
            </w:r>
          </w:p>
        </w:tc>
        <w:tc>
          <w:tcPr>
            <w:tcW w:w="300" w:type="dxa"/>
            <w:vAlign w:val="bottom"/>
          </w:tcPr>
          <w:p>
            <w:pPr>
              <w:spacing w:after="0"/>
              <w:rPr>
                <w:sz w:val="18"/>
                <w:szCs w:val="18"/>
                <w:color w:val="auto"/>
              </w:rPr>
            </w:pPr>
          </w:p>
        </w:tc>
        <w:tc>
          <w:tcPr>
            <w:tcW w:w="414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EE"/>
                <w:w w:val="99"/>
              </w:rPr>
              <w:t>Directors, Executive Officers, and Corporate Governance</w:t>
            </w:r>
          </w:p>
        </w:tc>
        <w:tc>
          <w:tcPr>
            <w:tcW w:w="4200" w:type="dxa"/>
            <w:vAlign w:val="bottom"/>
            <w:gridSpan w:val="8"/>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09"/>
        </w:trPr>
        <w:tc>
          <w:tcPr>
            <w:tcW w:w="14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0000EE"/>
                <w:w w:val="90"/>
              </w:rPr>
              <w:t>Item</w:t>
            </w:r>
          </w:p>
        </w:tc>
        <w:tc>
          <w:tcPr>
            <w:tcW w:w="2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0000EE"/>
                <w:w w:val="88"/>
              </w:rPr>
              <w:t>11.</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34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Executive Compensation</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right w:val="single" w:sz="8" w:color="0000EE"/>
            </w:tcBorders>
            <w:gridSpan w:val="4"/>
            <w:shd w:val="clear" w:color="auto" w:fill="0000EE"/>
          </w:tcPr>
          <w:p>
            <w:pPr>
              <w:spacing w:after="0" w:line="20" w:lineRule="exact"/>
              <w:rPr>
                <w:sz w:val="1"/>
                <w:szCs w:val="1"/>
                <w:color w:val="auto"/>
              </w:rPr>
            </w:pPr>
          </w:p>
        </w:tc>
        <w:tc>
          <w:tcPr>
            <w:tcW w:w="800" w:type="dxa"/>
            <w:vAlign w:val="bottom"/>
            <w:gridSpan w:val="5"/>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8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0" w:type="dxa"/>
            <w:vAlign w:val="bottom"/>
          </w:tcPr>
          <w:p>
            <w:pPr>
              <w:spacing w:after="0"/>
              <w:rPr>
                <w:sz w:val="18"/>
                <w:szCs w:val="18"/>
                <w:color w:val="auto"/>
              </w:rPr>
            </w:pPr>
          </w:p>
        </w:tc>
        <w:tc>
          <w:tcPr>
            <w:tcW w:w="3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0"/>
              </w:rPr>
              <w:t>Item</w:t>
            </w:r>
          </w:p>
        </w:tc>
        <w:tc>
          <w:tcPr>
            <w:tcW w:w="300" w:type="dxa"/>
            <w:vAlign w:val="bottom"/>
            <w:tcBorders>
              <w:bottom w:val="single" w:sz="8" w:color="0000EE"/>
            </w:tcBorders>
            <w:gridSpan w:val="4"/>
          </w:tcPr>
          <w:p>
            <w:pPr>
              <w:ind w:left="40"/>
              <w:spacing w:after="0"/>
              <w:rPr>
                <w:sz w:val="20"/>
                <w:szCs w:val="20"/>
                <w:color w:val="auto"/>
              </w:rPr>
            </w:pPr>
            <w:r>
              <w:rPr>
                <w:rFonts w:ascii="Times New Roman" w:cs="Times New Roman" w:eastAsia="Times New Roman" w:hAnsi="Times New Roman"/>
                <w:sz w:val="18"/>
                <w:szCs w:val="18"/>
                <w:color w:val="0000EE"/>
                <w:w w:val="97"/>
              </w:rPr>
              <w:t>12.</w:t>
            </w:r>
          </w:p>
        </w:tc>
        <w:tc>
          <w:tcPr>
            <w:tcW w:w="300" w:type="dxa"/>
            <w:vAlign w:val="bottom"/>
          </w:tcPr>
          <w:p>
            <w:pPr>
              <w:spacing w:after="0"/>
              <w:rPr>
                <w:sz w:val="18"/>
                <w:szCs w:val="18"/>
                <w:color w:val="auto"/>
              </w:rPr>
            </w:pPr>
          </w:p>
        </w:tc>
        <w:tc>
          <w:tcPr>
            <w:tcW w:w="7300" w:type="dxa"/>
            <w:vAlign w:val="bottom"/>
            <w:tcBorders>
              <w:bottom w:val="single" w:sz="8" w:color="0000EE"/>
            </w:tcBorders>
            <w:gridSpan w:val="22"/>
          </w:tcPr>
          <w:p>
            <w:pPr>
              <w:spacing w:after="0"/>
              <w:rPr>
                <w:sz w:val="20"/>
                <w:szCs w:val="20"/>
                <w:color w:val="auto"/>
              </w:rPr>
            </w:pPr>
            <w:r>
              <w:rPr>
                <w:rFonts w:ascii="Times New Roman" w:cs="Times New Roman" w:eastAsia="Times New Roman" w:hAnsi="Times New Roman"/>
                <w:sz w:val="18"/>
                <w:szCs w:val="18"/>
                <w:color w:val="0000EE"/>
                <w:w w:val="99"/>
              </w:rPr>
              <w:t>Security Ownership of Certain Beneficial Owners and Management and Related Stockholder Matters</w:t>
            </w:r>
          </w:p>
        </w:tc>
        <w:tc>
          <w:tcPr>
            <w:tcW w:w="1040" w:type="dxa"/>
            <w:vAlign w:val="bottom"/>
            <w:gridSpan w:val="2"/>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10"/>
        </w:trPr>
        <w:tc>
          <w:tcPr>
            <w:tcW w:w="140" w:type="dxa"/>
            <w:vAlign w:val="bottom"/>
          </w:tcPr>
          <w:p>
            <w:pPr>
              <w:spacing w:after="0"/>
              <w:rPr>
                <w:sz w:val="18"/>
                <w:szCs w:val="18"/>
                <w:color w:val="auto"/>
              </w:rPr>
            </w:pPr>
          </w:p>
        </w:tc>
        <w:tc>
          <w:tcPr>
            <w:tcW w:w="3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0"/>
              </w:rPr>
              <w:t>Item</w:t>
            </w:r>
          </w:p>
        </w:tc>
        <w:tc>
          <w:tcPr>
            <w:tcW w:w="300" w:type="dxa"/>
            <w:vAlign w:val="bottom"/>
            <w:tcBorders>
              <w:bottom w:val="single" w:sz="8" w:color="0000EE"/>
            </w:tcBorders>
            <w:gridSpan w:val="4"/>
          </w:tcPr>
          <w:p>
            <w:pPr>
              <w:ind w:left="40"/>
              <w:spacing w:after="0"/>
              <w:rPr>
                <w:sz w:val="20"/>
                <w:szCs w:val="20"/>
                <w:color w:val="auto"/>
              </w:rPr>
            </w:pPr>
            <w:r>
              <w:rPr>
                <w:rFonts w:ascii="Times New Roman" w:cs="Times New Roman" w:eastAsia="Times New Roman" w:hAnsi="Times New Roman"/>
                <w:sz w:val="18"/>
                <w:szCs w:val="18"/>
                <w:color w:val="0000EE"/>
                <w:w w:val="97"/>
              </w:rPr>
              <w:t>13.</w:t>
            </w:r>
          </w:p>
        </w:tc>
        <w:tc>
          <w:tcPr>
            <w:tcW w:w="300" w:type="dxa"/>
            <w:vAlign w:val="bottom"/>
          </w:tcPr>
          <w:p>
            <w:pPr>
              <w:spacing w:after="0"/>
              <w:rPr>
                <w:sz w:val="18"/>
                <w:szCs w:val="18"/>
                <w:color w:val="auto"/>
              </w:rPr>
            </w:pPr>
          </w:p>
        </w:tc>
        <w:tc>
          <w:tcPr>
            <w:tcW w:w="5460" w:type="dxa"/>
            <w:vAlign w:val="bottom"/>
            <w:tcBorders>
              <w:bottom w:val="single" w:sz="8" w:color="0000EE"/>
            </w:tcBorders>
            <w:gridSpan w:val="19"/>
          </w:tcPr>
          <w:p>
            <w:pPr>
              <w:spacing w:after="0"/>
              <w:rPr>
                <w:sz w:val="20"/>
                <w:szCs w:val="20"/>
                <w:color w:val="auto"/>
              </w:rPr>
            </w:pPr>
            <w:r>
              <w:rPr>
                <w:rFonts w:ascii="Times New Roman" w:cs="Times New Roman" w:eastAsia="Times New Roman" w:hAnsi="Times New Roman"/>
                <w:sz w:val="18"/>
                <w:szCs w:val="18"/>
                <w:color w:val="0000EE"/>
                <w:w w:val="99"/>
              </w:rPr>
              <w:t>Certain Relationships and Related Transactions, and Director Independence</w:t>
            </w:r>
          </w:p>
        </w:tc>
        <w:tc>
          <w:tcPr>
            <w:tcW w:w="2880" w:type="dxa"/>
            <w:vAlign w:val="bottom"/>
            <w:gridSpan w:val="5"/>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10"/>
        </w:trPr>
        <w:tc>
          <w:tcPr>
            <w:tcW w:w="140" w:type="dxa"/>
            <w:vAlign w:val="bottom"/>
          </w:tcPr>
          <w:p>
            <w:pPr>
              <w:spacing w:after="0"/>
              <w:rPr>
                <w:sz w:val="18"/>
                <w:szCs w:val="18"/>
                <w:color w:val="auto"/>
              </w:rPr>
            </w:pPr>
          </w:p>
        </w:tc>
        <w:tc>
          <w:tcPr>
            <w:tcW w:w="3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0"/>
              </w:rPr>
              <w:t>Item</w:t>
            </w:r>
          </w:p>
        </w:tc>
        <w:tc>
          <w:tcPr>
            <w:tcW w:w="300" w:type="dxa"/>
            <w:vAlign w:val="bottom"/>
            <w:tcBorders>
              <w:bottom w:val="single" w:sz="8" w:color="0000EE"/>
            </w:tcBorders>
            <w:gridSpan w:val="4"/>
          </w:tcPr>
          <w:p>
            <w:pPr>
              <w:ind w:left="40"/>
              <w:spacing w:after="0"/>
              <w:rPr>
                <w:sz w:val="20"/>
                <w:szCs w:val="20"/>
                <w:color w:val="auto"/>
              </w:rPr>
            </w:pPr>
            <w:r>
              <w:rPr>
                <w:rFonts w:ascii="Times New Roman" w:cs="Times New Roman" w:eastAsia="Times New Roman" w:hAnsi="Times New Roman"/>
                <w:sz w:val="18"/>
                <w:szCs w:val="18"/>
                <w:color w:val="0000EE"/>
                <w:w w:val="97"/>
              </w:rPr>
              <w:t>14.</w:t>
            </w:r>
          </w:p>
        </w:tc>
        <w:tc>
          <w:tcPr>
            <w:tcW w:w="300" w:type="dxa"/>
            <w:vAlign w:val="bottom"/>
          </w:tcPr>
          <w:p>
            <w:pPr>
              <w:spacing w:after="0"/>
              <w:rPr>
                <w:sz w:val="18"/>
                <w:szCs w:val="18"/>
                <w:color w:val="auto"/>
              </w:rPr>
            </w:pPr>
          </w:p>
        </w:tc>
        <w:tc>
          <w:tcPr>
            <w:tcW w:w="286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w w:val="99"/>
              </w:rPr>
              <w:t>Principal Accountant Fees and Services</w:t>
            </w:r>
          </w:p>
        </w:tc>
        <w:tc>
          <w:tcPr>
            <w:tcW w:w="5480" w:type="dxa"/>
            <w:vAlign w:val="bottom"/>
            <w:gridSpan w:val="11"/>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439"/>
        </w:trPr>
        <w:tc>
          <w:tcPr>
            <w:tcW w:w="106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0000EE"/>
              </w:rPr>
              <w:t>PART IV</w:t>
            </w: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c>
          <w:tcPr>
            <w:tcW w:w="1520" w:type="dxa"/>
            <w:vAlign w:val="bottom"/>
            <w:gridSpan w:val="5"/>
          </w:tcPr>
          <w:p>
            <w:pPr>
              <w:spacing w:after="0" w:line="20" w:lineRule="exact"/>
              <w:rPr>
                <w:sz w:val="1"/>
                <w:szCs w:val="1"/>
                <w:color w:val="auto"/>
              </w:rPr>
            </w:pPr>
          </w:p>
        </w:tc>
        <w:tc>
          <w:tcPr>
            <w:tcW w:w="5260" w:type="dxa"/>
            <w:vAlign w:val="bottom"/>
            <w:gridSpan w:val="1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0000EE"/>
                <w:w w:val="90"/>
              </w:rPr>
              <w:t>Item</w:t>
            </w:r>
          </w:p>
        </w:tc>
        <w:tc>
          <w:tcPr>
            <w:tcW w:w="3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EE"/>
                <w:w w:val="97"/>
              </w:rPr>
              <w:t>15.</w:t>
            </w:r>
          </w:p>
        </w:tc>
        <w:tc>
          <w:tcPr>
            <w:tcW w:w="300" w:type="dxa"/>
            <w:vAlign w:val="bottom"/>
          </w:tcPr>
          <w:p>
            <w:pPr>
              <w:spacing w:after="0"/>
              <w:rPr>
                <w:sz w:val="18"/>
                <w:szCs w:val="18"/>
                <w:color w:val="auto"/>
              </w:rPr>
            </w:pPr>
          </w:p>
        </w:tc>
        <w:tc>
          <w:tcPr>
            <w:tcW w:w="834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Exhibit and Financial Statement Schedules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10"/>
        </w:trPr>
        <w:tc>
          <w:tcPr>
            <w:tcW w:w="140" w:type="dxa"/>
            <w:vAlign w:val="bottom"/>
          </w:tcPr>
          <w:p>
            <w:pPr>
              <w:spacing w:after="0"/>
              <w:rPr>
                <w:sz w:val="18"/>
                <w:szCs w:val="18"/>
                <w:color w:val="auto"/>
              </w:rPr>
            </w:pPr>
          </w:p>
        </w:tc>
        <w:tc>
          <w:tcPr>
            <w:tcW w:w="32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0"/>
              </w:rPr>
              <w:t>Item</w:t>
            </w:r>
          </w:p>
        </w:tc>
        <w:tc>
          <w:tcPr>
            <w:tcW w:w="300" w:type="dxa"/>
            <w:vAlign w:val="bottom"/>
            <w:tcBorders>
              <w:top w:val="single" w:sz="8" w:color="0000EE"/>
              <w:bottom w:val="single" w:sz="8" w:color="0000EE"/>
            </w:tcBorders>
            <w:gridSpan w:val="4"/>
          </w:tcPr>
          <w:p>
            <w:pPr>
              <w:ind w:left="40"/>
              <w:spacing w:after="0"/>
              <w:rPr>
                <w:sz w:val="20"/>
                <w:szCs w:val="20"/>
                <w:color w:val="auto"/>
              </w:rPr>
            </w:pPr>
            <w:r>
              <w:rPr>
                <w:rFonts w:ascii="Times New Roman" w:cs="Times New Roman" w:eastAsia="Times New Roman" w:hAnsi="Times New Roman"/>
                <w:sz w:val="18"/>
                <w:szCs w:val="18"/>
                <w:color w:val="0000EE"/>
                <w:w w:val="97"/>
              </w:rPr>
              <w:t>16.</w:t>
            </w:r>
          </w:p>
        </w:tc>
        <w:tc>
          <w:tcPr>
            <w:tcW w:w="300" w:type="dxa"/>
            <w:vAlign w:val="bottom"/>
          </w:tcPr>
          <w:p>
            <w:pPr>
              <w:spacing w:after="0"/>
              <w:rPr>
                <w:sz w:val="18"/>
                <w:szCs w:val="18"/>
                <w:color w:val="auto"/>
              </w:rPr>
            </w:pPr>
          </w:p>
        </w:tc>
        <w:tc>
          <w:tcPr>
            <w:tcW w:w="1560" w:type="dxa"/>
            <w:vAlign w:val="bottom"/>
            <w:tcBorders>
              <w:top w:val="single" w:sz="8" w:color="0000EE"/>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9"/>
              </w:rPr>
              <w:t>Form 10-K Summary</w:t>
            </w:r>
          </w:p>
        </w:tc>
        <w:tc>
          <w:tcPr>
            <w:tcW w:w="1520" w:type="dxa"/>
            <w:vAlign w:val="bottom"/>
            <w:tcBorders>
              <w:top w:val="single" w:sz="8" w:color="0000EE"/>
            </w:tcBorders>
            <w:gridSpan w:val="5"/>
          </w:tcPr>
          <w:p>
            <w:pPr>
              <w:spacing w:after="0"/>
              <w:rPr>
                <w:sz w:val="18"/>
                <w:szCs w:val="18"/>
                <w:color w:val="auto"/>
              </w:rPr>
            </w:pPr>
          </w:p>
        </w:tc>
        <w:tc>
          <w:tcPr>
            <w:tcW w:w="5260" w:type="dxa"/>
            <w:vAlign w:val="bottom"/>
            <w:gridSpan w:val="10"/>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09"/>
        </w:trPr>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34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Signatures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00" w:right="9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This Annual Report on Form 10-K contains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Annual Report on Form 10-K may be forward-looking statements. In some cases, you can identify forward-looking statements by terms such as “may,” “will,” “should,” “expects,” “plans,” “anticipates,” “could,” “intends,” “targets,” “projects,” “contemplates,” “believes,” “estimates,” “forecasts,” “predicts,” “potential” or “continue” or the negative of these terms or other similar expressions. Forward-looking statements contained in this Annual Report on Form 10-K include, but are not limited to statements regarding our future results of operations and financial position, industry and business trends, stock compensation, business strategy, plans, market growth and our objectives for future operations.</w:t>
      </w:r>
    </w:p>
    <w:p>
      <w:pPr>
        <w:spacing w:after="0" w:line="188"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forward-looking statements in this Annual Report on Form 10-K are only predictions. We have based these forward-looking statements largely on our current expectations and projections about future events and financial trends that we believe may affect our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the important factors discussed in Part I, “Item 1A. Risk Factors” in this Annual Report on Form 10-K. The forward-looking statements in this Annual Report on Form 10-K are based upon information available to us as of the date of this Annual Report on Form 10-K,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9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You should read this Annual Report on Form 10-K and the documents that we reference in this Annual Report on Form 10-K and have filed as exhibits to this Annual Report on Form 10-K with the understanding that our actual future results, levels of activity, performance and achievements may be materially different from what we expect. We qualify all of our forward-looking statements by these cautionary statements. These forward-looking statements speak only as of the date of this Annual Report on Form 10-K. Except as required by applicable law, we do not plan to publicly update or revise any forward-looking statements contained in this Annual Report on Form 10-K, whether as a result of any new information,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August 28, 2017, we executed a reorganization of our corporate structure. Our original parent company was called Lulu’s Holdings, LLC. This entity was converted to Lulu’s Holdings, L.P. (the “LP”). We formed two new subsidiaries, Lulu’s Fashion Lounge Holdings, Inc. and Lulu’s Fashion Lounge Parent, LLC, to sit between the LP and our operating company. Our operating company, previously known as Lulu’s Fashion Lounge, Inc., was converted from a California corporation to a Delaware limited liability company, Lulu’s Fashion Lounge, LLC, an indirect wholly-owned subsidiary of Lulu’s Fashion Lounge Holdings, Inc. In connection with our initial public offering, the LP was liquidated. Unless otherwise indicated or the context otherwise requires, references in this Annual Report on Form 10-K to the terms “Lulus,” “we,” “us,” “our,” or the “Company” refer to Lulu’s Fashion Lounge Holdings, Inc. and its consolidated subsidiaries.</w:t>
      </w:r>
    </w:p>
    <w:p>
      <w:pPr>
        <w:spacing w:after="0" w:line="19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fiscal year is a “52-53 week” year ending on the Sunday closest in proximity to December 31, such that each quarterly period will be 13 weeks in length, except during a 53 week year when the fourth quarter will be 14 weeks. References herein to “fiscal 2023” and/or “2023” relate to the year ended December 31, 2023, “fiscal 2022” and/or “2022” relate to the year ended January 1, 2023 and “fiscal 2021” and/or “2021” relate to the year ended January 2, 2022. The fiscal years ended December 31, 2023, January 1, 2023 and January 2, 2022 consisted of 52 weeks.</w:t>
      </w:r>
    </w:p>
    <w:p>
      <w:pPr>
        <w:spacing w:after="0" w:line="18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Throughout this Annual Report on Form 10-K, we provide a number of key performance indicators used by management and typically used by our competitors in our industry. These and other key performance indicators are discussed in more detail in the section titled “Management’s Discussion and Analysis of Financial Condition and Results of Operations—Key Operating and Financial Metrics.” In this Annual Report on Form 10-K, we also reference Adjusted EBITDA, which is a non-GAAP (accounting principles generally accepted in the United States of America) financial measure. See “Management’s Discussion and Analysis of Financial Condition and Results of Operations—Non-GAAP Financial Measures” for a discussion of Adjusted EBITDA, as well as a reconciliation of net income (loss) to Adjusted EBITDA. Net income (loss) is the most directly comparable financial measure to Adjusted EBITDA required by, or presented in accordance, with GAAP.</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business is subject to numerous risks and uncertainties, including those described in Part I, “Item 1A. Risk Factors” in this Annual Report on Form 10-K. You should carefully consider these risks and uncertainties when investing in our common stock. The principal risks and uncertainties affecting our business include the following:</w:t>
      </w:r>
    </w:p>
    <w:p>
      <w:pPr>
        <w:spacing w:after="0" w:line="176" w:lineRule="exact"/>
        <w:rPr>
          <w:sz w:val="20"/>
          <w:szCs w:val="20"/>
          <w:color w:val="auto"/>
        </w:rPr>
      </w:pPr>
    </w:p>
    <w:p>
      <w:pPr>
        <w:ind w:left="680" w:right="20" w:hanging="321"/>
        <w:spacing w:after="0" w:line="282"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not able to successfully maintain our desired merchandise assortment or manage our inventory effectively, we may be unable to attract a sufficient number of customers or sell sufficient quantities of our merchandise;</w:t>
      </w:r>
    </w:p>
    <w:p>
      <w:pPr>
        <w:spacing w:after="0" w:line="161"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depends on our ability to anticipate, identify, measure, and respond quickly to new and rapidly changing fashion trends, customer preferences and demands, and other factors;</w:t>
      </w:r>
    </w:p>
    <w:p>
      <w:pPr>
        <w:spacing w:after="0" w:line="161"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consumer discretionary spending and may be adversely affected by economic downturns and other macroeconomic conditions or trends;</w:t>
      </w:r>
    </w:p>
    <w:p>
      <w:pPr>
        <w:spacing w:after="0" w:line="161" w:lineRule="exact"/>
        <w:rPr>
          <w:rFonts w:ascii="Times New Roman" w:cs="Times New Roman" w:eastAsia="Times New Roman" w:hAnsi="Times New Roman"/>
          <w:sz w:val="18"/>
          <w:szCs w:val="18"/>
          <w:color w:val="auto"/>
        </w:rPr>
      </w:pPr>
    </w:p>
    <w:p>
      <w:pPr>
        <w:jc w:val="both"/>
        <w:ind w:left="680" w:hanging="321"/>
        <w:spacing w:after="0" w:line="266"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global health emergency, epidemic or pandemic, such as a resurgence of COVID-19, and the post-COVID-19 pandemic environment may have an adverse effect on our labor workforce availability, supply chain, business, financial condition, and results of operations in ways that remain unpredictable;</w:t>
      </w:r>
    </w:p>
    <w:p>
      <w:pPr>
        <w:spacing w:after="0" w:line="175"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maintain a high level of engagement with our customers and increase their spending with us, which could harm our business, financial condition, and results of operations;</w:t>
      </w:r>
    </w:p>
    <w:p>
      <w:pPr>
        <w:spacing w:after="0" w:line="161"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depends on our ability to maintain a strong community around the Lulus brand with engaged customers and influencers;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 parties to drive traffic to our platform;</w:t>
      </w:r>
    </w:p>
    <w:p>
      <w:pPr>
        <w:spacing w:after="0" w:line="225"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social media, influencers, affiliate marketing, email, SMS, podcast advertisements, promotional partnerships and direct mail may adversely impact our brand and reputation or subject us to fines or other penalties;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operate in the highly competitive retail apparel industry;</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accurately forecast income and appropriately plan our expenses;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affected by seasonality, which could result in fluctuations in our results of operations;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successfully implement our growth strategy;</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we pursue our international growth strategy, we will become subject to international business uncertainties;</w:t>
      </w:r>
    </w:p>
    <w:p>
      <w:pPr>
        <w:spacing w:after="0" w:line="225" w:lineRule="exact"/>
        <w:rPr>
          <w:rFonts w:ascii="Times New Roman" w:cs="Times New Roman" w:eastAsia="Times New Roman" w:hAnsi="Times New Roman"/>
          <w:sz w:val="18"/>
          <w:szCs w:val="18"/>
          <w:color w:val="auto"/>
        </w:rPr>
      </w:pPr>
    </w:p>
    <w:p>
      <w:pPr>
        <w:jc w:val="both"/>
        <w:ind w:left="680" w:hanging="321"/>
        <w:spacing w:after="0" w:line="266"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merchandise on a timely basis at competitive prices could suffer as a result of any deterioration or change in our supplier relationships or events and regulations that adversely affect our suppliers or their ability to obtain financing for their operations;</w:t>
      </w:r>
    </w:p>
    <w:p>
      <w:pPr>
        <w:spacing w:after="0" w:line="17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Merchandise returns could harm our business;</w:t>
      </w:r>
    </w:p>
    <w:p>
      <w:pPr>
        <w:spacing w:after="0" w:line="225" w:lineRule="exact"/>
        <w:rPr>
          <w:rFonts w:ascii="Times New Roman" w:cs="Times New Roman" w:eastAsia="Times New Roman" w:hAnsi="Times New Roman"/>
          <w:sz w:val="18"/>
          <w:szCs w:val="18"/>
          <w:color w:val="auto"/>
        </w:rPr>
      </w:pPr>
    </w:p>
    <w:p>
      <w:pPr>
        <w:jc w:val="both"/>
        <w:ind w:left="680" w:right="20" w:hanging="321"/>
        <w:spacing w:after="0" w:line="266"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System security risk issues, including any real or perceived failure to protect confidential or personal information against security breaches and disruption of our internal operations or information technology systems, could have a material adverse effect on our business, financial condition, and results of operations;</w:t>
      </w:r>
    </w:p>
    <w:p>
      <w:pPr>
        <w:spacing w:after="0" w:line="175"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significantly on technology and systems to support our supply chain, payments, financial reporting and other key aspects of our business;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680" w:hanging="321"/>
        <w:spacing w:after="0" w:line="266" w:lineRule="auto"/>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relies heavily on email, SMS and other messaging services, and any restrictions on the sending of emails or messages or an inability to timely or successfully deliver such communications could materially adversely affect our business, financial condition and results of operations;</w:t>
      </w:r>
    </w:p>
    <w:p>
      <w:pPr>
        <w:spacing w:after="0" w:line="175"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including our costs and supply chain, is subject to risks associated with sourcing, manufacturing, and warehousing;</w:t>
      </w:r>
    </w:p>
    <w:p>
      <w:pPr>
        <w:spacing w:after="0" w:line="161"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three distribution facilities and several administrative offices and disruptions to the operations at these locations could have a material adverse effect on our business, financial condition, cash flows, and results of operations;</w:t>
      </w:r>
    </w:p>
    <w:p>
      <w:pPr>
        <w:spacing w:after="0" w:line="161"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third-party suppliers, manufacturers, distributors, and other suppliers, and they may not continue to produce products or provide services that are consistent with our standards or applicable regulatory requirements;</w:t>
      </w:r>
    </w:p>
    <w:p>
      <w:pPr>
        <w:spacing w:after="0" w:line="161"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Many of our third-party suppliers and manufacturers are based in China, which exposes us to risks inherent in doing business there;</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upon independent third-party transportation providers for substantially all of our merchandise;</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protect our trademarks or other intellectual property rights;</w:t>
      </w:r>
    </w:p>
    <w:p>
      <w:pPr>
        <w:spacing w:after="0" w:line="225"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changes or failure by us to comply with evolving internet and e-commerce regulations could substantially harm our business and results of operations;</w:t>
      </w:r>
    </w:p>
    <w:p>
      <w:pPr>
        <w:spacing w:after="0" w:line="161"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suppliers fail to comply with applicable laws, including a failure to use acceptable labor practices, or if our suppliers suffer disruptions in their businesses, we could suffer adverse business consequences;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import levels, tariffs, and duties may increase and could harm our business;</w:t>
      </w:r>
    </w:p>
    <w:p>
      <w:pPr>
        <w:spacing w:after="0" w:line="225"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including employment laws and laws related to our merchandise, could make conducting our business more expensive or otherwise cause us to change the way we do business;</w:t>
      </w:r>
    </w:p>
    <w:p>
      <w:pPr>
        <w:spacing w:after="0" w:line="161"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failure to comply with current laws, rules and regulations or changes to such laws, rules and regulations and other legal uncertainties may adversely affect our business, financial performance, results of operations or business growth;</w:t>
      </w:r>
    </w:p>
    <w:p>
      <w:pPr>
        <w:spacing w:after="0" w:line="161"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require additional capital to support business growth and this capital might not be available or may be available only by diluting existing stockholders;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that our stock price will fluctuate significantly;</w:t>
      </w:r>
    </w:p>
    <w:p>
      <w:pPr>
        <w:spacing w:after="0" w:line="225"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standards and subjective assumptions, estimates and judgments by management related to complex accounting matters could significantly affect our financial results or financial condition;</w:t>
      </w:r>
    </w:p>
    <w:p>
      <w:pPr>
        <w:spacing w:after="0" w:line="161"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claims made against us from time to time that can result in litigation that could distract management from our business activities and result in significant liability or damage to our brand;</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our senior management personnel;</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outstanding borrowings, and we may incur additional indebtedness in the future; 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technology based on artificial intelligence presents risks.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Lulus is a customer-driven, primarily online, digitally-native attainable luxury fashion brand for women, offering modern, unapologetically feminine designs at attainable prices for all of life’s fashionable moments. Our aim is to make every woman feel beautiful, celebrated and as if she’s the most special version of herself for every occasion – from work desk to dream date or cozied up on the couch to the spotlight of her wedding day. Lulus primarily serves a large, diverse community of Millennial and Gen Z women, who typically meet us in their 20s and stay with us through their 30s and beyond. We focus relentlessly on giving our customers what they want by using direct consumer feedback and insights to refine product offerings and elevate the customer experience. Lulus’ world class personal stylists, bridal concierge, and customer care team share an unwavering commitment to elevating style and quality and bring exceptional customer service and personalized shopping to customers around the world.</w:t>
      </w:r>
    </w:p>
    <w:p>
      <w:pPr>
        <w:spacing w:after="0" w:line="19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are focused on building authentic personal relationships with our customers and offering them coveted products they cannot purchase elsewhere. We incorporate the pulse of the consumer by engaging with her through reviews, feedback and one-on-one interactions with our style advisors, fit experts and bridal concierge across the web, social media, Lulus’ application and in-store. Customers express their love for our brand on social media and by word-of-mouth (both in-person and online).</w:t>
      </w:r>
    </w:p>
    <w:p>
      <w:pPr>
        <w:spacing w:after="0" w:line="18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 key differentiator of our business model from traditional fashion retail is our use of data to optimize almost all elements of our business. Nowhere is this more pronounced than in our product creation and curation cycle. Traditional merchandising approaches are risky and capital intensive, characterized by extended in-house design cycles, seasonal assortment decisions, deep buys, limited customer feedback, and high markdowns. Unlike traditional retailers, we leverage a “test, learn, and reorder” strategy to bring hundreds of new products to market almost every week; we test them in small batches, learn about customer demand and then quickly reorder winning products in higher volume to optimize profitability. This strategy allows us to rapidly convert new products into profitable sales on a consistent and repeatable basis while minimizing fashion and trend risk.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Why We Win</w:t>
      </w:r>
    </w:p>
    <w:p>
      <w:pPr>
        <w:spacing w:after="0" w:line="225"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Customer-Driven Fashion Brand: </w:t>
      </w:r>
      <w:r>
        <w:rPr>
          <w:rFonts w:ascii="Times New Roman" w:cs="Times New Roman" w:eastAsia="Times New Roman" w:hAnsi="Times New Roman"/>
          <w:sz w:val="18"/>
          <w:szCs w:val="18"/>
          <w:color w:val="auto"/>
        </w:rPr>
        <w:t>Lulus is one of the first digitally-native fashion brands in the United States primarily serving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Millennial and Gen Z women. We take pride in our ability to offer more luxurious fabrics and incorporate elevated stylistic details into our products relative to what is offered by other comparably-priced brands. Our obsessive focus on customer experience creates deep personal connections, which in turn rewards us with customer loyalty and word-of-mouth sharing of the brand.</w:t>
      </w:r>
    </w:p>
    <w:p>
      <w:pPr>
        <w:spacing w:after="0" w:line="176"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Customer-Centric Experience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are passionate about building a brand synonymous with exceptional customer service. We have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effectively brought the boutique experience online, developing one-on-one relationships with our customers in order to learn and then address their individual needs. Our customers value Lulus for our personalized fit and styling assistance, which remains a top reason for customer contact when additional advice is required beyond that of our popular automated fit analyst tool. Further, we are able to offer standardized sizing across the Lulus assortment, simplifying the shopping experience and giving our customer confidence that she is selecting the best fit.</w:t>
      </w:r>
    </w:p>
    <w:p>
      <w:pPr>
        <w:spacing w:after="0" w:line="182"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Leveraging Data to Best Serve our Customer: </w:t>
      </w:r>
      <w:r>
        <w:rPr>
          <w:rFonts w:ascii="Times New Roman" w:cs="Times New Roman" w:eastAsia="Times New Roman" w:hAnsi="Times New Roman"/>
          <w:sz w:val="18"/>
          <w:szCs w:val="18"/>
          <w:color w:val="auto"/>
        </w:rPr>
        <w:t>We have built a massive dataset which gives us strong insight into our customers.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Millions of customers have interacted with us, leaving detailed reviews, interacting with our on-demand Style Advisors, Fit Experts, and Bridal Concierge, and completing checkout surveys. Across Facebook, Instagram, Pinterest, Snapchat, TikTok, Twitter and YouTube, our over 8.3 million followers engage with us through their comments, feedback, photographs, and support of our brand. In aggregate, this dataset gives us the ability to understand our customers’ preferences.</w:t>
      </w:r>
    </w:p>
    <w:p>
      <w:pPr>
        <w:spacing w:after="0" w:line="179"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Marketing and Engagement Strategy: </w:t>
      </w:r>
      <w:r>
        <w:rPr>
          <w:rFonts w:ascii="Times New Roman" w:cs="Times New Roman" w:eastAsia="Times New Roman" w:hAnsi="Times New Roman"/>
          <w:sz w:val="18"/>
          <w:szCs w:val="18"/>
          <w:color w:val="auto"/>
        </w:rPr>
        <w:t>We strive to engage with our customer where she is, in authentic and personalized ways: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through our website, mobile app, email, SMS, social media and in-store. This strategy helps drive brand awareness while fostering deep connections with our customers. Our authentic partnerships with brand ambassadors span the full spectrum of followership and engagement levels, from nano- and micro-influencers, to college ambassadors and celebrities, all of whom wear and genuinely love our brand.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Data-Driven Product Creation Strategy: </w:t>
      </w:r>
      <w:r>
        <w:rPr>
          <w:rFonts w:ascii="Times New Roman" w:cs="Times New Roman" w:eastAsia="Times New Roman" w:hAnsi="Times New Roman"/>
          <w:sz w:val="18"/>
          <w:szCs w:val="18"/>
          <w:color w:val="auto"/>
        </w:rPr>
        <w:t>Our innovative product creation strategy leverages the power of our proprietary data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“test, learn, and reorder” approach to bring new styles online almost every weekday. We are highly focused on optimization of inventory levels to meet customer demand and minimize markdowns. This efficient, data-driven process, coupled with human insight, allows us to respond to fashion trends with speed and precision while significantly reducing risk in our business.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Marketing</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marketing strategy leverages our strong visual brand presence to build awareness and drive engagement with our large, diverse community of loyal customers. We integrate the power of data across multiple channels to offer a singular brand voice that speaks to Millennial and Gen Z women. We seek to meet the Lulus customer wherever she is, enabling her discovery of the brand and providing her opportunities to interact with others in the Lulus community. Through this engagement with our customers, we strive to build personal connections that are authentic and durable. We attract and engage customers through a combination of owned, earned and paid media.</w:t>
      </w:r>
    </w:p>
    <w:p>
      <w:pPr>
        <w:spacing w:after="0" w:line="18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Upon attracting a new or existing customer to our website or mobile experience, as well as in store, we seek to maximize conversion through a variety of strategies:</w:t>
      </w:r>
    </w:p>
    <w:p>
      <w:pPr>
        <w:spacing w:after="0" w:line="160" w:lineRule="exact"/>
        <w:rPr>
          <w:sz w:val="20"/>
          <w:szCs w:val="20"/>
          <w:color w:val="auto"/>
        </w:rPr>
      </w:pPr>
    </w:p>
    <w:p>
      <w:pPr>
        <w:jc w:val="both"/>
        <w:ind w:left="680" w:hanging="321"/>
        <w:spacing w:after="0" w:line="261" w:lineRule="auto"/>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Brand Strength and Exclusivity: </w:t>
      </w:r>
      <w:r>
        <w:rPr>
          <w:rFonts w:ascii="Times New Roman" w:cs="Times New Roman" w:eastAsia="Times New Roman" w:hAnsi="Times New Roman"/>
          <w:sz w:val="18"/>
          <w:szCs w:val="18"/>
          <w:color w:val="auto"/>
        </w:rPr>
        <w:t>Rooted in our primarily digital-first approach, our brand's strength thrives on a profound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understanding of the Lulus customer. This focus empowers us to curate exclusive collections perfectly suited for all their life's moments. Our frequently updated catalog further enhances this experience, enabling customers to discover products that align with their needs, including our exclusive Lulus products.</w:t>
      </w:r>
    </w:p>
    <w:p>
      <w:pPr>
        <w:spacing w:after="0" w:line="179" w:lineRule="exact"/>
        <w:rPr>
          <w:rFonts w:ascii="Times New Roman" w:cs="Times New Roman" w:eastAsia="Times New Roman" w:hAnsi="Times New Roman"/>
          <w:sz w:val="18"/>
          <w:szCs w:val="18"/>
          <w:color w:val="auto"/>
        </w:rPr>
      </w:pPr>
    </w:p>
    <w:p>
      <w:pPr>
        <w:jc w:val="both"/>
        <w:ind w:left="680" w:hanging="321"/>
        <w:spacing w:after="0" w:line="261" w:lineRule="auto"/>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Product Reviews: </w:t>
      </w:r>
      <w:r>
        <w:rPr>
          <w:rFonts w:ascii="Times New Roman" w:cs="Times New Roman" w:eastAsia="Times New Roman" w:hAnsi="Times New Roman"/>
          <w:sz w:val="18"/>
          <w:szCs w:val="18"/>
          <w:color w:val="auto"/>
        </w:rPr>
        <w:t>One of the most important aspects of our digital shopping experience is our extensive database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proprietary customer product reviews, which we first enabled in 2012 and now amounts to over one million reviews. Our website has the functionality to allow customers to upload their own product photos along with their reviews, which bring the products to life on a diverse array of body types.</w:t>
      </w:r>
    </w:p>
    <w:p>
      <w:pPr>
        <w:spacing w:after="0" w:line="179" w:lineRule="exact"/>
        <w:rPr>
          <w:rFonts w:ascii="Times New Roman" w:cs="Times New Roman" w:eastAsia="Times New Roman" w:hAnsi="Times New Roman"/>
          <w:sz w:val="18"/>
          <w:szCs w:val="18"/>
          <w:color w:val="auto"/>
        </w:rPr>
      </w:pPr>
    </w:p>
    <w:p>
      <w:pPr>
        <w:jc w:val="both"/>
        <w:ind w:left="680" w:hanging="321"/>
        <w:spacing w:after="0" w:line="261" w:lineRule="auto"/>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Boutique Styling Experience: </w:t>
      </w:r>
      <w:r>
        <w:rPr>
          <w:rFonts w:ascii="Times New Roman" w:cs="Times New Roman" w:eastAsia="Times New Roman" w:hAnsi="Times New Roman"/>
          <w:sz w:val="18"/>
          <w:szCs w:val="18"/>
          <w:color w:val="auto"/>
        </w:rPr>
        <w:t>We strive to offer exceptional customer service before, during, and after each purchase.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accomplish this by continuously improving the boutique experience on our platform and in-store through features such as our product recommendation engine, targeted messaging and with our in-house team of customer service associates who maintain deep expertise of our brand, products, and systems.</w:t>
      </w:r>
    </w:p>
    <w:p>
      <w:pPr>
        <w:spacing w:after="0" w:line="179" w:lineRule="exact"/>
        <w:rPr>
          <w:rFonts w:ascii="Times New Roman" w:cs="Times New Roman" w:eastAsia="Times New Roman" w:hAnsi="Times New Roman"/>
          <w:sz w:val="18"/>
          <w:szCs w:val="18"/>
          <w:color w:val="auto"/>
        </w:rPr>
      </w:pPr>
    </w:p>
    <w:p>
      <w:pPr>
        <w:jc w:val="both"/>
        <w:ind w:left="680" w:hanging="321"/>
        <w:spacing w:after="0" w:line="261" w:lineRule="auto"/>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Personalized and Optimized Shopping Experience</w:t>
      </w:r>
      <w:r>
        <w:rPr>
          <w:rFonts w:ascii="Times New Roman" w:cs="Times New Roman" w:eastAsia="Times New Roman" w:hAnsi="Times New Roman"/>
          <w:sz w:val="18"/>
          <w:szCs w:val="18"/>
          <w:color w:val="auto"/>
        </w:rPr>
        <w:t>: We customize and personalize our interactions with each Lulus customer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monitoring information such as how she arrives on our site, her on-site behavior, and what she buys. Our customer insights, predictive capabilities, product recommendations, and custom-built website work seamlessly together to offer customers a personalized experience across desktop, mobile web, our mobile app, email, and SMS.</w:t>
      </w:r>
    </w:p>
    <w:p>
      <w:pPr>
        <w:spacing w:after="0" w:line="18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These strategies work in unison to help drive order conversion. Whether she is browsing social media or providing feedback on a recent purchase, we engage with our customer across a multitude of touchpoints throughout the discovery and purchase journey.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Growth Strategies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Due to the mass market appeal of our brand, we believe there is a significant opportunity to bring new customers into the Lulus community through increased brand awareness. We intend to grow awareness of the Lulus brand and attract new customers through the following strategies:</w:t>
      </w:r>
    </w:p>
    <w:p>
      <w:pPr>
        <w:spacing w:after="0" w:line="176" w:lineRule="exact"/>
        <w:rPr>
          <w:sz w:val="20"/>
          <w:szCs w:val="20"/>
          <w:color w:val="auto"/>
        </w:rPr>
      </w:pPr>
    </w:p>
    <w:p>
      <w:pPr>
        <w:ind w:left="680" w:hanging="321"/>
        <w:spacing w:after="0"/>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investment in performance digital marketing strategies;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Exploration and expansion of new marketing channels;</w:t>
      </w:r>
    </w:p>
    <w:p>
      <w:pPr>
        <w:spacing w:after="0" w:line="225"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expansion of our brand ambassador program at all engagement tiers, including celebrity, micro- and nano-influencers, and college ambassadors to introduce Lulus to new audiences;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marketing programs that leverage word-of-mouth referral;</w:t>
      </w:r>
    </w:p>
    <w:p>
      <w:pPr>
        <w:spacing w:after="0" w:line="225" w:lineRule="exact"/>
        <w:rPr>
          <w:rFonts w:ascii="Times New Roman" w:cs="Times New Roman" w:eastAsia="Times New Roman" w:hAnsi="Times New Roman"/>
          <w:sz w:val="18"/>
          <w:szCs w:val="18"/>
          <w:color w:val="auto"/>
        </w:rPr>
      </w:pPr>
    </w:p>
    <w:p>
      <w:pPr>
        <w:jc w:val="both"/>
        <w:ind w:left="680" w:hanging="321"/>
        <w:spacing w:after="0" w:line="261" w:lineRule="auto"/>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Deepen our in-person consumer engagement, expand our market presence, and establish the Lulus brand as a leader in the retail landscape by forging partnerships with key wholesalers to reach new audiences online and in physical retail locations for maximum brand awareness and growth. Additionally, we will activate initiatives out of our own retail store, further enhancing our brand's impact and connection with consumers; and</w:t>
      </w:r>
    </w:p>
    <w:p>
      <w:pPr>
        <w:spacing w:after="0" w:line="179" w:lineRule="exact"/>
        <w:rPr>
          <w:rFonts w:ascii="Times New Roman" w:cs="Times New Roman" w:eastAsia="Times New Roman" w:hAnsi="Times New Roman"/>
          <w:sz w:val="18"/>
          <w:szCs w:val="18"/>
          <w:color w:val="auto"/>
        </w:rPr>
      </w:pPr>
    </w:p>
    <w:p>
      <w:pPr>
        <w:jc w:val="both"/>
        <w:ind w:left="680" w:hanging="321"/>
        <w:spacing w:after="0" w:line="266" w:lineRule="auto"/>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development of brand partnerships, with a clear focus on brands with strong customer affinity and crossover potential. This includes collaborations with apparel brands and influencers, as well as adjacent category opportunities such as beauty, home, and lifestyle.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Enhance and Retain Existing Customer Relationships</w:t>
      </w:r>
    </w:p>
    <w:p>
      <w:pPr>
        <w:spacing w:after="0" w:line="229" w:lineRule="exact"/>
        <w:rPr>
          <w:sz w:val="20"/>
          <w:szCs w:val="20"/>
          <w:color w:val="auto"/>
        </w:rPr>
      </w:pPr>
    </w:p>
    <w:p>
      <w:pPr>
        <w:jc w:val="both"/>
        <w:ind w:firstLine="324"/>
        <w:spacing w:after="0" w:line="274" w:lineRule="auto"/>
        <w:rPr>
          <w:sz w:val="20"/>
          <w:szCs w:val="20"/>
          <w:color w:val="auto"/>
        </w:rPr>
      </w:pPr>
      <w:r>
        <w:rPr>
          <w:rFonts w:ascii="Times New Roman" w:cs="Times New Roman" w:eastAsia="Times New Roman" w:hAnsi="Times New Roman"/>
          <w:sz w:val="17"/>
          <w:szCs w:val="17"/>
          <w:color w:val="auto"/>
        </w:rPr>
        <w:t>We have a large and growing Lulus community and 2.8 million Active Customers as of December 31, 2023. We continue to leverage data-driven customer insights to develop strong customer relationships and become a one-stop shop for Gen Z and Millennial women. For example, we have had success leveraging data-driven insights across categories to offer personalized suggestions and reminders at targeted points in time, and we are focused on expanding these capabilities to provide enhanced real-time recommendations and post-purchase engagement. Additionally, we continually develop and evaluate new tools and programs designed to improve the key customer metrics that drive our business, such as frequency of purchase and Average Order Value (“AOV”) through the following strategies:</w:t>
      </w:r>
    </w:p>
    <w:p>
      <w:pPr>
        <w:spacing w:after="0" w:line="173" w:lineRule="exact"/>
        <w:rPr>
          <w:sz w:val="20"/>
          <w:szCs w:val="20"/>
          <w:color w:val="auto"/>
        </w:rPr>
      </w:pPr>
    </w:p>
    <w:p>
      <w:pPr>
        <w:ind w:left="680" w:hanging="321"/>
        <w:spacing w:after="0"/>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Optimization of our website and mobile experience through continued A/B and multivariate testing;</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Improvement of customer segmentation and personalization features;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Leveraging our expanded multi-region distribution facilities to offer faster order delivery and developing new shipping options;</w:t>
      </w:r>
    </w:p>
    <w:p>
      <w:pPr>
        <w:spacing w:after="0" w:line="225"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Enhancement of our loyalty program, to engender even deeper brand engagement, drive repeat purchase behavior and increase wallet share;</w:t>
      </w:r>
    </w:p>
    <w:p>
      <w:pPr>
        <w:spacing w:after="0" w:line="161"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Enhancement of our customer service through the expansion of our style advisors, fit experts, and bridal concierge dedicated to creating a truly personalized digital and in-store boutique experience;</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development of our attainable luxury brand positioning and content; 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Incorporating new technology that enhances our customers’ experience.</w:t>
      </w:r>
    </w:p>
    <w:p>
      <w:pPr>
        <w:spacing w:after="0" w:line="22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We have learned that enhancing our existing customers’ experience drives increased word-of-mouth (in-person and online) recommendations, which in turn helps grow brand awareness.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Pursue Category Expansion</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believe there is tremendous potential to continue to drive growth in our underpenetrated categories. We have a significant opportunity to grow our share of total apparel with expansion into these underdeveloped areas. For example, our growth in apparel beyond our core dress categories demonstrates our ability to successfully launch and grow share in new categories. Our deep and personal engagement with our customers through product reviews, exit surveys, social media and in-store feedback helps us understand the product categories they are most interested in shopping and will continue to inform the breadth and depth of the categories we offer.</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Due to our customer data-driven product development strategy, we have the ability to test new categories with minimal upfront investment and risk. New categories are opened with a controlled assortment of branded and partner products through which we learn to understand customer demand via our reorder algorithms. Our ability to leverage our existing categories to introduce and grow new ones has resulted in customer repeat orders with strong product diversification.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Pursue International Expansion</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While we expect the majority of our near-term customer demand to continue to come from the United States, we believe that serving international customers represents a long-term growth opportunity. To date, we have shipped our merchandise to over 100 countries, with only limited marketing spend outside of the United States, demonstrating our global appeal and broader market opportunity. Our long-term strategy is to increase our focus on our platform and distribution process for international customers, allowing for a more optimized shopping experience, including more flexibility across languages and currencies. We believe that providing a localized shopping experience will significantly enhance our ability to serve customers in international markets.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Suppliers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collaborate with a network of around 300 suppliers, who serve as our design and manufacturing partners. These suppliers often give us priority access and exclusivity to designs, given the strong relationships we have built over the last two decades. We do not have any long-term commitments requiring us to purchase minimum volumes from any supplier. We take great effort to ensure that all suppliers share our commitment to quality and ethics, including through adherence to our Vendor and Supplier Code of Conduct.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Technology</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www.lulus.com website, mobile app, merchandising, customer, order, and warehouse management systems are proprietary, purpose-built solutions with the goal of delivering the best possible customer experience and operational efficiency. From payment card industry compliant checkout to the software running on handheld barcode scanners in order fulfillment, these key software processes are developed, maintained, and enhanced by our in-house engineering and data teams with the objective to exceed our customers’ expectations in a scalable way. Data-driven insights are core to what we do at Lulus. Technology drives and supports our business in several foundational areas, like our merchandising test, learn and reorder model, our cost-efficient marketing, and high operational efficiency.</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proprietary reorder system is informed and powered by our data warehouse with predictive data modeling and business intelligence. Sales are analyzed across hundreds of product attributes and assortment architecture and trend analyses inform our buyers’ selection of new styles. Customer demand and return signal data, product profitability, seasonality, and product demand prediction are taken into consideration to advise our reorder buyers which products to reorder, when those reorders should arrive, and in what quantities.</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combine purpose-built technology systems with customer focused engineering and data teams, to provide us with deep customer behavior insights. Integrating information from many available sources, from customer actions and feedback on the platforms to predictive analysis, continuously enhances our understanding of customer preference. This understanding allows us to activate personalization across our platform and in our various marketing channels. We utilize predictive analytics and artificial intelligence to optimize our assortment and personalize the website experience through advanced search and product recommendations.</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also use our technology to optimize our operational efficiency as e-commerce fulfillment and reverse logistics are critical to profitability. We have implemented, and will continue to implement, robotics and other automation to support various processes and increase efficiency within our distribution facilities. Our business model is characterized by high SKU velocity, low to no SKU affinity,</w:t>
      </w:r>
    </w:p>
    <w:p>
      <w:pPr>
        <w:sectPr>
          <w:pgSz w:w="11900" w:h="16838" w:orient="portrait"/>
          <w:cols w:equalWidth="0" w:num="1">
            <w:col w:w="9920"/>
          </w:cols>
          <w:pgMar w:left="980" w:top="513" w:right="99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quick order-to-ship requirements, short return-to-refund timelines, and fast inventory turnover. We have built our own proprietary, integrated e-commerce backend system to minimize cost and maximize customer satisfaction.</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have built our software development and deployment cycles such that software changes can be deployed daily after being verified by fully automated testing, as well as by human functional testing. We work with reputable cloud services providers across multiple data centers, with fully redundant infrastructure within each data center, as well as with full failover capability between data centers, which allows us to serve our customers at virtually any time. Our infrastructure is fast, flexible and scalable to provide our customers with the best possible shopping experience.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Security and Data Protection</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are committed to the security of our customers’ data and personal information. We aggregate and analyze data in order to optimize the customer experience internally, and do not monetize the information we collect by selling it to third parties for money for their own external purposes. We utilize both on-premise and cloud-based technologies and undertake technical and other administrative measures to ensure the protection of our systems and customer data. We use various in-house and third-party tools to support our security policies and procedures including user access controls, server monitoring, (web) firewalls, security content policies, and data encryption. We also use external certified security partners to test for vulnerabilities in our software and infrastructure, and assist in our security practices, which are designed to comply with the Payment Card Industry Data Security Standard. Finally, we have implemented processes and procedures to allow customers to review and remove their non-transactional account data and to opt out of the sharing or selling of their personal information.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women’s apparel, footwear, and accessories industry is large, fragmented, highly competitive and rapidly evolving. The industry consists of various brands and retailers that employ several different operating models at varying price points, and consumers have the option to shop both offline and online. Our competition includes traditional brands and retailers who market to consumers via offline and online channels. Our competition also includes e-commerce retailers that generally operate as online department stores for third-party and/or private label brands. Further, we may face new competitors and increased competition from existing competitors as we increase our brand awareness, expand our categories, and pursue international expansion.</w:t>
      </w:r>
    </w:p>
    <w:p>
      <w:pPr>
        <w:spacing w:after="0" w:line="18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Competition in our industry is based on, among other things, quality, concept, price, breadth, and style of merchandise, as well as customer service, brand image, brand quality, strength of brand relationships, and ability to anticipate, identify, and respond to new and changing fashion trends. Because we are an early mover in our category, we believe we have a significant head start on becoming the go-to brand for Millennial and Gen Z consumers. As one of the first digitally-native brands, Lulus is well-positioned to capitalize on our deep digital footprint, social media infrastructure, loyal and active customer community, and product creation model. As a vertically integrated business, we retain full control of critical aspects of our business including brand, product, marketing, distribution, and customer service. Our long operating history means that we have collected a valuable dataset over the last decade while refining an efficient, scalable business model.</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5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experience moderate seasonal fluctuations in aggregate sales volume during the year. Seasonality in our business does not follow that of traditional retailers, such as a typical concentration of revenue in the holiday quarter. In 2023, consistent with most years, our net revenue was the highest during the second quarter due to the typically higher demand for event dresses in the spring and summer. Net revenue was the lowest during the fourth quarter given we are not a holiday gifting destination and event dress demand is typically lower during that time of year. The seasonality of our business has resulted in variability in our total net revenue quarter-to-quarter. We believe that this seasonality has affected and will continue to affect our results of operations. We recognized 26%, 30%, 23% and 21% of our annual net revenue during the first, second, third and fourth quarters of 2023, respectively.</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Trademarks and Intellectual Property</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Our trademarks, including LULUS® and </w:t>
      </w:r>
      <w:r>
        <w:rPr>
          <w:sz w:val="1"/>
          <w:szCs w:val="1"/>
          <w:color w:val="auto"/>
        </w:rPr>
        <w:drawing>
          <wp:inline distT="0" distB="0" distL="0" distR="0">
            <wp:extent cx="308610" cy="10287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08610" cy="102870"/>
                    </a:xfrm>
                    <a:prstGeom prst="rect">
                      <a:avLst/>
                    </a:prstGeom>
                    <a:noFill/>
                    <a:ln>
                      <a:noFill/>
                    </a:ln>
                  </pic:spPr>
                </pic:pic>
              </a:graphicData>
            </a:graphic>
          </wp:inline>
        </w:drawing>
      </w:r>
      <w:r>
        <w:rPr>
          <w:rFonts w:ascii="Times New Roman" w:cs="Times New Roman" w:eastAsia="Times New Roman" w:hAnsi="Times New Roman"/>
          <w:sz w:val="18"/>
          <w:szCs w:val="18"/>
          <w:color w:val="auto"/>
        </w:rPr>
        <w:t>®, are registered with the United States Patent and Trademark Office. We also own the registrations for LULU’S®, LOVELULUS®, and COVETED CURATED COLLECTED®. We own the domain name www.lulus.com. We believe the Lulus® trademark has significant value in the marketing of our merchandise. We have registrations in Canada, the European Union (the “EU”), the United Kingdom, Australia, Mexico, China, and several other countries, as well as additional pending international applications. We vigorously protect our intellectual property rights.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 and Legislation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are subject to labor and employment laws, laws governing advertising and promotions, privacy laws, safety regulations, customer protection regulations and other laws that regulate retailers and govern the promotion and sale of merchandise and warehouse facilities. We monitor changes in these laws and believe that we are in material compliance with applicable laws.</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are also subject to a number of domestic and foreign laws and regulations that affect companies conducting business on the internet, many of which are still evolving and could be interpreted in ways that could harm our business. These laws and regulations include federal and state consumer protection laws and regulations, which address, among other things, the privacy and security of consumer information, sending of commercial email, and unfair and deceptive trade practices.</w:t>
      </w:r>
    </w:p>
    <w:p>
      <w:pPr>
        <w:spacing w:after="0" w:line="180"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Under applicable federal and state laws and regulations addressing privacy and data security, we must provide notice to consumers of our policies with respect to the collection and use of personal information, our sharing of personal information with third parties, and notice of any changes to our data handling practices. In some instances, we may be obligated to give customers the right to prevent sharing or selling of their personal information with third parties. Under applicable federal and state laws, we also are required to adhere to a number of requirements when sending commercial email to consumers, including identifying advertising and promotional emails as such, ensuring that subject lines are not deceptive, giving consumers an opportunity to opt-out of further communications and clearly disclosing our name and physical address in each commercial email. Regulation of privacy and data security matters is an evolving area, with new laws and regulations enacted frequently. For example, California enacted the California Consumer Privacy Act (“CCPA”) which has been significantly amended and expanded by the California Privacy Rights Act (“CPRA”) and which, among other things, requires certain disclosures to California consumers, and affords such consumers new abilities to opt out of certain sales and sharing of personal information, including with regard to targeted advertising activities. Additionally, Colorado, Connecticut, Virginia, and Utah have all enacted data privacy legislation and other states are following suit. In addition, under applicable federal and state unfair competition laws, including the California Consumer Legal Remedies Act and Federal Trade Commission (“FTC”) regulations, we must, and our network of influencers may be required to, accurately identify product offerings, not make misleading claims on our websites or in advertising, and use qualifying disclosures where and when appropriate. The growth and demand for e-commerce could result in more stringent domestic and foreign consumer protection laws that impose additional compliance burdens on companies that transact substantial business on the internet.</w:t>
      </w:r>
    </w:p>
    <w:p>
      <w:pPr>
        <w:spacing w:after="0" w:line="193"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Our international business is subject to additional laws and regulations, including environmental laws and restrictions on imports from, exports to, and services provided to persons located in certain countries and territories, as well as foreign laws and regulations addressing topics such as advertising and marketing practices, customs duties and taxes, privacy, data protection, information security and consumer rights, any of which might apply by virtue of our sales in foreign countries and territories or our contacts with consumers in such foreign countries and territories. For example, the United States and China, where certain of our products are manufactured, have recently engaged in an escalating trade war, which has led to each side threatening tariffs that could adversely affect our business, financial condition and results of operations or cause us to relocate manufacturing to other countries and territories, which could disrupt our operations. Imposition of tariffs by the United States could result in the adoption of tariffs by other countries as well, leading to a global trade war. In addition, the General Data Protection Regulation (“GDPR”), the UK General Data Protection Regulation (“UK GDPR”), the UK Data Protection Act 2018, and the Swiss Data Protection Act (“FADP”) impose stringent requirements regarding the collection, handling, use and transfer of personal data of individuals located in the European Economic Area (“EEA”) and provide for substantial penalties for noncompliance. These regulations impact the use of cookies, tracking technologies and other e-marketing efforts, and there has been significant recent European court and regulatory decisions in this area, including through privacy activists. More generally, many foreign jurisdictions have laws, regulations, or other requirements relating to privacy, data protection, and consumer protection, and countries and territories are adopting new legislation or other obligations with increasing frequency. Many of these laws may require disclosure to and consent from consumers for the use of data for various purposes, including marketing, which may reduce our ability to market our products. In addition, in December 2022, a provisional political agreement was reached between</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European Parliament and the Council of the EU regarding deforestation-free supply chains. The resulting proposed regulation, once it is formally adopted, is expected to require that certain commodities including cattle, cocoa, coffee, oil palm, soya, wood, and rubber, and certain products derived therefrom, that are placed on the EU market, or exported from the EU market, no longer contribute to deforestation or forest degradation. This proposed EU regulation, of which draft text has been approved by the Permanent Representatives’ Committee (Interinstitutional File No. 2021/0366 (COD)), is expected at this time to contain requirements including due diligence and traceability obligations necessitating the linking of certain commodities and certain derived products to their place of production. We do not know of any existing environmental law, regulation nor condition that reasonably would be expected to have a material adverse effect on our business, capital expenditures, or operating results. However, future changes to environmental laws or regulations may impact our operations and could result in increased costs.</w:t>
      </w:r>
    </w:p>
    <w:p>
      <w:pPr>
        <w:spacing w:after="0" w:line="188"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many jurisdictions, there is great uncertainty whether or how existing laws governing issues such as property ownership, sales and other taxes, libel and personal privacy apply to the internet and e-commerce. New legislation or regulation, the application of laws and regulations from jurisdictions whose laws do not currently apply to our business or the application of existing laws and regulations to the internet and e-commerce could result in significant additional obligations on our business or may necessitate changes to our business practices. These obligations or required changes could have an adverse effect on our cash flows and results of operations. Further, any actual or alleged failure to comply with any of these laws or regulations by us, our suppliers or our network of influencers could hurt our reputation, brand and business, force us to incur significant expenses in defending against proceedings or investigations, distract our management, increase our costs of doing business, result in a loss of customers and suppliers and may result in the imposition of monetary penalties. See “Risk Factors—Risks Related to Regulation, Taxation and Litigation — Unfavorable changes or failure by us to comply with evolving internet and e-commerce regulations could substantially harm our business and results of operations.”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Social, and Governance (“ESG”)</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At Lulus, we believe in being responsible business stewards and strive to understand the impact that our business has on our employees, customers, and the planet. We will look for opportunities to play a constructive role in addressing the ESG challenges of the fashion industry while working towards creating long-term value for our Company and our stakeholders.</w:t>
      </w:r>
    </w:p>
    <w:p>
      <w:pPr>
        <w:spacing w:after="0" w:line="172"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Governance. </w:t>
      </w:r>
      <w:r>
        <w:rPr>
          <w:rFonts w:ascii="Times New Roman" w:cs="Times New Roman" w:eastAsia="Times New Roman" w:hAnsi="Times New Roman"/>
          <w:sz w:val="18"/>
          <w:szCs w:val="18"/>
          <w:color w:val="auto"/>
        </w:rPr>
        <w:t>Lulus’ ESG efforts are overseen by our Board of Directors through our Nominating and Corporate Governance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Committee. Our Executive Chairman and General Counsel work with internal stakeholders, including a cross-functional ESG Steering Committee, as well as with outside specialists, to set and implement our ESG strategy. Our ESG strategy and initiatives are discussed regularly at the Board of Directors level.</w:t>
      </w:r>
    </w:p>
    <w:p>
      <w:pPr>
        <w:spacing w:after="0" w:line="176"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7"/>
          <w:szCs w:val="17"/>
          <w:b w:val="1"/>
          <w:bCs w:val="1"/>
          <w:color w:val="auto"/>
        </w:rPr>
        <w:t xml:space="preserve">Approach. </w:t>
      </w:r>
      <w:r>
        <w:rPr>
          <w:rFonts w:ascii="Times New Roman" w:cs="Times New Roman" w:eastAsia="Times New Roman" w:hAnsi="Times New Roman"/>
          <w:sz w:val="17"/>
          <w:szCs w:val="17"/>
          <w:color w:val="auto"/>
        </w:rPr>
        <w:t>In 2022, we engaged a third-party ESG consultant to conduct a materiality assessment. Working with internal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external stakeholders, this process helped us to identify the priority material topics that our stakeholders care about. As part of our developing strategy, we plan to formalize a framework for our efforts and reporting around these topics and look forward to sharing our continued progress on ESG matters. We also engaged a third-party greenhouse gas (“GHG”) consulting firm to assess our 2021 and 2022 Scope 1 and 2 GHG emissions and will be working with the same firm to assess our 2023 Scope 1 and 2 GHG emissions. This will enable us to set a baseline for our GHG Scope 1 and 2 emissions and create a plan for improvement. Laying the groundwork for a greater oversight of our suppliers and supporting the health and wellbeing of all the people who make our products, we formalized our Vendor and Supplier Code of Conduct which sets forth our expectations for working conditions in all factories producing Lulus products. We make available our Vendor and Supplier Code of Conduct free of charge through our investor relations website, which is located at </w:t>
      </w:r>
      <w:r>
        <w:rPr>
          <w:rFonts w:ascii="Times New Roman" w:cs="Times New Roman" w:eastAsia="Times New Roman" w:hAnsi="Times New Roman"/>
          <w:sz w:val="17"/>
          <w:szCs w:val="17"/>
          <w:i w:val="1"/>
          <w:iCs w:val="1"/>
          <w:color w:val="auto"/>
        </w:rPr>
        <w:t>https://investors.lulus.com</w:t>
      </w:r>
      <w:r>
        <w:rPr>
          <w:rFonts w:ascii="Times New Roman" w:cs="Times New Roman" w:eastAsia="Times New Roman" w:hAnsi="Times New Roman"/>
          <w:sz w:val="17"/>
          <w:szCs w:val="17"/>
          <w:color w:val="auto"/>
        </w:rPr>
        <w:t>. We also held a Vendor Summit on social aspects of the supply chain and began providing training to our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vendors on responsible sourcing and production practices. We have engaged an outside supply chain risk management and audit company to evaluate our supply chain risks and develop an oversight and auditing program, which started conducting third-party audits in 2023. Lulus’ vendors and suppliers may be subject to audit, at Lulus’ request, and should be prepared to provide timely and accurate records. Vendors and suppliers are required to comply with all Lulus or third-party requests on behalf of Lulus to inspect or audit vendors and suppliers’ facilities and records. Vendors and suppliers should maintain accurate certifications, business details, and records. Under no circumstances should vendors and suppliers seek to influence worker interviews such as through bribery or intimidation of any party.</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 Leadership Changes</w:t>
      </w:r>
    </w:p>
    <w:p>
      <w:pPr>
        <w:spacing w:after="0" w:line="229" w:lineRule="exact"/>
        <w:rPr>
          <w:sz w:val="20"/>
          <w:szCs w:val="20"/>
          <w:color w:val="auto"/>
        </w:rPr>
      </w:pPr>
    </w:p>
    <w:p>
      <w:pPr>
        <w:jc w:val="both"/>
        <w:ind w:firstLine="396"/>
        <w:spacing w:after="0" w:line="261" w:lineRule="auto"/>
        <w:rPr>
          <w:sz w:val="20"/>
          <w:szCs w:val="20"/>
          <w:color w:val="auto"/>
        </w:rPr>
      </w:pPr>
      <w:r>
        <w:rPr>
          <w:rFonts w:ascii="Times New Roman" w:cs="Times New Roman" w:eastAsia="Times New Roman" w:hAnsi="Times New Roman"/>
          <w:sz w:val="18"/>
          <w:szCs w:val="18"/>
          <w:color w:val="auto"/>
        </w:rPr>
        <w:t>On January 5, 2024, Mr. McCreight notified the Board of Directors of his election not to renew his term of employment as Executive Chairman beyond the conclusion of his initial term, expiring March 6, 2024, in accordance with the terms of his Employment Agreement entered into on November 11, 2022. Mr. McCreight will continue to serve as a director of the Company and will receive compensation for his service as a director in accordance with the Company's Non-Employee Director Compensation Program.</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Accordingly, on January 9, 2024, the Board of Directors confirmed that Mr. McCreight will conclude his service as Executive Chairman on March 6, 2024, at the end of the initial term under his Employment Agreement. Additionally, on January 9, 2024, the Board of Directors approved the appointment of current director, Mr. John Black, as Chair of the Board of Directors, effective as of March 6, 2024.</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March 1, 2024, the Board of Directors approved the following committee changes, effective March 6, 2024: the appointment of current director, Ms. Dara Bazzano, as the new Chair of the Compensation Committee of the Board of Directors, the appointment of current director, Ms. Caroline Sheu, as the new Chair of the Nominating and Corporate Governance Committee, and the appointment of current director, Ms. Kelly McCarthy as a member of the Nominating and Corporate Governance Committee. Also, effective March 6, 2024, current director, John Black, will no longer be a member of the Compensation Committee or the Nominating and Corporate Governance Committee. He will continue to serve on the Audit Committee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Company Leadership Changes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January 9, 2024, Lulus entered into a second amendment to the employment agreement with Mr. Vos (the "Second Amendment"), which amends his employment agreement dated May 12, 2022, previously filed as Exhibit 10.2 in the Quarterly Report on Form 10-Q on May 17, 2022, as further amended by the Amendment to Employment Agreement, dated March 5, 2023, previously filed as Exhibit 10.2 in the Current Report on Form 8-K on March 6, 2023. The Second Amendment reflects that Mr. Vos will continue in his role as President and Chief Information Officer for an initial term expiring on December 31, 2025, subject to automatic extensions for a one-year period unless either party provides the other with 60 days' prior notice. On March 1, 2024, the Board of Directors determined that following the conclusion of Mr. McCreight’s service as Executive Chairman on March 6, 2024, Mr. Vos will report directly to the new Chairman of the Board of Directors, Mr. Black.</w:t>
      </w:r>
    </w:p>
    <w:p>
      <w:pPr>
        <w:spacing w:after="0" w:line="19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January 10, 2024, the Company announced that it appointed Ms. Laura Deady as its Chief Merchandising Officer, effective January 15, 2024. On December 21, 2023, the Company and Ms. Deady entered into an employment agreement, which is attached hereto as Exhibit 10.37, for an initial term of January 15, 2024, to December 31, 2025. Ms. Deady brings significant strategic leadership, trend and financial analysis, fashion direction, and product development experience, having spent the last few years leading product vision and seasonal strategy development across all categories for Urban Outfitters. Previously, she held key leadership roles at Michael Kors, Free People, and Macy’s, where she helped to drive innovation and growth for the respective brands.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 to Non-Employee Director Compensation Program</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March 1, 2024, the Board of Directors approved an amendment to its Non-Employee Director Compensation Program (“Program”) to incorporate compensation for service as the non-executive Chair of the Company’s Board of Directors. Under the amended Program, the non-executive Chair of the Company's Board of Directors will be entitled to receive an additional annual award of restricted stock units, calculated by dividing (i) $50,000 by (ii) the average closing trading price of the Common Stock over the 10 consecutive trading days ending with the trading day immediately preceding the grant (the “10-Day VWAP”), provided that if the 10-day VWAP is less than $2.20, then the share price for purposes of calculating the number of RSUs shall be $2.20. The amended Program is attached hereto as Exhibit 10.38.</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Human Capital Resources</w:t>
      </w:r>
    </w:p>
    <w:p>
      <w:pPr>
        <w:spacing w:after="0" w:line="225"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Employees and Demographics. </w:t>
      </w:r>
      <w:r>
        <w:rPr>
          <w:rFonts w:ascii="Times New Roman" w:cs="Times New Roman" w:eastAsia="Times New Roman" w:hAnsi="Times New Roman"/>
          <w:sz w:val="18"/>
          <w:szCs w:val="18"/>
          <w:color w:val="auto"/>
        </w:rPr>
        <w:t>Our employees, also known as the “LuCrew” are integral to our success, and we strive to prioritize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employees’ development, growth, and wellbeing. As of December 31, 2023, we had 686 full-time and part-time employees. We use contingent labor in varying levels throughout the year to augment our workforce. None of our employees are represented by a labor union, and we have had no labor-related work stoppages. We believe that we have good relationships with our employees.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i w:val="1"/>
                <w:iCs w:val="1"/>
                <w:color w:val="auto"/>
                <w:w w:val="99"/>
              </w:rPr>
              <w:t>As of December 31, 2023:</w:t>
            </w: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6"/>
        </w:trPr>
        <w:tc>
          <w:tcPr>
            <w:tcW w:w="31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Gender</w:t>
            </w:r>
          </w:p>
        </w:tc>
        <w:tc>
          <w:tcPr>
            <w:tcW w:w="220" w:type="dxa"/>
            <w:vAlign w:val="bottom"/>
          </w:tcPr>
          <w:p>
            <w:pPr>
              <w:spacing w:after="0"/>
              <w:rPr>
                <w:sz w:val="24"/>
                <w:szCs w:val="24"/>
                <w:color w:val="auto"/>
              </w:rPr>
            </w:pPr>
          </w:p>
        </w:tc>
        <w:tc>
          <w:tcPr>
            <w:tcW w:w="2280" w:type="dxa"/>
            <w:vAlign w:val="bottom"/>
            <w:gridSpan w:val="2"/>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Board of Directors</w:t>
            </w:r>
          </w:p>
        </w:tc>
        <w:tc>
          <w:tcPr>
            <w:tcW w:w="2280" w:type="dxa"/>
            <w:vAlign w:val="bottom"/>
            <w:gridSpan w:val="2"/>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Leadership (1)</w:t>
            </w:r>
          </w:p>
        </w:tc>
        <w:tc>
          <w:tcPr>
            <w:tcW w:w="2040" w:type="dxa"/>
            <w:vAlign w:val="bottom"/>
            <w:gridSpan w:val="2"/>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All Employees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8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Female</w:t>
            </w:r>
          </w:p>
        </w:tc>
        <w:tc>
          <w:tcPr>
            <w:tcW w:w="220" w:type="dxa"/>
            <w:vAlign w:val="bottom"/>
            <w:tcBorders>
              <w:top w:val="single" w:sz="8" w:color="CCEEFF"/>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440" w:type="dxa"/>
            <w:vAlign w:val="bottom"/>
            <w:tcBorders>
              <w:top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93"/>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440" w:type="dxa"/>
            <w:vAlign w:val="bottom"/>
            <w:tcBorders>
              <w:top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93"/>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2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Male</w:t>
            </w:r>
          </w:p>
        </w:tc>
        <w:tc>
          <w:tcPr>
            <w:tcW w:w="2500" w:type="dxa"/>
            <w:vAlign w:val="bottom"/>
            <w:gridSpan w:val="3"/>
          </w:tcPr>
          <w:p>
            <w:pPr>
              <w:jc w:val="right"/>
              <w:ind w:right="190"/>
              <w:spacing w:after="0"/>
              <w:rPr>
                <w:sz w:val="20"/>
                <w:szCs w:val="20"/>
                <w:color w:val="auto"/>
              </w:rPr>
            </w:pPr>
            <w:r>
              <w:rPr>
                <w:rFonts w:ascii="Times New Roman" w:cs="Times New Roman" w:eastAsia="Times New Roman" w:hAnsi="Times New Roman"/>
                <w:sz w:val="18"/>
                <w:szCs w:val="18"/>
                <w:color w:val="auto"/>
              </w:rPr>
              <w:t>36.4 %</w:t>
            </w:r>
          </w:p>
        </w:tc>
        <w:tc>
          <w:tcPr>
            <w:tcW w:w="22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41.9 %</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31.5 %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Non-Binary</w:t>
            </w:r>
          </w:p>
        </w:tc>
        <w:tc>
          <w:tcPr>
            <w:tcW w:w="2500" w:type="dxa"/>
            <w:vAlign w:val="bottom"/>
            <w:gridSpan w:val="3"/>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 %</w:t>
            </w:r>
          </w:p>
        </w:tc>
        <w:tc>
          <w:tcPr>
            <w:tcW w:w="228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 %</w:t>
            </w:r>
          </w:p>
        </w:tc>
        <w:tc>
          <w:tcPr>
            <w:tcW w:w="2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Prefer not to disclose</w:t>
            </w:r>
          </w:p>
        </w:tc>
        <w:tc>
          <w:tcPr>
            <w:tcW w:w="2500" w:type="dxa"/>
            <w:vAlign w:val="bottom"/>
            <w:gridSpan w:val="3"/>
          </w:tcPr>
          <w:p>
            <w:pPr>
              <w:jc w:val="right"/>
              <w:ind w:right="190"/>
              <w:spacing w:after="0"/>
              <w:rPr>
                <w:sz w:val="20"/>
                <w:szCs w:val="20"/>
                <w:color w:val="auto"/>
              </w:rPr>
            </w:pPr>
            <w:r>
              <w:rPr>
                <w:rFonts w:ascii="Times New Roman" w:cs="Times New Roman" w:eastAsia="Times New Roman" w:hAnsi="Times New Roman"/>
                <w:sz w:val="18"/>
                <w:szCs w:val="18"/>
                <w:color w:val="auto"/>
              </w:rPr>
              <w:t>9.1 %</w:t>
            </w:r>
          </w:p>
        </w:tc>
        <w:tc>
          <w:tcPr>
            <w:tcW w:w="22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 %</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Age</w:t>
            </w:r>
          </w:p>
        </w:tc>
        <w:tc>
          <w:tcPr>
            <w:tcW w:w="220" w:type="dxa"/>
            <w:vAlign w:val="bottom"/>
            <w:tcBorders>
              <w:bottom w:val="single" w:sz="8" w:color="CCEEFF"/>
            </w:tcBorders>
          </w:tcPr>
          <w:p>
            <w:pPr>
              <w:spacing w:after="0"/>
              <w:rPr>
                <w:sz w:val="18"/>
                <w:szCs w:val="18"/>
                <w:color w:val="auto"/>
              </w:rPr>
            </w:pPr>
          </w:p>
        </w:tc>
        <w:tc>
          <w:tcPr>
            <w:tcW w:w="1840" w:type="dxa"/>
            <w:vAlign w:val="bottom"/>
            <w:tcBorders>
              <w:bottom w:val="single" w:sz="8" w:color="CCEEFF"/>
            </w:tcBorders>
          </w:tcPr>
          <w:p>
            <w:pPr>
              <w:spacing w:after="0"/>
              <w:rPr>
                <w:sz w:val="18"/>
                <w:szCs w:val="18"/>
                <w:color w:val="auto"/>
              </w:rPr>
            </w:pPr>
          </w:p>
        </w:tc>
        <w:tc>
          <w:tcPr>
            <w:tcW w:w="440" w:type="dxa"/>
            <w:vAlign w:val="bottom"/>
            <w:tcBorders>
              <w:bottom w:val="single" w:sz="8" w:color="CCEEFF"/>
            </w:tcBorders>
          </w:tcPr>
          <w:p>
            <w:pPr>
              <w:spacing w:after="0"/>
              <w:rPr>
                <w:sz w:val="18"/>
                <w:szCs w:val="18"/>
                <w:color w:val="auto"/>
              </w:rPr>
            </w:pPr>
          </w:p>
        </w:tc>
        <w:tc>
          <w:tcPr>
            <w:tcW w:w="1840" w:type="dxa"/>
            <w:vAlign w:val="bottom"/>
            <w:tcBorders>
              <w:bottom w:val="single" w:sz="8" w:color="CCEEFF"/>
            </w:tcBorders>
          </w:tcPr>
          <w:p>
            <w:pPr>
              <w:spacing w:after="0"/>
              <w:rPr>
                <w:sz w:val="18"/>
                <w:szCs w:val="18"/>
                <w:color w:val="auto"/>
              </w:rPr>
            </w:pPr>
          </w:p>
        </w:tc>
        <w:tc>
          <w:tcPr>
            <w:tcW w:w="440" w:type="dxa"/>
            <w:vAlign w:val="bottom"/>
            <w:tcBorders>
              <w:bottom w:val="single" w:sz="8" w:color="CCEEFF"/>
            </w:tcBorders>
          </w:tcPr>
          <w:p>
            <w:pPr>
              <w:spacing w:after="0"/>
              <w:rPr>
                <w:sz w:val="18"/>
                <w:szCs w:val="18"/>
                <w:color w:val="auto"/>
              </w:rPr>
            </w:pPr>
          </w:p>
        </w:tc>
        <w:tc>
          <w:tcPr>
            <w:tcW w:w="18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Gen Z &amp; Millennial (2)</w:t>
            </w:r>
          </w:p>
        </w:tc>
        <w:tc>
          <w:tcPr>
            <w:tcW w:w="2500" w:type="dxa"/>
            <w:vAlign w:val="bottom"/>
            <w:gridSpan w:val="3"/>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27.3 %</w:t>
            </w:r>
          </w:p>
        </w:tc>
        <w:tc>
          <w:tcPr>
            <w:tcW w:w="228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65.1 %</w:t>
            </w:r>
          </w:p>
        </w:tc>
        <w:tc>
          <w:tcPr>
            <w:tcW w:w="2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 Other</w:t>
            </w:r>
          </w:p>
        </w:tc>
        <w:tc>
          <w:tcPr>
            <w:tcW w:w="2500" w:type="dxa"/>
            <w:vAlign w:val="bottom"/>
            <w:gridSpan w:val="3"/>
          </w:tcPr>
          <w:p>
            <w:pPr>
              <w:jc w:val="right"/>
              <w:ind w:right="190"/>
              <w:spacing w:after="0"/>
              <w:rPr>
                <w:sz w:val="20"/>
                <w:szCs w:val="20"/>
                <w:color w:val="auto"/>
              </w:rPr>
            </w:pPr>
            <w:r>
              <w:rPr>
                <w:rFonts w:ascii="Times New Roman" w:cs="Times New Roman" w:eastAsia="Times New Roman" w:hAnsi="Times New Roman"/>
                <w:sz w:val="18"/>
                <w:szCs w:val="18"/>
                <w:color w:val="auto"/>
              </w:rPr>
              <w:t>72.7 %</w:t>
            </w:r>
          </w:p>
        </w:tc>
        <w:tc>
          <w:tcPr>
            <w:tcW w:w="22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34.9 %</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24.2 %</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Race / Ethnicity</w:t>
            </w:r>
          </w:p>
        </w:tc>
        <w:tc>
          <w:tcPr>
            <w:tcW w:w="220" w:type="dxa"/>
            <w:vAlign w:val="bottom"/>
            <w:tcBorders>
              <w:bottom w:val="single" w:sz="8" w:color="CCEEFF"/>
            </w:tcBorders>
          </w:tcPr>
          <w:p>
            <w:pPr>
              <w:spacing w:after="0"/>
              <w:rPr>
                <w:sz w:val="18"/>
                <w:szCs w:val="18"/>
                <w:color w:val="auto"/>
              </w:rPr>
            </w:pPr>
          </w:p>
        </w:tc>
        <w:tc>
          <w:tcPr>
            <w:tcW w:w="1840" w:type="dxa"/>
            <w:vAlign w:val="bottom"/>
            <w:tcBorders>
              <w:bottom w:val="single" w:sz="8" w:color="CCEEFF"/>
            </w:tcBorders>
          </w:tcPr>
          <w:p>
            <w:pPr>
              <w:spacing w:after="0"/>
              <w:rPr>
                <w:sz w:val="18"/>
                <w:szCs w:val="18"/>
                <w:color w:val="auto"/>
              </w:rPr>
            </w:pPr>
          </w:p>
        </w:tc>
        <w:tc>
          <w:tcPr>
            <w:tcW w:w="440" w:type="dxa"/>
            <w:vAlign w:val="bottom"/>
            <w:tcBorders>
              <w:bottom w:val="single" w:sz="8" w:color="CCEEFF"/>
            </w:tcBorders>
          </w:tcPr>
          <w:p>
            <w:pPr>
              <w:spacing w:after="0"/>
              <w:rPr>
                <w:sz w:val="18"/>
                <w:szCs w:val="18"/>
                <w:color w:val="auto"/>
              </w:rPr>
            </w:pPr>
          </w:p>
        </w:tc>
        <w:tc>
          <w:tcPr>
            <w:tcW w:w="1840" w:type="dxa"/>
            <w:vAlign w:val="bottom"/>
            <w:tcBorders>
              <w:bottom w:val="single" w:sz="8" w:color="CCEEFF"/>
            </w:tcBorders>
          </w:tcPr>
          <w:p>
            <w:pPr>
              <w:spacing w:after="0"/>
              <w:rPr>
                <w:sz w:val="18"/>
                <w:szCs w:val="18"/>
                <w:color w:val="auto"/>
              </w:rPr>
            </w:pPr>
          </w:p>
        </w:tc>
        <w:tc>
          <w:tcPr>
            <w:tcW w:w="440" w:type="dxa"/>
            <w:vAlign w:val="bottom"/>
            <w:tcBorders>
              <w:bottom w:val="single" w:sz="8" w:color="CCEEFF"/>
            </w:tcBorders>
          </w:tcPr>
          <w:p>
            <w:pPr>
              <w:spacing w:after="0"/>
              <w:rPr>
                <w:sz w:val="18"/>
                <w:szCs w:val="18"/>
                <w:color w:val="auto"/>
              </w:rPr>
            </w:pPr>
          </w:p>
        </w:tc>
        <w:tc>
          <w:tcPr>
            <w:tcW w:w="18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Native American or Alaska Native</w:t>
            </w:r>
          </w:p>
        </w:tc>
        <w:tc>
          <w:tcPr>
            <w:tcW w:w="2500" w:type="dxa"/>
            <w:vAlign w:val="bottom"/>
            <w:gridSpan w:val="3"/>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 %</w:t>
            </w:r>
          </w:p>
        </w:tc>
        <w:tc>
          <w:tcPr>
            <w:tcW w:w="228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 %</w:t>
            </w:r>
          </w:p>
        </w:tc>
        <w:tc>
          <w:tcPr>
            <w:tcW w:w="2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Asian</w:t>
            </w:r>
          </w:p>
        </w:tc>
        <w:tc>
          <w:tcPr>
            <w:tcW w:w="2500" w:type="dxa"/>
            <w:vAlign w:val="bottom"/>
            <w:gridSpan w:val="3"/>
          </w:tcPr>
          <w:p>
            <w:pPr>
              <w:jc w:val="right"/>
              <w:ind w:right="190"/>
              <w:spacing w:after="0"/>
              <w:rPr>
                <w:sz w:val="20"/>
                <w:szCs w:val="20"/>
                <w:color w:val="auto"/>
              </w:rPr>
            </w:pPr>
            <w:r>
              <w:rPr>
                <w:rFonts w:ascii="Times New Roman" w:cs="Times New Roman" w:eastAsia="Times New Roman" w:hAnsi="Times New Roman"/>
                <w:sz w:val="18"/>
                <w:szCs w:val="18"/>
                <w:color w:val="auto"/>
              </w:rPr>
              <w:t>27.3 %</w:t>
            </w:r>
          </w:p>
        </w:tc>
        <w:tc>
          <w:tcPr>
            <w:tcW w:w="22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7.0 %</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Black or African American</w:t>
            </w:r>
          </w:p>
        </w:tc>
        <w:tc>
          <w:tcPr>
            <w:tcW w:w="2500" w:type="dxa"/>
            <w:vAlign w:val="bottom"/>
            <w:gridSpan w:val="3"/>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 %</w:t>
            </w:r>
          </w:p>
        </w:tc>
        <w:tc>
          <w:tcPr>
            <w:tcW w:w="228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4.7 %</w:t>
            </w:r>
          </w:p>
        </w:tc>
        <w:tc>
          <w:tcPr>
            <w:tcW w:w="2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Hispanic or Latinx</w:t>
            </w:r>
          </w:p>
        </w:tc>
        <w:tc>
          <w:tcPr>
            <w:tcW w:w="2500" w:type="dxa"/>
            <w:vAlign w:val="bottom"/>
            <w:gridSpan w:val="3"/>
          </w:tcPr>
          <w:p>
            <w:pPr>
              <w:jc w:val="right"/>
              <w:ind w:right="190"/>
              <w:spacing w:after="0"/>
              <w:rPr>
                <w:sz w:val="20"/>
                <w:szCs w:val="20"/>
                <w:color w:val="auto"/>
              </w:rPr>
            </w:pPr>
            <w:r>
              <w:rPr>
                <w:rFonts w:ascii="Times New Roman" w:cs="Times New Roman" w:eastAsia="Times New Roman" w:hAnsi="Times New Roman"/>
                <w:sz w:val="18"/>
                <w:szCs w:val="18"/>
                <w:color w:val="auto"/>
              </w:rPr>
              <w:t>- %</w:t>
            </w:r>
          </w:p>
        </w:tc>
        <w:tc>
          <w:tcPr>
            <w:tcW w:w="22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13.9 %</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42.6 %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Native Hawaiian or Pacific Islander</w:t>
            </w:r>
          </w:p>
        </w:tc>
        <w:tc>
          <w:tcPr>
            <w:tcW w:w="2500" w:type="dxa"/>
            <w:vAlign w:val="bottom"/>
            <w:gridSpan w:val="3"/>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 %</w:t>
            </w:r>
          </w:p>
        </w:tc>
        <w:tc>
          <w:tcPr>
            <w:tcW w:w="228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 %</w:t>
            </w:r>
          </w:p>
        </w:tc>
        <w:tc>
          <w:tcPr>
            <w:tcW w:w="2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Two or More Races or Ethnicities (3)</w:t>
            </w:r>
          </w:p>
        </w:tc>
        <w:tc>
          <w:tcPr>
            <w:tcW w:w="2500" w:type="dxa"/>
            <w:vAlign w:val="bottom"/>
            <w:gridSpan w:val="3"/>
          </w:tcPr>
          <w:p>
            <w:pPr>
              <w:jc w:val="right"/>
              <w:ind w:right="190"/>
              <w:spacing w:after="0"/>
              <w:rPr>
                <w:sz w:val="20"/>
                <w:szCs w:val="20"/>
                <w:color w:val="auto"/>
              </w:rPr>
            </w:pPr>
            <w:r>
              <w:rPr>
                <w:rFonts w:ascii="Times New Roman" w:cs="Times New Roman" w:eastAsia="Times New Roman" w:hAnsi="Times New Roman"/>
                <w:sz w:val="18"/>
                <w:szCs w:val="18"/>
                <w:color w:val="auto"/>
              </w:rPr>
              <w:t>9.1 %</w:t>
            </w:r>
          </w:p>
        </w:tc>
        <w:tc>
          <w:tcPr>
            <w:tcW w:w="22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7.0 %</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White</w:t>
            </w:r>
          </w:p>
        </w:tc>
        <w:tc>
          <w:tcPr>
            <w:tcW w:w="2500" w:type="dxa"/>
            <w:vAlign w:val="bottom"/>
            <w:gridSpan w:val="3"/>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45.4 %</w:t>
            </w:r>
          </w:p>
        </w:tc>
        <w:tc>
          <w:tcPr>
            <w:tcW w:w="228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67.4 %</w:t>
            </w:r>
          </w:p>
        </w:tc>
        <w:tc>
          <w:tcPr>
            <w:tcW w:w="2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39.8 %</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Prefer not to disclose</w:t>
            </w:r>
          </w:p>
        </w:tc>
        <w:tc>
          <w:tcPr>
            <w:tcW w:w="2500" w:type="dxa"/>
            <w:vAlign w:val="bottom"/>
            <w:gridSpan w:val="3"/>
          </w:tcPr>
          <w:p>
            <w:pPr>
              <w:jc w:val="right"/>
              <w:ind w:right="190"/>
              <w:spacing w:after="0"/>
              <w:rPr>
                <w:sz w:val="20"/>
                <w:szCs w:val="20"/>
                <w:color w:val="auto"/>
              </w:rPr>
            </w:pPr>
            <w:r>
              <w:rPr>
                <w:rFonts w:ascii="Times New Roman" w:cs="Times New Roman" w:eastAsia="Times New Roman" w:hAnsi="Times New Roman"/>
                <w:sz w:val="18"/>
                <w:szCs w:val="18"/>
                <w:color w:val="auto"/>
              </w:rPr>
              <w:t>18.2 %</w:t>
            </w:r>
          </w:p>
        </w:tc>
        <w:tc>
          <w:tcPr>
            <w:tcW w:w="22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 %</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Leadership includes all employees at the director level or higher.</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 Z &amp; Millennials includes individuals forty-one years of age or younger.</w:t>
      </w:r>
    </w:p>
    <w:p>
      <w:pPr>
        <w:spacing w:after="0" w:line="9" w:lineRule="exact"/>
        <w:rPr>
          <w:rFonts w:ascii="Times New Roman" w:cs="Times New Roman" w:eastAsia="Times New Roman" w:hAnsi="Times New Roman"/>
          <w:sz w:val="18"/>
          <w:szCs w:val="18"/>
          <w:color w:val="auto"/>
        </w:rPr>
      </w:pPr>
    </w:p>
    <w:p>
      <w:pPr>
        <w:ind w:left="340" w:right="20" w:hanging="332"/>
        <w:spacing w:after="0" w:line="260"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Individuals who identify as two or more races are included in “Two or More Races or Ethnicities” and excluded from other categories.</w:t>
      </w:r>
    </w:p>
    <w:p>
      <w:pPr>
        <w:spacing w:after="0" w:line="177" w:lineRule="exact"/>
        <w:rPr>
          <w:sz w:val="20"/>
          <w:szCs w:val="20"/>
          <w:color w:val="auto"/>
        </w:rPr>
      </w:pPr>
    </w:p>
    <w:p>
      <w:pPr>
        <w:ind w:right="20"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Company Culture and Values. </w:t>
      </w:r>
      <w:r>
        <w:rPr>
          <w:rFonts w:ascii="Times New Roman" w:cs="Times New Roman" w:eastAsia="Times New Roman" w:hAnsi="Times New Roman"/>
          <w:sz w:val="18"/>
          <w:szCs w:val="18"/>
          <w:color w:val="auto"/>
        </w:rPr>
        <w:t>We are proud of our strong culture, which is embodied by our diverse workforce. Our culture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defined by our core values: “All Voices, All In, Always Evolving.”</w:t>
      </w:r>
    </w:p>
    <w:p>
      <w:pPr>
        <w:spacing w:after="0" w:line="159" w:lineRule="exact"/>
        <w:rPr>
          <w:sz w:val="20"/>
          <w:szCs w:val="20"/>
          <w:color w:val="auto"/>
        </w:rPr>
      </w:pPr>
    </w:p>
    <w:p>
      <w:pPr>
        <w:ind w:left="340" w:hanging="332"/>
        <w:spacing w:after="0" w:line="282"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Voices” means every voice, at every level, is valued and encouraged. We are a team made up of individuals, and diversity and self-expression are welcome. We treat each other with respect. We listen actively and are open and honest with each other.</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 means we are “all in” on ensuring the best possible customer experience, from placing the order to opening the package upon delivery, and every interaction along the way. We pitch in to support our team members and get the job done.</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“Always Evolving” means we are digital-native, changing and evolving along with our customers and technology. We are never satisfied with the status quo. We constantly seek to improve ourselves, our product, and our Company. We take pride in the growth of our teams, promoting top performers and infusing our Company with new and fresh ideas from outside hires. We strive to embody these core values in our connections with our customers as well as our employees.</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strive to embody these core values in our connections with our customers as well as our employees. Our core values form an integral part of our employee experience and expectations. Employees are introduced to these core values during orientation, and they are a component of employees’ performance evaluation. We also honor “Core Values Champions” in our monthly company newsletter and in our “All Voices” meetings, which are open to the entire Company.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Diversity and Inclusion. </w:t>
      </w:r>
      <w:r>
        <w:rPr>
          <w:rFonts w:ascii="Times New Roman" w:cs="Times New Roman" w:eastAsia="Times New Roman" w:hAnsi="Times New Roman"/>
          <w:sz w:val="18"/>
          <w:szCs w:val="18"/>
          <w:color w:val="auto"/>
        </w:rPr>
        <w:t>In support of diversity and inclusion, we are committed to a program of Belonging, Dignity, Justice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Joy (“BDJJ”) and strive to incorporate these concepts into all that we do. This program, backed by strong leadership support, has the goal of fostering an environment where everyone feels honored and respected when they are being their authentic self. We also recognize that representation is important, but not enough—we transcend a commitment to diversity with a commitment to anti-racism. During 2023, we dedicated more internal resources to talent, culture and learning to help further the evolution and scale of our BDJJ strategy as we continue to drive momentum, ensuring that Lulus fosters an inclusive and welcoming environment for our LuCrew members, customers, and partners. We continued to develop our BDJJ program with ongoing BDJJ learning sessions offered to all employees; implemented a Recruitment &amp; Retention task force; a BDJJ focus in our monthly newsletter; and continuously promoted employee Affinity Groups. These Affinity Groups create opportunities for employees to share their diverse perspectives and connect with each other on a deeper level and are intended to foster a culture that is open, inclusive and respectful. These groups have also contributed to greater understanding Companywide of different perspectives, with celebrations and learning experiences open to the entire Company. Our Affinity Groups also helped Lulus identify nonprofits to support, including UNITE2030, EmpowHer, Delta Sigma Theta Sorority, Incorporated Allentown Alumnae Chapter Scholarship Fund, Act To Change, United We Dream, Chico’s Hispanic Association for the Community and Education, The Ronald McDonald House Charities, along with various local pride events.</w:t>
      </w:r>
    </w:p>
    <w:p>
      <w:pPr>
        <w:spacing w:after="0" w:line="185"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Leadership and Development. </w:t>
      </w:r>
      <w:r>
        <w:rPr>
          <w:rFonts w:ascii="Times New Roman" w:cs="Times New Roman" w:eastAsia="Times New Roman" w:hAnsi="Times New Roman"/>
          <w:sz w:val="18"/>
          <w:szCs w:val="18"/>
          <w:color w:val="auto"/>
        </w:rPr>
        <w:t>Central to our “Always Evolving” core value is a dedication to developing our LuCrew members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providing them with skills and development opportunities. We have internal resources dedicated to employee learning and development, including further development of our BDJJ programs. We continue to offer a targeted leadership fundamentals training series for our new and emerging leaders, as well as other opportunities for cross-functional knowledge sharing and collaboration.</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Compensation and Benefits. </w:t>
      </w:r>
      <w:r>
        <w:rPr>
          <w:rFonts w:ascii="Times New Roman" w:cs="Times New Roman" w:eastAsia="Times New Roman" w:hAnsi="Times New Roman"/>
          <w:sz w:val="18"/>
          <w:szCs w:val="18"/>
          <w:color w:val="auto"/>
        </w:rPr>
        <w:t>Our compensation and benefits are designed to enable us to attract, motivate, and retain qualified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dedicated talent. We regularly evaluate wages and salary bands to be competitive with the market. We also offer competitive employee benefits including life and health insurance (medical, dental, and vision), paid time off, paid sick leave, and 401(k) plan with Company match. In 2022, we implemented an Employee Stock Purchase Program, and in 2023, we implemented paid parental leave and doubled the paid time off offered to entry level employees. We recognize employee birthdays and milestone anniversaries both in our newsletter and with individual gifts. Almost all of our corporate and customer service employees have the option of working remotely or on a hybrid basis, and some of our locations are pet-friendly.</w:t>
      </w:r>
    </w:p>
    <w:p>
      <w:pPr>
        <w:spacing w:after="0" w:line="183"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Health and Safety. </w:t>
      </w:r>
      <w:r>
        <w:rPr>
          <w:rFonts w:ascii="Times New Roman" w:cs="Times New Roman" w:eastAsia="Times New Roman" w:hAnsi="Times New Roman"/>
          <w:sz w:val="18"/>
          <w:szCs w:val="18"/>
          <w:color w:val="auto"/>
        </w:rPr>
        <w:t>The health and safety of our employees is core to our Lulus values. Each of our Distribution Centers has a safety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team and safety captains dedicated to maintaining a safe workplace. We continue to take proactive and precautionary steps to protect the health and safety of our employees. In addition, we provide several channels for employees to make suggestions or report concerns related to health and safety. In support of our employees’ mental health, we have an Employee Assistance Program that provides all employees up to three visits per year with a licensed professional counselor. We also highlighted mental health resources for Mental Health Awareness month.</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Our investor relations website is </w:t>
      </w:r>
      <w:r>
        <w:rPr>
          <w:rFonts w:ascii="Times New Roman" w:cs="Times New Roman" w:eastAsia="Times New Roman" w:hAnsi="Times New Roman"/>
          <w:sz w:val="18"/>
          <w:szCs w:val="18"/>
          <w:i w:val="1"/>
          <w:iCs w:val="1"/>
          <w:color w:val="auto"/>
        </w:rPr>
        <w:t>investors.lulus.com</w:t>
      </w:r>
      <w:r>
        <w:rPr>
          <w:rFonts w:ascii="Times New Roman" w:cs="Times New Roman" w:eastAsia="Times New Roman" w:hAnsi="Times New Roman"/>
          <w:sz w:val="18"/>
          <w:szCs w:val="18"/>
          <w:color w:val="auto"/>
        </w:rPr>
        <w:t xml:space="preserve">. In addition to the information about us contained in this Annual Report on Form 10-K, information about us can be found on our website. Our website and information included in or linked to our website are not part of this Annual Report on Form 10-K. Our annual reports on Form 10-K, quarterly reports on Form 10-Q, current reports on Form 8-K and amendments to those reports filed or furnished pursuant to Section 13(a) or 15(d) of the Securities Exchange Act of 1934, as amended, are available free of charge through our website as soon as reasonably practicable after they are electronically filed with or furnished to the SEC. Additionally the SEC maintains an internet site that contains reports, proxy and information statements and other information. The address of the SEC’s website is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Our operations and financial results are subject to various risks and uncertainties including these described below. You should carefully consider the risks and uncertainties described below, together with the other information contained in this Annual Report on Form 10-K, including our consolidated financial statements and related notes. The risks and uncertainties described below are not the only ones we face. Additional risks and uncertainties not presently known to us, or that we currently deem immaterial, may also become important factors that adversely affect our business. If any of the following risks or others not specified below materialize, our business, financial condition, results of operations and liquidity could be materially and adversely affected. In that case, the market price of our common stock could decline, and you may lose all or part of your investment. See “Forward-Looking Statements.”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on our ability to maintain a strong community around the Lulus brand with engaged customers and influencers. We may not be able to maintain and enhance our existing brand community if we receive customer complaints, negative publicity or otherwise fail to live up to consumers’ expectations, which could materially adversely affect our business, financial condition, and results of operations.</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believe that maintaining our brand image, particularly with our core target customers, is important to maintaining and expanding our customer base and sales. Maintaining and enhancing our brand image may require us to make additional investments in areas such as merchandising, marketing, online operations, online displays and other promotions, and employee training. These investments may be substantial and may not ultimately be successful. If we are unable to maintain or enhance our brand image, brand awareness, and reputation, our business, financial condition, and results of operations may be materially and adversely affected.</w:t>
      </w:r>
    </w:p>
    <w:p>
      <w:pPr>
        <w:spacing w:after="0" w:line="18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ability to identify new styles and maintain and enhance our existing brand is critical to retaining and expanding our base of customers. A significant portion of our customers’ experience depends on third parties outside of our control, including suppliers and logistics providers such as UPS and the U.S. Postal Service. If these third parties do not meet our or our customers’ expectations or if they increase their rates, our business may suffer irreparable damage or our costs may increase. In addition, maintaining and enhancing relationships with third-party brands may require us to make substantial investments, and these investments may not be successful. Also, if we fail to promote and maintain our brand, or if we incur excessive expenses in this effort, our business, financial condition, and results of operations may be materially adversely affected. We anticipate that, as our market becomes increasingly competitive, maintaining, and enhancing our brand may become increasingly difficult and expensive.</w:t>
      </w:r>
    </w:p>
    <w:p>
      <w:pPr>
        <w:spacing w:after="0" w:line="19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Customer complaints or negative publicity about our website or mobile app, products, merchandise quality, product delivery times, customer data handling and security practices or customer support, especially on social media, blogs, and in reviews, could rapidly and severely diminish consumer use of our website or mobile app and customer and supplier confidence in us, and result in harm to our brand. We believe that much of the growth in our customer base to date has originated from word-of-mouth, including social media and our influencer-driven marketing strategy. If we are not able to develop and maintain positive relationships with our network of influencers or our online customer community, our ability to promote and maintain or enhance awareness of Lulus and leverage social media platforms to drive visits to </w:t>
      </w:r>
      <w:r>
        <w:rPr>
          <w:rFonts w:ascii="Times New Roman" w:cs="Times New Roman" w:eastAsia="Times New Roman" w:hAnsi="Times New Roman"/>
          <w:sz w:val="18"/>
          <w:szCs w:val="18"/>
          <w:i w:val="1"/>
          <w:iCs w:val="1"/>
          <w:color w:val="auto"/>
        </w:rPr>
        <w:t>www.lulus.com</w:t>
      </w:r>
      <w:r>
        <w:rPr>
          <w:rFonts w:ascii="Times New Roman" w:cs="Times New Roman" w:eastAsia="Times New Roman" w:hAnsi="Times New Roman"/>
          <w:sz w:val="18"/>
          <w:szCs w:val="18"/>
          <w:color w:val="auto"/>
        </w:rPr>
        <w:t xml:space="preserve"> or our mobile app may be adversely affected.</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 global health emergency or epidemics or pandemics like resurgence of COVID-19 and post COVID-19 pandemic environment could have a material adverse effect on our business, and it remains uncertain how they will impact our supply chain and consumer demand for our products.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 global health emergency or epidemics or pandemics like resurgence of COVID-19 and its variants could have an adverse effect on our business, results of operations, and financial condition due to the occurrence of some or all of the following events or circumstances, among others:</w:t>
      </w:r>
    </w:p>
    <w:p>
      <w:pPr>
        <w:spacing w:after="0" w:line="176" w:lineRule="exact"/>
        <w:rPr>
          <w:sz w:val="20"/>
          <w:szCs w:val="20"/>
          <w:color w:val="auto"/>
        </w:rPr>
      </w:pPr>
    </w:p>
    <w:p>
      <w:pPr>
        <w:ind w:left="680" w:hanging="321"/>
        <w:spacing w:after="0" w:line="261" w:lineRule="auto"/>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and our third-party suppliers’, logistics providers’, and other business partners’ inability to manage our or their business effectively;</w:t>
      </w:r>
    </w:p>
    <w:p>
      <w:pPr>
        <w:ind w:left="680" w:hanging="321"/>
        <w:spacing w:after="0"/>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tightening of available credit;</w:t>
      </w:r>
    </w:p>
    <w:p>
      <w:pPr>
        <w:spacing w:after="0" w:line="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in customer demand for our products;</w:t>
      </w:r>
    </w:p>
    <w:p>
      <w:pPr>
        <w:spacing w:after="0" w:line="9" w:lineRule="exact"/>
        <w:rPr>
          <w:rFonts w:ascii="Times New Roman" w:cs="Times New Roman" w:eastAsia="Times New Roman" w:hAnsi="Times New Roman"/>
          <w:sz w:val="18"/>
          <w:szCs w:val="18"/>
          <w:color w:val="auto"/>
        </w:rPr>
      </w:pPr>
    </w:p>
    <w:p>
      <w:pPr>
        <w:ind w:left="680" w:right="20" w:hanging="321"/>
        <w:spacing w:after="0" w:line="250" w:lineRule="auto"/>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temporary inventory shortages caused by difficulties in predicting demand for our products and services and longer lead-times due to import/export conditions such as port congestion, and local government orders; and</w:t>
      </w:r>
    </w:p>
    <w:p>
      <w:pPr>
        <w:ind w:left="680" w:hanging="321"/>
        <w:spacing w:after="0"/>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incurrence of significant increases to employee healthcare and benefits costs.</w:t>
      </w:r>
    </w:p>
    <w:p>
      <w:pPr>
        <w:spacing w:after="0" w:line="20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it remains uncertain how a global health emergency, an epidemic, or pandemic such as a resurgence of COVID-19 and the post-COVID-19 pandemic environment, will impact our supply chain, consumer demand for our products and services, and consumer preferences generally.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efforts to acquire or retain customers may not be successful, which could prevent us from maintaining or increasing our sales.</w:t>
      </w:r>
    </w:p>
    <w:p>
      <w:pPr>
        <w:spacing w:after="0" w:line="229" w:lineRule="exact"/>
        <w:rPr>
          <w:sz w:val="20"/>
          <w:szCs w:val="20"/>
          <w:color w:val="auto"/>
        </w:rPr>
      </w:pPr>
    </w:p>
    <w:p>
      <w:pPr>
        <w:jc w:val="both"/>
        <w:ind w:firstLine="324"/>
        <w:spacing w:after="0" w:line="275" w:lineRule="auto"/>
        <w:rPr>
          <w:sz w:val="20"/>
          <w:szCs w:val="20"/>
          <w:color w:val="auto"/>
        </w:rPr>
      </w:pPr>
      <w:r>
        <w:rPr>
          <w:rFonts w:ascii="Times New Roman" w:cs="Times New Roman" w:eastAsia="Times New Roman" w:hAnsi="Times New Roman"/>
          <w:sz w:val="18"/>
          <w:szCs w:val="18"/>
          <w:color w:val="auto"/>
        </w:rPr>
        <w:t>Our success depends on our ability to acquire customers in a cost-effective manner. In order to expand our customer base, we must appeal to and acquire customers who have historically used other means of commerce in shopping for apparel and may prefer alternatives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to our offerings, such as traditional brick-and-mortar retailers and the websites and mobile apps of our competitors. We have made significant investments related to customer acquisition and expect to continue to spend significant amounts to acquire additional customers. For example, we engage in social media marketing campaigns and maintain relationships with thousands of social media and celebrity influencers. Such campaigns can be expensive and may not result in cost-effective acquisition of customers. We cannot assure that the benefit of acquiring new customers will exceed the cost. If we fail to deliver a quality shopping experience, or if consumers do not perceive the products we offer to be of high value and quality, we may not be able to acquire new customers. If we are unable to acquire or retain customers who purchase products in numbers sufficient to grow our business, we may not be able to generate the scale necessary to drive beneficial network effects with our suppliers, our net revenue may decrease, and our business, financial condition, and results of operations may be materially adversely affected.</w:t>
      </w:r>
    </w:p>
    <w:p>
      <w:pPr>
        <w:spacing w:after="0" w:line="18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also seek to engage with our customers and build awareness of our brands through sponsoring unique events and experiences, such as in-person influencer events or pop-ups, which are experiences we create for our customers and influencers. We anticipate that our marketing initiatives may become increasingly expensive as competition increases and generating a meaningful return on those initiatives may be difficult. If our marketing efforts are not successful in promoting awareness of our brands and products, driving customer engagement or attracting new customers, or if we are not able to effectively manage our marketing expenses, our business, financial condition, and results of operations will be adversely affected.</w:t>
      </w:r>
    </w:p>
    <w:p>
      <w:pPr>
        <w:spacing w:after="0" w:line="18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obtain a significant amount of traffic via social networking platforms or other online channels used by our current and prospective customers. As e-commerce and social networking platforms continue to rapidly evolve, we must continue to maintain and establish relationships with these channels and may be unable to develop or maintain these relationships on acceptable terms. We also acquire and retain customers through paid search/product listing ads, paid social, retargeting, affiliate marketing, personalized email, direct mail marketing and in-store marketing. If we are unable to cost-effectively drive traffic to our website or mobile app, our ability to acquire new customers and our financial condition would suffer.</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maintain a high level of engagement with our customers and increase their spending with us, which could harm our business, financial condition, cash flows, or results of operations.</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 high proportion of our net revenue comes from repeat purchases by existing customers, especially those existing customers who are highly engaged and purchase a significant amount of merchandise from us. If existing customers no longer find our merchandise appealing, they may make fewer purchases and may stop shopping with us. Even if our existing customers find our merchandise appealing, if customer buying preferences change, they may decide to purchase less merchandise over time. Additionally, if customers who purchase a significant amount of merchandise from us were to make fewer purchases or stop shopping with us, then our sales may decline. A decrease in the number of our customers or a decrease in their spending on the merchandise we offer could negatively impact our business, financial condition, cash flows, and results of operations. Further, we believe that our future success will depend in part on our ability to increase sales to our existing customers over time and, if we are unable to do so, our business may suffer.</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success depends on our ability to anticipate, identify, measure, and respond quickly to new and rapidly changing fashion trends, customer preferences and demands and other factors.</w:t>
      </w:r>
    </w:p>
    <w:p>
      <w:pPr>
        <w:spacing w:after="0" w:line="15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Our core market of apparel, footwear, and accessories for women is subject to new and rapidly changing fashion trends, constantly evolving consumer preferences and demands, and a modest brand loyalty. Accordingly, our success is dependent on our ability to anticipate, identify, measure and respond to the latest fashion trends and customer demands, and to translate such trends and demands into appropriate, desirable product offerings in a timely manner. A select team of our employees is primarily responsible for performing this analysis and making initial product decisions, and they rely on feedback on fashion trends from a variety of sources, which may not accurately predict evolving fashion trends. Our failure to anticipate, identify or react swiftly and appropriately to new and changing styles, trends or desired customer preferences or to accurately anticipate and forecast demand for certain product offerings is likely to lead to lower demand for our merchandise, which could cause, among other things, sales declines, excess inventories, a greater number of markdowns and lower margins. Further, if we are not able to anticipate, identify and respond to changing fashion trends and customer preferences, we may lose customers and market share to our competitors who are able to better anticipate, identify and respond to such trends and preferences. In addition, because our success depends on our brand image, our business could be materially adversely affected if new product offerings are not accepted by our customers. We cannot assure investors that our new product offerings will be met with the same level of acceptance as our past product offerings or that we will be able to adequately respond to fashion trends or the preferences of our customers in a timely manner or at all. If we do not accurately anticipate, identify, forecast, or analyze fashion trends and sales levels, it could have a material adverse effect on our business, financial condition, cash flows, and results of operations.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drive traffic to our platform and retail store, which could negatively affect our business, financial condition, cash flows, and results of operations.</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success depends on our ability to attract customers cost effectively. With respect to our marketing channels, we rely heavily on relationships with providers of online services, search engines, social media, directories, and other websites and e-commerce businesses to provide content, advertising banners, and other links that direct customers to our websites and retail store. We rely on these relationships to provide significant traffic to our website. In particular, we rely primarily on digital platforms, such as Google and Facebook, as important marketing channels. Digital channels change their algorithms periodically, and our rankings in organic searches and visibility in social media feeds may be adversely affected by those changes, as has occurred from time to time, requiring us to increase our spending on paid marketing to offset the loss in traffic. Search engine companies may also determine that we are not in compliance with their guidelines and consequently penalize us in their algorithms as a result. Even with an increase in marketing spend to offset any loss in search engine optimization traffic as a result of algorithm changes, the recovery period in organic traffic may span multiple quarters or years. If digital platforms change or penalize us with their algorithms, terms of service, display and featuring of search results, or if competition increases for advertisements, we may be unable to cost-effectively attract customers.</w:t>
      </w:r>
    </w:p>
    <w:p>
      <w:pPr>
        <w:spacing w:after="0" w:line="19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relationships with digital platforms are not covered by long-term contractual agreements and do not require any specific performance commitments. In addition, many of the platforms and agencies with whom we have advertising arrangements provide advertising services to other companies, including retailers with whom we compete. As competition for online advertising has increased, the cost for some of these services has also increased. A significant increase in the cost of the marketing providers upon which we rely could adversely impact our ability to attract customers cost effectively and harm our business, financial condition, results of operations, and prospects.</w:t>
      </w:r>
    </w:p>
    <w:p>
      <w:pPr>
        <w:spacing w:after="0" w:line="18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Lastly, in response to changes in advertising and consumer privacy requirements, our advertising partners may change the types of information we can use for targeted advertising, and this could affect our ability to advertise effectively and efficiently.</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of our key operating metrics are subject to inherent challenges in measurement and real or perceived inaccuracies in such metrics may harm our reputation and negatively affect our business.</w:t>
      </w:r>
    </w:p>
    <w:p>
      <w:pPr>
        <w:spacing w:after="0" w:line="15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track certain key operating metrics using internal data analytics tools, which have certain limitations. In addition, we rely on data received from third parties, including third-party platforms, to track certain performance indicators. Data from both such sources may include information relating to fraudulent accounts and interactions with our sites or the social media accounts of our influencers (including as a result of the use of bots or other automated or manual mechanisms to generate false impressions that are delivered through our sites or their accounts). We have only limited abilities to verify data from our sites or third parties and perpetrators of fraudulent impressions may change their tactics and may become more sophisticated, which would make it still more difficult to detect such activity.</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methodologies for tracking metrics may also change over time, which could result in changes to the metrics we report. If we undercount or overcount performance due to the internal data analytics tools we use or issues with the data received from third parties, or if our internal data analytics tools contain algorithmic or other technical errors, the data we report may not be accurate or comparable with prior periods.</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addition, limitations, changes or errors with respect to how we measure data may affect our understanding of certain details of our business, which could affect our longer-term strategies. If our performance metrics are not accurate representations of the reach or monetization of our brand, if we discover material inaccuracies in our metrics or the data on which such metrics are based, or if we can no longer calculate any of our key performance metrics with a sufficient degree of accuracy and cannot find an adequate replacement for the metric, our business, financial condition and operating results could be adversely affected.</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Use of social media, influencers, affiliate marketing, email, SMS, podcast advertisements, promotional partnerships and direct mail may adversely impact our brand and reputation or subject us to fines or other penalties.</w:t>
      </w:r>
    </w:p>
    <w:p>
      <w:pPr>
        <w:spacing w:after="0" w:line="15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use social media including Facebook, Instagram, Pinterest, Snapchat, TikTok, Twitter and YouTube, as well as affiliate marketing, email, SMS, podcast advertisements, promotional partnerships and direct mail as part of our multi-channel approach to marketing, and we encourage our customers to use social media while shopping. We utilize various marketing-related contests and giveaways that are subject to applicable laws. We also maintain relationships with thousands of social media influencers, who serve as</w:t>
      </w:r>
    </w:p>
    <w:p>
      <w:pPr>
        <w:sectPr>
          <w:pgSz w:w="11900" w:h="16838" w:orient="portrait"/>
          <w:cols w:equalWidth="0" w:num="1">
            <w:col w:w="9920"/>
          </w:cols>
          <w:pgMar w:left="980" w:top="513" w:right="99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brand ambassadors, and engage in sponsorship initiatives. Laws and regulations governing the use of these platforms and other digital marketing channels are rapidly evolving. It may become more difficult for us or our partners to comply with such laws, and future data privacy laws and regulations or industry standards may restrict or limit our ability to use some or all of the marketing strategies on which we currently rely. The failure by us, our employees or third parties acting at our direction to abide by applicable laws and regulations in the use of these platforms could adversely impact our reputation or subject us to fines or other penalties. In addition, our employees or third parties acting at our direction, including our large network of social media brand ambassadors, may knowingly or inadvertently make use of social media in ways that could lead to the loss or infringement of intellectual property, as well as the public disclosure of proprietary, confidential or sensitive personal information of our business, employees, customers, or others. Any such inappropriate use of social media tools could also cause business interruptions and reputational damage.</w:t>
      </w:r>
    </w:p>
    <w:p>
      <w:pPr>
        <w:spacing w:after="0" w:line="18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Customers value readily available information concerning retailers and their goods and services and often act on such information without further investigation and without regard to its accuracy. Information concerning us, whether accurate or not, may be posted on social media platforms at any time and may have a disproportionately adverse impact on our brand, reputation, or business. The harm may be immediate without affording us an opportunity for redress or correction and could have a material adverse effect on our business, financial condition, and results of operations.</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addition, an increase in the use of social media for product promotion and marketing may cause an increase in the burden on us to monitor compliance of such materials, and increase the risk that such materials could contain problematic product or marketing claims in violation of applicable regulations. For example, in some cases, the FTC has sought enforcement action where an endorsement has failed to clearly and conspicuously disclose a financial relationship between an influencer and an advertiser.</w:t>
      </w:r>
    </w:p>
    <w:p>
      <w:pPr>
        <w:spacing w:after="0" w:line="18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Negative commentary regarding us, our products, or influencers and other third parties who are affiliated with us may also be posted on social media platforms and may have an adverse impact to our reputation or business. Influencers with whom we maintain relationships could engage in behavior or use their platforms to communicate directly with our customers in a manner that reflects poorly on our brand and may be attributed to us or otherwise adversely affect us. It is not possible to prevent such behavior, and the precautions we take to detect this activity may not be effective in all cases. Our target customers often value readily available information and often act on such information without further investigation and without regard to its accuracy. The harm may be immediate, without affording us an opportunity for redress or correction.</w:t>
      </w:r>
    </w:p>
    <w:p>
      <w:pPr>
        <w:spacing w:after="0" w:line="18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not historically used traditional advertising channels, and if we become unable to continue to connect with our target customer base, it could have a material adverse effect on our business, financial condition, and results of operations.</w:t>
      </w:r>
    </w:p>
    <w:p>
      <w:pPr>
        <w:spacing w:after="0" w:line="159" w:lineRule="exact"/>
        <w:rPr>
          <w:sz w:val="20"/>
          <w:szCs w:val="20"/>
          <w:color w:val="auto"/>
        </w:rPr>
      </w:pPr>
    </w:p>
    <w:p>
      <w:pPr>
        <w:jc w:val="both"/>
        <w:ind w:firstLine="324"/>
        <w:spacing w:after="0" w:line="271" w:lineRule="auto"/>
        <w:rPr>
          <w:sz w:val="20"/>
          <w:szCs w:val="20"/>
          <w:color w:val="auto"/>
        </w:rPr>
      </w:pPr>
      <w:r>
        <w:rPr>
          <w:rFonts w:ascii="Times New Roman" w:cs="Times New Roman" w:eastAsia="Times New Roman" w:hAnsi="Times New Roman"/>
          <w:sz w:val="17"/>
          <w:szCs w:val="17"/>
          <w:color w:val="auto"/>
        </w:rPr>
        <w:t>We utilize organic, content, affiliate marketing, email, SMS, direct mail, paid search, and social media marketing, along with newer channels such as podcast advertisements and promotional partnerships, to capture the interest of our customers and drive them to our platform. We historically have not used traditional advertising channels, such as newspapers, magazines, and television, which are used by some of our competitors. In the future, we expect to increase our use of social media, such as Facebook, Instagram, Pinterest, Snapchat, TikTok, Twitter and YouTube for marketing purposes. If our marketing efforts are not successful, there may be no immediately available or cost-effective alternative marketing channel for us to use to build or maintain brand awareness. As we execute our growth strategy, our ability to successfully integrate into our target customers’ communities or to expand into new markets will be dependent on our ability to connect with our target customers through marketing channels. Failure to successfully connect with our target customers in new and existing markets could have a material adverse effect on our business, financial condition, and results of operations.</w:t>
      </w:r>
    </w:p>
    <w:p>
      <w:pPr>
        <w:spacing w:after="0" w:line="17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Further, the social media platforms we rely on for marketing purposes are dependent on third party mobile operating systems that we do not control, such as iOS and Android, and any changes in such systems must be adapted to. These changes could adversely affect our ability to connect with our target customers, and our customer growth could be harmed and our business, financial condition and operating results may be materially and adversely affected.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accurately forecast income and appropriately plan our expenses.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base our current and future expense levels on our operating forecasts and estimates of future income. Income and results of operations are difficult to forecast because they generally depend on the volume, timing and value of the orders we receive, and return rates, all of which are uncertain. In addition, we cannot be certain that the same growth rates, trends and other key performance metrics are meaningful predictors of future growth. Additionally, our business is affected by general economic and business conditions around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world. A softening in income, whether caused by changes in customer preferences or a weakening in global economies, may result in decreased net revenue levels, and we may be unable to adjust our spending in a timely manner to compensate for any unexpected shortfall in income. This inability could cause our net income/(loss) after tax in a given quarter to be higher or lower than expected. We also make certain assumptions when forecasting the amount of expense we expect related to our future share based payments, which includes the expected volatility of our share price and the expected life of share awards granted. These assumptions are partly based on historical results. If actual results differ from our estimates, our net income in a given quarter may be lower than expected or our net loss in a given quarter may be higher than expected.</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business depends on the transportation of a large number of products. Our ability to accurately forecast and plan expenses could be adversely impacted by limitations on fuel supplies or increases in fuel prices that result in higher costs of transportation and distribution of our products. Although we are able to update our forecasts and estimates based on current data and modify the pricing of our products accordingly, there is often a lag before such modified pricing is reflected in our operating results, and there is a limit to how much of any fuel price or other distribution cost increases we can pass onto our customers. Any such limits may adversely affect our results of operations.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provide high-quality customer support or have significant changes to policies and/or services, third party or otherwise, it could have a material adverse effect on our business, financial condition, and results of operations.</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ongoing customer support is important to the successful marketing and sale of our merchandise. Providing this support requires that our customer support personnel have fashion, retail, technical, and other knowledge and expertise, making it difficult for us to hire qualified personnel and scale our support operations. The demand on our customer support organization will increase as we expand our business and pursue new customers, and such increased support could require us to devote significant development services and support personnel, which could strain our team and infrastructure and reduce our profit margins. If we do not help our customers quickly resolve issues and provide effective ongoing customer support, our ability to sell additional merchandise to existing and future customers could suffer and our reputation would be harmed. If we modify our customer service policies or services, this may result in customer dissatisfaction and our ability to expand our business may be impaired. If we are unable to hire and retain customer support personnel capable of consistently providing customer support at a high level, as demonstrated by their enthusiasm for our culture, understanding of our customers, and knowledge of the merchandise that we offer, our ability to expand our business may be impaired.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affected by seasonality, which could result in fluctuations in our results of operations.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experience moderate fluctuations in aggregate sales volume during the year. Historically, our net revenue has typically been highest in our second fiscal quarter and lowest in our fourth fiscal quarter. The seasonality of our business has resulted in variability in our total net revenue quarter-to-quarter. In addition, our customers may change their order patterns and buying habits, including frequency of purchase and/or number of items per order. As a result, we may not be able to accurately predict our quarterly sales. Accordingly, our results of operations are likely to fluctuate significantly from period to period. This seasonality, along with other factors that are beyond our control, including general economic conditions, changes in consumer preferences, weather conditions, including the effects of climate change, the availability of import quotas, transportation disruptions and foreign currency exchange rate fluctuations, could adversely affect our business and cause our results of operations to fluctuate.</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payment-related risks that could increase our operating costs, expose us to fraud or theft, subject us to potential liability and potentially disrupt our business.</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accept payments online via credit and debit cards, Klarna, Afterpay, PayPal, Lulus gift cards, and Lulus online credit, which subject us to certain regulations and risk of fraud, and we may in the future offer new payment options to customers that would be subject to additional regulations and risks. We pay interchange and other fees in connection with credit card payments, which may increase over time and adversely affect our results of operations. While we use third parties to process credit and debit card payments, we are subject to payment card association operating rules and certification requirements, including the Payment Card Industry Data Security Standard and rules governing electronic funds transfers. If we fail to comply with applicable rules and regulations or experience a security breach involving payment card information, we may be subject to fines, assessments and/or higher transaction fees and may lose our ability to accept online payments or other payment card transactions. If any of these events were to occur, our business, financial condition, and results of operations could be adversely affected.</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cash could be adversely affected if the financial institutions in which we hold our cash fail.</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maintain domestic cash deposits in Federal Deposit Insurance Corporation (“FDIC”) insured banks. The domestic bank deposit balances may exceed the FDIC insurance limits. These balances could be impacted if one or more of the financial institutions in which we deposit monies fails or is subject to other adverse conditions in the financial or credit markets.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incur significant losses from customer and or credit card fraud.</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have in the past incurred and may in the future incur losses from various types of fraud, including stolen credit card numbers, claims that a customer did not authorize a purchase, merchant fraud, and customers who have closed bank accounts or have insufficient funds in open bank accounts to satisfy payments, and any such losses may be significant. In addition to the direct costs of such losses, if the fraud is related to credit card transactions and becomes excessive, it could potentially result in us paying higher fees or losing the right to accept credit cards for payment. In addition, under current credit card practices, we are liable for fraudulent credit card transactions because we do not obtain a cardholder’s signature. Our failure to adequately prevent fraudulent transactions could damage our reputation, result in litigation or regulatory action and lead to expenses that could substantially impact our results of operations.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Growth</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estimates of market opportunity and forecasts of market growth included in this Annual Report on Form 10-K may prove to be inaccurate, and even if the markets in which we compete achieve the forecasted growth, our business may not grow at similar rates, or at all.</w:t>
      </w:r>
    </w:p>
    <w:p>
      <w:pPr>
        <w:spacing w:after="0" w:line="14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Market opportunity estimates and growth forecasts included in this Annual Report on Form 10-K are subject to significant uncertainty and are based on assumptions and estimates which may not prove to be accurate. The estimates and forecasts included in this Annual Report on Form 10-K relating to size and expected growth of our target market may prove to be inaccurate. Even if the markets in which we compete meet the size estimates and growth forecasts included in this Annual Report on Form 10-K, our business may not grow at similar rates, or at all. Our growth is subject to many factors, including our success in implementing our business strategy, which is subject to many risks and uncertainties.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past results may not be indicative of future results.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Although our net revenue and profitability have historically grown rapidly prior to and immediately following the impact of the COVID-19 pandemic in the United States in 2020, this should not be considered as indicative of our future performance. We operate in a rapidly evolving industry that may not develop in a manner favorable to our business. You should consider our business and prospects in light of the risks and challenges we may encounter.</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future success will depend in large part upon our ability to, among other things:</w:t>
      </w:r>
    </w:p>
    <w:p>
      <w:pPr>
        <w:spacing w:after="0" w:line="225" w:lineRule="exact"/>
        <w:rPr>
          <w:sz w:val="20"/>
          <w:szCs w:val="20"/>
          <w:color w:val="auto"/>
        </w:rPr>
      </w:pPr>
    </w:p>
    <w:p>
      <w:pPr>
        <w:ind w:left="680" w:hanging="321"/>
        <w:spacing w:after="0"/>
        <w:tabs>
          <w:tab w:leader="none" w:pos="6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cost-effectively acquire new customers and engage with and retain existing customers;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adequately and effectively staff our distribution facilities;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our inventory effectively;</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 and respond to macroeconomic changes;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market share;</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consumer awareness of our brand and maintain our reputation;</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expand our offering and geographic reach;</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 an assortment of merchandise that is attractive to our customers;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compete effectively;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hanging="321"/>
        <w:spacing w:after="0"/>
        <w:tabs>
          <w:tab w:leader="none" w:pos="6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avoid interruptions in our business from information technology downtime, cybersecurity breaches, or labor stoppages;</w:t>
      </w:r>
    </w:p>
    <w:p>
      <w:pPr>
        <w:spacing w:after="0" w:line="225"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overcome a global health emergency, an epidemic, or pandemic such as a resurgence of COVID-19 and the post-COVID-19 pandemic environment;</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manage our growth;</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integrate, and retain talented people at all levels of our organization;</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the quality of our technology infrastructure;</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internationally;</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new features to enhance the customer experience on our sites; 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new suppliers and deepen our relationships with existing suppliers.</w:t>
      </w:r>
    </w:p>
    <w:p>
      <w:pPr>
        <w:spacing w:after="0" w:line="22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If we fail to address the risks and challenges that we face, including those associated with the challenges listed above as well as those described elsewhere in this “Risk Factors” section, our business and our operating results will be adversely affected.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successfully implement our growth strategy.</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Our future growth, profitability and cash flows depend upon our ability to successfully implement our business strategy, which, in turn, is dependent upon a number of factors, including our ability to:</w:t>
      </w:r>
    </w:p>
    <w:p>
      <w:pPr>
        <w:spacing w:after="0" w:line="121" w:lineRule="exact"/>
        <w:rPr>
          <w:sz w:val="20"/>
          <w:szCs w:val="20"/>
          <w:color w:val="auto"/>
        </w:rPr>
      </w:pPr>
    </w:p>
    <w:p>
      <w:pPr>
        <w:ind w:left="680" w:hanging="321"/>
        <w:spacing w:after="0"/>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 our brand awareness and attract new customers;</w:t>
      </w:r>
    </w:p>
    <w:p>
      <w:pPr>
        <w:spacing w:after="0" w:line="18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 and retain our existing customer relationships;</w:t>
      </w:r>
    </w:p>
    <w:p>
      <w:pPr>
        <w:spacing w:after="0" w:line="198"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pursue category expansion; and</w:t>
      </w:r>
    </w:p>
    <w:p>
      <w:pPr>
        <w:spacing w:after="0" w:line="18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pursue international expansion.</w:t>
      </w:r>
    </w:p>
    <w:p>
      <w:pPr>
        <w:spacing w:after="0" w:line="18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cannot assure that we can successfully achieve any or all of the above initiatives in the manner or time period that we expect. Further, achieving these objectives will require investments which may result in short-term costs without generating any net revenue and, therefore, may be dilutive to our earnings. We cannot provide any assurance that we will realize, in full or in part, the anticipated benefits we expect our strategy will achieve. The failure to realize those benefits could have a material adverse effect on our business, financial condition, and results of operations.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current growth plans may place a strain on our existing resources and could cause us to encounter challenges we have not faced before.</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As we expand, our operations will become more complex. We have grown rapidly, with our net revenue increasing from $133 million in 2016 to $355 million in 2023, with variability in the years between primarily attributed to the impact of the COVID-19 pandemic and the ensuing pent-up demand period followed by a period of macroeconomic pressures and more muted consumer spending. We expect our future growth to bring new challenges. Among other difficulties that we may encounter, this growth may place a strain on our existing infrastructure, including our distribution facilities, information technology systems, financial controls, merchandising, and operations personnel. We may also place increased demands on our suppliers, to the extent we increase the size of our merchandise orders. The increased demands that our growth plans may place on our infrastructure may cause us to operate our business less efficiently or effectively, which could cause a deterioration in the performance of our business. New order delivery times could lengthen as a result of the strains that growth may place on our existing resources, and our growth may make it otherwise difficult for us to respond quickly to changing trends, customer preferences and other factors. This could impair our ability to continue to offer on-trend merchandise which could result in excess inventory, greater markdowns, loss of market share and decreased sales which, in turn, could have a material adverse effect on our business, financial condition, and results of operations.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addition, our growth may place increased demands on our existing operational, managerial, administrative, and other resources. Specifically, our inventory management systems, personnel and processes will need to continue to evolve to keep pace with our growth strategy. We cannot anticipate all of the demands that our expanding operations will impose on our business, and our failure to appropriately address these demands could have an adverse effect on business, financial condition, and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manage our growth effectively, and such rapid growth may adversely affect our corporate culture.</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have rapidly and significantly expanded our operations and anticipate expanding further as we pursue our growth strategies. Such expansion increases the complexity of our business and places a significant strain on our management, operations, technical systems, financial resources, and internal control over financial reporting functions. Our current and planned personnel, systems, procedures, and controls may not be adequate to support and effectively manage our future operations.</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collaborative culture is important to us, and we believe it has been a major contributor to our success. We may have difficulties maintaining our culture or adapting it sufficiently to meet the needs of our future and evolving operations as we continue to grow, including as we expand internationally. In addition, our ability to maintain our culture as a public company, with the attendant changes in policies, practices, corporate governance, and management requirements may be challenging. Failure to maintain our culture could have a material adverse effect on our business, financial condition, and results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 we pursue our international growth strategy, we will become subject to international business uncertainties.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intend to increase sales of our products to customers located outside the United States. Further, we may establish additional relationships in other countries to grow our operations. The substantial up-front investment required, the lack of consumer awareness of our products in jurisdictions outside of the United States, differences in consumer preferences and trends between the United States and other jurisdictions, the risk of inadequate intellectual property protections and differences in packaging, labeling and related laws, rules and regulations are all substantial matters that need to be evaluated prior to doing business in new territories. We cannot assure that our international efforts will be successful. International sales and increased international operations may be subject to risks such as:</w:t>
      </w:r>
    </w:p>
    <w:p>
      <w:pPr>
        <w:spacing w:after="0" w:line="160" w:lineRule="exact"/>
        <w:rPr>
          <w:sz w:val="20"/>
          <w:szCs w:val="20"/>
          <w:color w:val="auto"/>
        </w:rPr>
      </w:pPr>
    </w:p>
    <w:p>
      <w:pPr>
        <w:ind w:left="680" w:hanging="321"/>
        <w:spacing w:after="0"/>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staffing and managing foreign operations;</w:t>
      </w:r>
    </w:p>
    <w:p>
      <w:pPr>
        <w:spacing w:after="0" w:line="211"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burdens of complying with a wide variety of laws and regulations, including more stringent regulations relating to data privacy and security, particularly in the EU;</w:t>
      </w:r>
    </w:p>
    <w:p>
      <w:pPr>
        <w:spacing w:after="0" w:line="148"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tax effects and foreign exchange controls making it difficult to repatriate earnings and cash;</w:t>
      </w:r>
    </w:p>
    <w:p>
      <w:pPr>
        <w:spacing w:after="0" w:line="198"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economic instability, terrorism and wars, such as the current situation with Ukraine and Russia and increased tensions between Taiwan and China;</w:t>
      </w:r>
    </w:p>
    <w:p>
      <w:pPr>
        <w:spacing w:after="0" w:line="148"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macroeconomic conditions, including inflation, labor shortages, supply chain shortages, or other economic, political or legal uncertainties or adverse developments;</w:t>
      </w:r>
    </w:p>
    <w:p>
      <w:pPr>
        <w:spacing w:after="0" w:line="148"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w:t>
      </w:r>
    </w:p>
    <w:p>
      <w:pPr>
        <w:spacing w:after="0" w:line="198"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restrictions;</w:t>
      </w:r>
    </w:p>
    <w:p>
      <w:pPr>
        <w:spacing w:after="0" w:line="21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employment practices and laws and labor disruptions;</w:t>
      </w:r>
    </w:p>
    <w:p>
      <w:pPr>
        <w:spacing w:after="0" w:line="21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consumer protection and product laws;</w:t>
      </w:r>
    </w:p>
    <w:p>
      <w:pPr>
        <w:spacing w:after="0" w:line="198"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imposition of government controls;</w:t>
      </w:r>
    </w:p>
    <w:p>
      <w:pPr>
        <w:spacing w:after="0" w:line="21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use or to obtain adequate intellectual property protection for our key brands and products;</w:t>
      </w:r>
    </w:p>
    <w:p>
      <w:pPr>
        <w:spacing w:after="0" w:line="21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tariffs and customs duties and the classifications of our goods by applicable governmental bodies;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hanging="321"/>
        <w:spacing w:after="0"/>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legal system subject to undue influence or corruption;</w:t>
      </w:r>
    </w:p>
    <w:p>
      <w:pPr>
        <w:spacing w:after="0" w:line="198"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business culture in which illegal sales practices may be prevalent;</w:t>
      </w:r>
    </w:p>
    <w:p>
      <w:pPr>
        <w:spacing w:after="0" w:line="21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logistics and sourcing;</w:t>
      </w:r>
    </w:p>
    <w:p>
      <w:pPr>
        <w:spacing w:after="0" w:line="21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military conflicts; and</w:t>
      </w:r>
    </w:p>
    <w:p>
      <w:pPr>
        <w:spacing w:after="0" w:line="198"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acts of terrorism.</w:t>
      </w:r>
    </w:p>
    <w:p>
      <w:pPr>
        <w:spacing w:after="0" w:line="21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occurrence of any of these risks could negatively affect our international business and consequently our overall business, financial condition, and results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Industry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global apparel industry is subject to intense pricing pressure.</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apparel industry is characterized by low barriers to entry for both suppliers and marketers, global sourcing through suppliers located throughout the world, trade liberalization, continuing movement of product sourcing to lower cost countries, regular promotional activity and the ongoing emergence of new competitors with widely varying strategies and resources. These factors have contributed, and may continue to contribute in the future, to intense pricing pressure and uncertainty throughout the supply chain. Pricing pressure has been exacerbated by the availability of raw materials in recent years. Additionally, inflation and supply chain constraints caused by business challenges resulting from, among other things, the COVID-19 pandemic could increase pricing pressure on our business. This pressure could have adverse effects on our business and financial condition, including:</w:t>
      </w:r>
    </w:p>
    <w:p>
      <w:pPr>
        <w:spacing w:after="0" w:line="189" w:lineRule="exact"/>
        <w:rPr>
          <w:sz w:val="20"/>
          <w:szCs w:val="20"/>
          <w:color w:val="auto"/>
        </w:rPr>
      </w:pPr>
    </w:p>
    <w:p>
      <w:pPr>
        <w:ind w:left="680" w:hanging="321"/>
        <w:spacing w:after="0"/>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gross margins across our product lines and distribution channels;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supplier demands for allowances, incentives, and other forms of economic support; 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pressure on us to reduce our product costs and operating expenses.</w:t>
      </w:r>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operate in the highly competitive retail apparel industry, and the size and resources of some of our competitors may allow them to compete more effectively than we can, which could adversely impact our growth and market share, and have a material adverse effect on our business, financial condition, and results of operations.</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operate in the highly competitive retail apparel industry. We compete on the basis of a combination of factors, including our quality, concept, price, breadth, and style of merchandise, as well as our online experience and level of customer service, our brand image, and our ability to anticipate, identify and respond to new and changing fashion trends and customer demands. While we believe that we compete primarily with national and international apparel retailers and e-commerce businesses that specialize in women’s apparel, footwear, and accessories, we also face competition from national and regional department stores, specialty retailers, fast-fashion retailers, value retailers, and mass merchants. In addition, our expansion into markets served by our competitors and entry of new competitors or expansion of existing competitors into our markets could have a material adverse effect on our business, financial condition, and results of operations.</w:t>
      </w:r>
    </w:p>
    <w:p>
      <w:pPr>
        <w:spacing w:after="0" w:line="19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also compete with a wide variety of large and small retailers and e-commerce businesses for customers, suppliers, influencers and personnel. The competitive landscape we face, particularly among apparel retailers, is subject to rapid change as new competitors emerge and existing competitors change their offerings. We cannot assure investors that we will be able to continue to compete successfully and navigate the shifts in the competitive landscape in our markets.</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Many of our existing and potential competitors are, and many of our potential competitors may be, larger and have greater name recognition and access to greater financial, marketing and other resources than us. Therefore, these competitors may be able to adapt to changes in trends and customer desires more quickly, devote greater resources to the marketing and sale of their products, generate greater brand recognition or adopt more aggressive pricing policies than we can. Many of our competitors also utilize advertising and marketing media which we have not historically used, including advertising via newspapers, magazines, and television, which may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provide them with greater brand recognition than we have. As a result, we may lose market share, which could reduce our sales and have a material adverse effect on our business, financial condition, and results of operations.</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competitors may also sell certain products or substantially similar products through outlet centers or discount stores, increasing the competitive pressure for those products. We cannot assure investors that we will continue to be able to compete successfully against existing or future competitors. Our expansion into markets served by our competitors and entry of new competitors or expansion of existing competitors into our markets could have a material adverse effect on us. Competitive forces and pressures may intensify as our presence in the retail marketplace grows.</w:t>
      </w:r>
    </w:p>
    <w:p>
      <w:pPr>
        <w:spacing w:after="0" w:line="18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do not possess exclusive rights to many of the elements that comprise our online experience and merchandise offerings. Some apparel retailers offer a personalized shopping experience that in certain ways is similar to the one we strive to provide to our customers. Our competitors may seek to emulate facets of our business strategy, including “test, learn, and reorder,” speed-to-market and online experience, which could result in a reduction of any competitive advantage or special appeal that we might possess. In addition, some of our merchandise offerings are sold to us on a non-exclusive basis. As a result, our current and future competitors, especially those with greater financial, marketing, or other resources, may be able to duplicate or improve upon some or all of the elements of our online experience or merchandise offerings that we believe are important in differentiating our website and our customers’ shopping experience. If our competitors were to duplicate or improve upon some or all of the elements of our online experience or product offerings, our competitive position could suffer, which could have a material adverse effect on our business, financial condition, and results of operations.</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consumer discretionary spending and may be adversely affected by economic downturns and other macroeconomic conditions or trends.</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business and results of operations are subject to global economic conditions and their impact on consumer discretionary spending. Customer purchases of discretionary retail items and specialty retail products, which include our apparel, footwear, and accessories, may be adversely affected by economic conditions such as employment levels, salary and wage levels, the availability of customer credit, inflation, high interest rates, high tax rates, high fuel prices, and customer confidence with respect to current and future economic conditions. Customer purchases may decline during recessionary periods or at other times when unemployment is higher, fuel prices are higher or disposable income is lower. During 2023, we experienced reductions in net revenue due to worse macroeconomic conditions where consumers generally lowered their spending levels. These risks may be exacerbated for retailers like us that focus significantly on selling discretionary fashion merchandise to customers who seek value. Customer willingness to make discretionary purchases may decline, may stall or may be slow to increase due to national and regional economic conditions.</w:t>
      </w:r>
    </w:p>
    <w:p>
      <w:pPr>
        <w:spacing w:after="0" w:line="18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sales may be particularly susceptible to economic and other conditions in certain regions, states or countries. Considerable uncertainty and volatility remains in the national and global economy, and any further or future slowdowns or disruptions in the economy could adversely affect online shopping traffic and customer discretionary spending and could have a material adverse effect on our business, financial condition, and results of operations. In addition, we may not be able to maintain our recent rate of growth in net revenue if there is a decline in customer spending. In addition, we may not be able to grow net revenue if there is a continued decline in customer spending.</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Merchandise and Inventory</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not able to successfully maintain our desired merchandise assortment or manage our inventory effectively, we may be unable to attract a sufficient number of customers or sell sufficient quantities of our merchandise, which could result in excess inventories, markdowns, and foregone sales.</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offer our customers a broad merchandise assortment with new styles introduced virtually every day in small batches. This enables us to learn about customer demand using our proprietary reorder algorithm, which allows us to reorder winning products in higher volume. We cannot assure investors that we will be able to continue to stock a broad assortment of merchandise at our current frequency. If we are unable to offer a broad merchandise assortment or manage our inventory effectively, customers may choose to visit our website less frequently, our brand could be impaired, we could lose sales, and our ability to compete successfully and our market share may decline. Further, any failure to manage our merchandise assortment could lead to excess inventories which could lead to markdowns. We have experienced logistics issues that have adversely affected our ability to manage our inventory in the past and may</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experience such issues in the future. If we are unable to successfully maintain our desired merchandise assortment, it could have a material adverse effect on our business, financial condition, and results of operations.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obtain merchandise on a timely basis at competitive prices could suffer as a result of any deterioration or change in our supplier relationships or events that adversely affect our suppliers or their ability to obtain financing for their operations.</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have many important supplier relationships. We do not own or operate any manufacturing facilities. Instead, we purchase nearly all of our merchandise from third-party suppliers. During 2023, our top 11 suppliers accounted for approximately 50% of our purchases, with no single supplier accounting for more than 9.1% of our purchases. During 2022, our top 11 suppliers accounted for approximately 50% of our purchases, with no single supplier accounting for more than 9.1% of our purchases. Our business and financial performance depend in large part on our ability to evaluate merchandise quickly for style and then modify if needed or to improve the quality, look, and fit of the item. We must also be able to quickly source merchandise and place orders in order to successfully execute our strategy of rapidly responding to evolving fashion trends. Merchandise may not be available to meet our fashion needs on a timely basis, at competitive prices, or at all. Due to the nature of our product strategy, we do not have long-term commitments with any of our suppliers, and we generally operate without any contractual assurances of continued supply, pricing, or access to new products. Our standard terms and conditions do not commit us or our suppliers to any particular quantities, which are established on a purchase order basis.</w:t>
      </w:r>
    </w:p>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supplier relationships, and therefore our business, could be materially adversely affected if our suppliers:</w:t>
      </w:r>
    </w:p>
    <w:p>
      <w:pPr>
        <w:spacing w:after="0" w:line="225" w:lineRule="exact"/>
        <w:rPr>
          <w:sz w:val="20"/>
          <w:szCs w:val="20"/>
          <w:color w:val="auto"/>
        </w:rPr>
      </w:pPr>
    </w:p>
    <w:p>
      <w:pPr>
        <w:ind w:left="680" w:hanging="321"/>
        <w:spacing w:after="0"/>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raise the prices they charge us;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pricing terms to require us to pay upfront or upon delivery;</w:t>
      </w:r>
    </w:p>
    <w:p>
      <w:pPr>
        <w:spacing w:after="0" w:line="225" w:lineRule="exact"/>
        <w:rPr>
          <w:rFonts w:ascii="Times New Roman" w:cs="Times New Roman" w:eastAsia="Times New Roman" w:hAnsi="Times New Roman"/>
          <w:sz w:val="18"/>
          <w:szCs w:val="18"/>
          <w:color w:val="auto"/>
        </w:rPr>
      </w:pPr>
    </w:p>
    <w:p>
      <w:pPr>
        <w:ind w:left="680" w:right="220" w:hanging="321"/>
        <w:spacing w:after="0" w:line="282" w:lineRule="auto"/>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our access to styles, brands, and merchandise by entering into broad exclusivity arrangements with our competitors or otherwise in the marketplace;</w:t>
      </w:r>
    </w:p>
    <w:p>
      <w:pPr>
        <w:spacing w:after="0" w:line="161" w:lineRule="exact"/>
        <w:rPr>
          <w:rFonts w:ascii="Times New Roman" w:cs="Times New Roman" w:eastAsia="Times New Roman" w:hAnsi="Times New Roman"/>
          <w:sz w:val="18"/>
          <w:szCs w:val="18"/>
          <w:color w:val="auto"/>
        </w:rPr>
      </w:pPr>
    </w:p>
    <w:p>
      <w:pPr>
        <w:ind w:left="680" w:right="440" w:hanging="321"/>
        <w:spacing w:after="0" w:line="282" w:lineRule="auto"/>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similar merchandise to our competitors with similar or better pricing, many of whom already purchase merchandise in significantly greater volume and, in some cases, at lower prices than we do;</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lengthen their lead times;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the quality of their merchandise;</w:t>
      </w:r>
    </w:p>
    <w:p>
      <w:pPr>
        <w:spacing w:after="0" w:line="225" w:lineRule="exact"/>
        <w:rPr>
          <w:rFonts w:ascii="Times New Roman" w:cs="Times New Roman" w:eastAsia="Times New Roman" w:hAnsi="Times New Roman"/>
          <w:sz w:val="18"/>
          <w:szCs w:val="18"/>
          <w:color w:val="auto"/>
        </w:rPr>
      </w:pPr>
    </w:p>
    <w:p>
      <w:pPr>
        <w:ind w:left="680" w:right="200" w:hanging="321"/>
        <w:spacing w:after="0" w:line="282" w:lineRule="auto"/>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or expand sales of apparel, footwear, and accessories to retail customers directly through their own stores, catalogs, or on the internet and compete with us directly; or</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choose to discontinue selling merchandise to us.</w:t>
      </w:r>
    </w:p>
    <w:p>
      <w:pPr>
        <w:spacing w:after="0" w:line="22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success of our business is driven in part by the price-value proposition we offer our customers. If the costs of the raw materials, for example cotton, synthetics, and trim, or other inputs, such as energy costs or prevailing wages, used in producing our merchandise increase, our suppliers may look to pass these cost increases along to us. The price and availability of such raw materials may fluctuate significantly, depending on many factors which are outside of our control, including commodity prices, crop yields, and weather patterns. In addition, the costs of other inputs are also outside of our control. If our suppliers attempt to pass any cost increases on to us and we refuse to pay the increases, we could lose those suppliers, resulting in the risk that we could not fill our purchase orders in a timely manner or at all. If we pay the increases, we could either attempt to raise retail prices for our merchandise, which could adversely affect our sales and our brand image, or choose not to raise prices, which could adversely affect the profitability of our merchandise sales. As a result, any increase in the cost of raw materials or other inputs could have a material adverse effect on our business, financial condition, and results of operations.</w:t>
      </w:r>
    </w:p>
    <w:p>
      <w:pPr>
        <w:spacing w:after="0" w:line="19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historically have established good working relationships with many suppliers, some of which have more limited resources, production capacities and operating histories than others. Market and economic events that adversely impact our suppliers could impair our ability to obtain merchandise in sufficient quantities. Such events include difficulties or problems associated with our suppliers’ business, finances, ability to import or ship merchandise as a result of strikes, labor disruptions or other events, costs, production,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insurance, and reputation. We cannot assure investors that we will be able to acquire desired merchandise in sufficient quantities on acceptable terms or at all in the future, especially if we need significantly greater amounts of inventory in connection with the growth of our business, or that we will be able to get such merchandise delivered to our distribution facilities on a timely basis. We may need to develop new relationships, as our current suppliers may be unable to supply us with needed quantities and we may not be able to find similar merchandise on the same terms. If we are unable to acquire suitable merchandise in sufficient quantities, at acceptable prices with adequate delivery times due to the loss of or a deterioration or change in our relationship with one or more of our key suppliers or if events harmful to our suppliers occur, it could have a material adverse effect on our business, financial condition, and results of operations.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new trade restrictions are imposed or existing trade restrictions become more burdensome, our ability to source imported merchandise efficiently and cost effectively could be materially adversely affected.</w:t>
      </w:r>
    </w:p>
    <w:p>
      <w:pPr>
        <w:spacing w:after="0" w:line="15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 majority of our inventory is produced by foreign manufacturers, including those based in China, which is either directly imported by domestic importers or imported by us from foreign suppliers. Our dependence on foreign supply sources is subject to risks associated with global sourcing and manufacturing which could result in disruptions to our operations.</w:t>
      </w:r>
    </w:p>
    <w:p>
      <w:pPr>
        <w:spacing w:after="0" w:line="176"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Suppliers, to the extent they obtain merchandise from outside of the United States, are subject to trade restrictions, including tariffs, safeguards, or quotas, changes to which could increase the cost or reduce the supply of merchandise available to us. Under the World Trade Organization Agreement, effective January 1, 2005, the United States and other World Trade Organization member countries removed quotas on goods from World Trade Organization members, which in certain instances we believe affords our suppliers greater flexibility in importing textile and apparel products from World Trade Organization countries from which they source our merchandise. However, as the removal of quotas resulted in an import surge from China, the United States imposed safeguard quotas on a number of categories of goods and apparel from China and may impose additional quotas in the future. These and other trade restrictions could have a significant impact on our suppliers’ sourcing patterns in the future. The extent of this impact, if any, and the possible effect on our purchasing patterns and costs, cannot be determined at this time. We cannot predict whether any of the countries in which our suppliers’ merchandise is currently manufactured or may be manufactured in the future will be subject to additional trade restrictions imposed by the United States or foreign governments, nor can we predict the likelihood, type or effect of any restrictions. Trade restrictions, including increased tariffs or quotas, embargoes, safeguards, and customs restrictions against items we offer, as well as U.S. or foreign labor strikes, work stoppages or boycotts, could increase the cost or reduce the supply of merchandise to our suppliers, and we would expect the costs to be passed along in increased prices to us, which we may be unable to pass on to our customers, which could have a material adverse effect on our business, financial condition, and results of operations.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Merchandise returns could harm our business.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allow our customers to return merchandise, subject to our return policy. If merchandise return economics become more costly, our business, financial condition, and results of operations could be harmed. Further, we modify our policies relating to returns from time to time, which may result in customer dissatisfaction or an increase in the number of merchandise returns. Supplier non-compliance can also result in increased returns. From time to time our products are damaged in transit, which can increase return rates and harm our brand. Competitive pressures could cause us to alter our return policies or our shipping policies, which could result in an increase in merchandise returns.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Technology Infrastructure</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System security risk issues, including any real or perceived failure to protect confidential or personal information against security breaches and disruption of our internal operations or information technology systems, could have a material adverse effect on our business, financial condition, and results of operations.</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External parties, such as experienced computer programmers and hackers, or even internal users (including both employees and non-employees with authorized access), may be able to penetrate or create systems disruptions or cause shutdowns of our networks, systems and applications or those of third-party companies with which we have contracted to provide services. We collect and use personal information about our employees, customers and others, and sometimes rely upon third-party service providers to maintain or process data on our behalf and to provide security for the information in their possession. Any real or perceived compromise of such information could deter customers from using our platform, subject us to governmental investigations and/or enforcement actions, fines and penalties, litigation, claims and other liabilities, and harm our reputation, which could have a material adverse effect on our business,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financial condition and results of operations. Moreover, we could incur significant expenses or disruptions of our operations in connection with system failures, timeliness of applying updates to vulnerable systems or other factors within or beyond our control. Such failures or breaches in our information systems could also result in the disclosure, misappropriation or misuse of or unauthorized access to our confidential, proprietary, or personal information, disruption of our operations or damage to our networks and systems. An increasing number of websites, including several large internet companies, have recently disclosed breaches of their security, some of which have involved increasingly sophisticated and highly targeted attacks on portions of their sites. For example, online businesses have been targeted with attacks aimed at compromising the security of payment card information submitted by customers for online purchases, including by injecting malicious code or scripts on website pages or by gaining unauthorized access to payment systems. As an online retailer, we may be targeted with similar attempts.</w:t>
      </w:r>
    </w:p>
    <w:p>
      <w:pPr>
        <w:spacing w:after="0" w:line="188"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 xml:space="preserve">Although we take steps to protect our networks, systems, applications and data, we or our service providers may be unable to anticipate, defend against, or timely identify and respond to such activity, including but not limited to hacking, malware, viruses, social engineering (such as phishing or other scams), extortion, account takeover attacks, denial or degradation of service attacks, supply chain attacks, computer and network vulnerabilities or the negligence and malfeasance of individuals with authorized access to our data. For example, an unauthorized actor interfered with one of our payment processing systems during a five-day period in August 2016, and intermittently may have been able to intercept approximately 12,500 payment card numbers used for purchases by customers entering a new payment card on our website during that period. We remediated the incident and notified affected customers and state regulators of the incident in accordance with our response plan. In addition to remediating the issue, we have subsequently implemented various additional security measures to prevent and mitigate the attack vectors used to gain access to the </w:t>
      </w:r>
      <w:r>
        <w:rPr>
          <w:rFonts w:ascii="Times New Roman" w:cs="Times New Roman" w:eastAsia="Times New Roman" w:hAnsi="Times New Roman"/>
          <w:sz w:val="18"/>
          <w:szCs w:val="18"/>
          <w:i w:val="1"/>
          <w:iCs w:val="1"/>
          <w:color w:val="auto"/>
        </w:rPr>
        <w:t>www.lulus.com</w:t>
      </w:r>
      <w:r>
        <w:rPr>
          <w:rFonts w:ascii="Times New Roman" w:cs="Times New Roman" w:eastAsia="Times New Roman" w:hAnsi="Times New Roman"/>
          <w:sz w:val="18"/>
          <w:szCs w:val="18"/>
          <w:color w:val="auto"/>
        </w:rPr>
        <w:t xml:space="preserve"> file system. When we notified potentially affected customers, we provided them with information on how to help detect and prevent abuse of their personal and credit card information. The incident did not appear to have any negative impact on customers’ purchasing confidence. In addition, sophisticated hardware and operating system software and applications that we buy or license from third parties may contain defects in design or manufacture, including “bugs” and other problems that could unexpectedly interfere with the security and operation of the systems. The costs to us to eliminate or alleviate security problems, viruses and bugs, or any problems associated with the outsourced services provided to us, could be significant, and efforts to address these problems could result in interruptions, delays or cessation of service that may impede our sales, distribution, or other critical functions and have a material adverse effect on our business, financial condition and results of operations.</w:t>
      </w:r>
    </w:p>
    <w:p>
      <w:pPr>
        <w:spacing w:after="0" w:line="19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addition, many governments have enacted laws or regulations that require companies to notify individuals about certain types of security incidents or breaches, and any such disclosures may lead to negative publicity and may deter customers from shopping with us. It is also possible that security breaches affecting our competitors or others in our industry could also result in negative publicity that indirectly harms our reputation. Increasing public, industry, and governmental focus on privacy and data security may continue to lead to additional guidance or legislative and regulatory action, and the increased emphasis on privacy may lead customers to request that we take additional measures to enhance security or restrict the manner in which we collect and use customer information to gather insights into customer behavior and craft our marketing programs. As a result, we may have to modify our business systems and practices with the goal of further improving data security, which could result in reduced net revenue, increased expenditures and operating complexity. Any compromise of our security or security breach could result in a violation of applicable privacy and other laws, significant legal and financial exposure or damage to our reputation, which could have a material adverse effect on our business, financial condition, and results of operations.</w:t>
      </w:r>
    </w:p>
    <w:p>
      <w:pPr>
        <w:spacing w:after="0" w:line="19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existing general liability and cybersecurity insurance may not cover any, or cover only a portion of any, potential claims or expenses related to security breaches that affect us or may not be adequate to indemnify us for all or any portion of liabilities that may be imposed. In addition, we cannot assure investors that the limitations on liability in our contracts would be enforceable or adequate or would otherwise protect us from any such liabilities with respect to any particular claim. Any imposition of liability that is not covered by insurance or is in excess of insurance coverage would increase our operating expenses and reduce our net income, if any, or increase our net loss.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continually update, augment and add technology systems, which could potentially disrupt our operations and have a material adverse effect on our business, financial condition, and results of operations.</w:t>
      </w:r>
    </w:p>
    <w:p>
      <w:pPr>
        <w:spacing w:after="0" w:line="15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Over the years, we have found a balance between developing proprietary applications that are optimized for and tailored to our business and customers’ needs on the one hand, and best-in-class third-party solutions on the other hand. We periodically evaluate whether our proprietary application solutions can be replaced by either more advanced or more cost effectively scaled third-party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solutions. While currently our order and warehouse management systems are developed in-house, when suitable third-party solutions become available, we might replace our internal systems depending on the growth and the demands of the business.</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For example, in 2017 we implemented a data warehouse solution that in near real-time integrates data from our proprietary software applications and third-party software applications to unlock the various data silos and allow for holistic business intelligence analysis and reporting. The actionable insights we have been able to gather from these analytics have allowed us to detect and act on trends sooner, identify improvement opportunities and implement predictive analysis models to gain efficiencies.</w:t>
      </w:r>
    </w:p>
    <w:p>
      <w:pPr>
        <w:spacing w:after="0" w:line="18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Additionally, from time to time, our systems require modifications and updates, including by adding new hardware, software, and applications; maintaining, updating, or replacing legacy programs; and integrating new service providers, and adding enhanced or new functionality. Although we are actively selecting systems, open source software and vendors and implementing procedures to enable us to maintain the integrity of our systems when we modify them, there are inherent risks associated with modifying or replacing systems, and with new or changed relationships, including accurately capturing and maintaining data, realizing the expected benefit of the change and managing the potential disruption of the operation of the systems as the changes are implemented. The failure of our information systems, open source software and the third-party systems we rely on to perform as designed, or our failure to implement and operate them effectively, could disrupt our business or subject us to liability and thereby harm our profitability.</w:t>
      </w:r>
    </w:p>
    <w:p>
      <w:pPr>
        <w:spacing w:after="0" w:line="19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risks associated with the above systems changes, as well as any failure of such systems to operate effectively, could disrupt and adversely impact the promptness and accuracy of our merchandise distribution, transaction processing, financial accounting and reporting, and our internal controls over financial reporting, the efficiency of our operations and our ability to properly forecast earnings and cash requirements. We could be required to make significant additional expenditures to remediate any such failures or problems in the future.</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may not be able to successfully implement these new systems or, if implemented, we may still face unexpected disruptions or cost overruns in the future, any of which could have a material adverse effect on our business, financial condition, and results of operations.</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significantly on technology and systems to support our supply chain, payments, financial reporting and other key aspects of our business. Any failure, inadequacy, interruption or security failure of those systems could have a material adverse effect on our business, reputation and brand, financial condition, and results of operations.</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satisfactory performance, reliability and availability of our sites, transaction-processing systems and technology infrastructure are critical to our reputation and our ability to acquire and retain customers, as well as maintain adequate customer service levels. Our ability to effectively manage our business depends significantly on our information systems and platforms provided by third parties, which we use primarily to manage items, purchase orders, stock ledgers and allocation and supply chain planning. To manage the growth of our operations and personnel, we will need to continue to improve and expand our operational and financial systems, transaction processing and internal controls and business processes; in doing so, we could encounter transitional issues and incur substantial additional expenses. If we are unable to maintain our current relationships with these service providers, there is no assurance that we will be able to locate replacements on a timely basis or on acceptable terms. The failure of our information systems to operate effectively, problems with transitioning to upgraded or replacement systems or expanding them, or a breach in security of these systems, could materially adversely affect the promptness and accuracy of our merchandise distribution, transaction processing, financial accounting and reporting, the efficiency of our operations and our ability to properly forecast earnings and cash requirements. We could be required to make significant additional expenditures to remediate any such failure, problem or breach. Any such events could have a material adverse effect on our business, financial condition, and results of operations.</w:t>
      </w:r>
    </w:p>
    <w:p>
      <w:pPr>
        <w:spacing w:after="0" w:line="18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Further, we house many of our systems offsite at third-party data centers. Our data centers may be subject to cyber-attacks or other technology-related incidents, and also break-ins, sabotage and intentional acts of vandalism that could cause disruptions in our ability to serve our customers and protect data. Some of our systems are not fully redundant, and our disaster recovery planning cannot account for all eventualities. The occurrence of a natural disaster, intentional sabotage or other anticipated problems could result in lengthy interruptions to our service. Any errors or vulnerability in our systems or damage to or failure of our systems, or a third-party data center hosting our data, could result in interruptions in our operations and could have a material adverse effect on our business, financial condition, and results of operations.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we may now and in the future implement new systems to increase efficiencies and profitability. We may encounter transitional issues and incur substantial additional expenses in connection with any implementation or change to existing processes, any of which could have a material adverse effect on our business, financial condition, and results of operations.</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relies heavily on email, SMS and other messaging services, and any restrictions on the sending of emails or messages or an inability to timely deliver such communications could materially adversely affect our business, financial condition, and results of operations.</w:t>
      </w:r>
    </w:p>
    <w:p>
      <w:pPr>
        <w:spacing w:after="0" w:line="175"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Our business is highly dependent upon email, SMS and other messaging services for promoting our brand and platform. We send promotional email and SMS messages to inform customers of new products, shipping specials and other offers, and transactional emails to communicate updates to customer orders and returns. We believe these messages are an important part of our customer experience. If we are unable to successfully deliver emails, SMS or other messages to our subscribers, or if subscribers decline to open or read our messages, our net revenue and profitability would be materially adversely affected. Changes in how web, mail and carrier services block, organize and prioritize messaging may reduce the number of subscribers who receive or open our messages. For example, Google’s Gmail service has a feature that organizes incoming emails into categories (for example, primary, social and promotions). Such categorization or similar inbox organizational features may result in our emails being delivered in a less prominent location in a subscriber’s inbox or viewed as “spam” by our subscribers and may reduce the likelihood of that subscriber reading our emails. Actions by third parties to block, impose restrictions on or charge for the delivery of email, SMS or other messages could also adversely impact our business. From time to time, emails service providers or other third parties may block bulk email transmissions or otherwise experience technical difficulties that could result in our inability to successfully deliver emails or other messages to customers. Changes in the laws or regulations that limit our ability to send such communications or impose additional requirements upon us in connection with sending such communications would also materially adversely impact our business. Our use of email, SMS and other messaging services to send communications to customers may also result in legal claims against us, which may cause us increased expense, and if successful might result in fines or orders with costly reporting and compliance obligations or might limit or prohibit our ability to send email SMS or other messages. We also rely on social media platforms to communicate with our customers and to encourage our customers to engage with our brand. Changes to the terms of these social networking services to limit promotional communications, any restrictions that would limit our ability or our customers’ ability to send communications through their services, disruptions or downtime experienced by these social media platforms or decline in the use of or engagement with social media platforms by consumers could materially adversely affect our business, financial condition, and results of operations.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Some of our software and systems contain open source software, which may pose particular risks to our proprietary applications.</w:t>
      </w:r>
    </w:p>
    <w:p>
      <w:pPr>
        <w:spacing w:after="0" w:line="256"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We utilize open source software in the applications we have developed to operate our business and will use open source software in the future. Such open source software is generally licensed by its authors or other third parties under open source licenses and is typically freely accessible, usable, and modifiable. Pursuant to such open source licenses, we may be subject to certain conditions, including requirements that we offer our proprietary software that incorporates the open source software for no cost, that we make available source code for modifications or derivative works we create based upon, incorporating or using the open source software, and that we license such modifications or derivative works under the terms of the particular open source license. We may face claims from third parties claiming ownership of, or demanding the release or license of, the open source software or derivative works that we developed from such software (which could include our proprietary source code), or otherwise seeking to enforce the terms of the applicable open source license. These claims could result in litigation and could require us to purchase a costly license, publicly release the affected portions of our source code, or cease offering the implicated software unless and until we can re-engineer it to avoid infringement. We also may be required to re-engineer products if the license terms for incorporated open source software change. The re-engineering process of some or all of our software could require significant additional research and development resources, and we may not be able to complete it successfully. In addition, use of open source software can lead to greater risks than use of third-party commercial software because open source licensors generally do not provide warranties or controls on the origin of the software. Use of open source software may also present additional security risks because the public availability of such software may make it easier for hackers and other third parties to determine how to breach our website and systems that rely on open source software. These risks could be difficult to eliminate or manage and, if not addressed, could adversely affect our business, results of operations, and financial conditions.</w:t>
      </w:r>
    </w:p>
    <w:p>
      <w:pPr>
        <w:spacing w:after="0" w:line="18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use of technology based on artificial intelligence presents risks relating to confidentiality, creation of inaccurate and flawed outputs and emerging regulatory risk, any or all of which may adversely affect our business and results of operations.</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As with many technological innovations, artificial intelligence (“AI") presents great promise but also risks and challenges that could adversely affect our business. Sensitive, proprietary, or confidential information of the Company and employees, could be leaked, disclosed, or revealed as a result of or in connection with the use of generative AI technologies by our employees or vendors. Any such information input into a third-party generative AI or machine learning platform could be revealed to others, including if information is used to train the third party's generative AI or machine learning models. Additionally, where a generative AI or machine learning model ingests personal information and makes connections using such data, those technologies may reveal other sensitive, proprietary, or confidential information generated by the model. Moreover, generative AI or machine learning models may create incomplete, inaccurate, or otherwise flawed outputs, some of which may appear correct. Due to these issues, these models could lead us to make flawed decisions that could result in adverse consequences to us, including exposure to reputational and competitive harm, customer loss, and legal liability. In addition, uncertainty in the legal regulatory regime relating to AI may require significant resources to modify and maintain business practices to comply with applicable law, the nature of which cannot be determined at this time. Several jurisdictions have already proposed or enacted laws governing AI. For example, on October 30, 2023, the Biden administration issued an Executive Order to, among other things, establish extensive new standards for AI safety and security. Other jurisdictions may decide to adopt similar or more restrictive legislation that may render the use of such technologies challenging. These obligations may prevent or limit our ability to use AI in our business, lead to regulatory fines or penalties, or require us to change our business practices. If we cannot use AI, or that use is restricted, our business may be less efficient, or we may be at a competitive disadvantage. Any of these factors could adversely affect our business, financial condition, and results of operations.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Supply of Our Products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including our costs and supply chain, is subject to risks associated with sourcing, manufacturing, and warehousing.</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currently source nearly all of the merchandise we offer from third-party suppliers, and as a result we may be subject to price fluctuations or demand disruptions. Our results of operations would be negatively impacted by increases in the prices of our merchandise, and we have no guarantees that prices will not rise. In addition, as we expand into new categories and product types, we expect that we may not have strong purchasing power in these new areas, which could lead to higher prices than we have historically seen in our current categories. We may not be able to pass increased prices on to customers, which could adversely affect our results of operations. Moreover, in the event of a significant disruption in the supply of the fabrics or raw materials used in the manufacture of the merchandise we offer, the suppliers we work with might not be able to locate alternative suppliers of materials of comparable quality at an acceptable price. For example, natural disasters could increase raw material costs, impacting pricing with certain of our suppliers, or cause shipping delays for certain of our merchandise. We may not be able to maintain the quality expectations of customers due to disruptions in the supply of the fabrics or raw materials used in the manufacture of our products. Global climate change is resulting in certain types of natural disasters occurring more frequently or with more intense effects. Any delays, interruption, damage to, or increased costs in the manufacture of the merchandise we offer could result in higher prices to acquire the merchandise or non-delivery of merchandise altogether and could adversely affect our results of operations.</w:t>
      </w:r>
    </w:p>
    <w:p>
      <w:pPr>
        <w:spacing w:after="0" w:line="18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believe that we have strong supplier relationships, and we work continuously with our suppliers to manage cost increases. Our overall profitability depends, in part, on the success of our ability to mitigate rising costs or shortages of raw materials used to manufacture our merchandise. Cotton, synthetics and other raw materials used to manufacture our merchandise are subject to availability constraints and price volatility impacted by a number of factors, including supply and demand for fabrics, weather, government regulations, economic climate, and other unpredictable factors. In addition, our sourcing costs may fluctuate due to labor conditions, transportation, or freight costs, energy prices, currency fluctuations, or other unpredictable factors. The cost of labor at many of our third-party suppliers has been increasing in recent years, and we believe it is unlikely that such cost pressures will abate.</w:t>
      </w:r>
    </w:p>
    <w:p>
      <w:pPr>
        <w:spacing w:after="0" w:line="18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Most of our merchandise is shipped from our suppliers by ocean vessel. If a disruption occurs in the operation of ports through which our merchandise is imported, we may incur increased costs related to air freight or use of alternative ports. Shipping by air is significantly more expensive than shipping by ocean and our margins and profitability could be reduced. Shipping to alternative ports could also lead to delays in receipt of our merchandise. We rely on third-party shipping companies to deliver our merchandise to us. Failures by these shipping companies to deliver our merchandise to us or lack of capacity in the shipping industry could lead to delays in receipt of our merchandise or increased expense in the delivery of our merchandise. Any of these developments could have a material adverse effect on our business, financial condition, and results of operations.</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addition, we cannot guarantee that merchandise we receive from suppliers will be of sufficient quality or free from damage, or that such merchandise will not be damaged during shipping, while stored in one of our distribution facilities, or when returned by</w:t>
      </w:r>
    </w:p>
    <w:p>
      <w:pPr>
        <w:sectPr>
          <w:pgSz w:w="11900" w:h="16838" w:orient="portrait"/>
          <w:cols w:equalWidth="0" w:num="1">
            <w:col w:w="9920"/>
          </w:cols>
          <w:pgMar w:left="980" w:top="513" w:right="99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customers. While we take measures to ensure merchandise quality and avoid damage, including evaluating supplier product samples, conducting inventory inspections and inspecting returned product, we cannot control merchandise while it is out of our possession or prevent all damage while in our distribution facilities. We may incur additional expenses and our reputation could be harmed if customers and potential customers believe that our merchandise is not of sufficiently high quality or may be damaged.</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three distribution facilities and disruptions to the operations at these locations could have a material adverse effect on our business, financial condition, and results of operations.</w:t>
      </w:r>
    </w:p>
    <w:p>
      <w:pPr>
        <w:spacing w:after="0" w:line="15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We have two distribution facilities located in California and one in Pennsylvania. All of our merchandise is shipped from our suppliers to one of our distribution facilities and then packaged and shipped from our distribution facilities to our customers. The success of our business depends on our timely receipt of merchandise so we can continuously bring new, on-trend products online for sale. The success of our business also depends on customer orders being timely processed and delivered to meet promised delivery dates and satisfy our customers. The efficient flow of our merchandise requires that we have adequate capacity and uninterrupted service in our distribution facilities to support both our current level of operations and the anticipated increased levels that may follow from our growth plans. In order to accommodate future growth, we will either need to expand and upgrade our existing distribution facilities or open additional distribution facilities. Upgrading our existing distribution facilities or transferring our operations to a facility with greater capacity will require us to incur additional costs, which could be significant, and may require us to secure additional favorable real estate or may require us to obtain additional financing. Appropriate locations or financing for the purchase or lease of such additional real estate may not be available at reasonable costs or at all. Our failure to provide adequate order fulfillment, secure additional distribution capacity when necessary, or retain a suitable third-party logistics provider could impede our growth plans. Further increasing this capacity could increase our costs, which in turn could have a material adverse effect on our business, financial condition, and results of operations.</w:t>
      </w:r>
    </w:p>
    <w:p>
      <w:pPr>
        <w:spacing w:after="0" w:line="200" w:lineRule="exact"/>
        <w:rPr>
          <w:sz w:val="20"/>
          <w:szCs w:val="20"/>
          <w:color w:val="auto"/>
        </w:rPr>
      </w:pPr>
    </w:p>
    <w:p>
      <w:pPr>
        <w:spacing w:after="0" w:line="21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addition, if we encounter difficulties associated with our distribution facilities or if they were to shut down or be unable to operate for any reason, including because of fire, natural disaster, power outage, or other event, we could face inventory shortages, resulting in “out-of-stock” conditions on our website, and delays in shipments, resulting in significantly higher costs and longer lead times distributing our merchandise. In addition, operations and distribution staff would need to find an alternative location, causing further disruption to our business and operations and increased costs associated with opening a new location.</w:t>
      </w:r>
    </w:p>
    <w:p>
      <w:pPr>
        <w:spacing w:after="0" w:line="183"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Without stronger disaster recovery, business continuity and document retention plans, if we encounter difficulties or disasters with our distribution facilities or corporate offices, our critical systems, operations and information may not be restored in a timely manner, or at all, and this could have a material adverse effect on our business, financial condition, and results of operations.</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third-party suppliers, manufacturers, distributors, and other suppliers, and they may not continue to produce products or provide services that are consistent with our standards or applicable regulatory requirements, which could harm our brand, cause consumer dissatisfaction, and require us to find alternative suppliers of our products or services.</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do not own or operate any manufacturing facilities. We use multiple third-party suppliers who source from manufacturers based primarily in China and, to a lesser extent, Brazil, the Dominican Republic, Guatemala, India, Italy, Korea, Mexico, Nicaragua, Spain, United States, Vietnam, El Salvador and Greece, to source and manufacture all of our products under our owned brand and third-party brands. We engage our third-party suppliers and manufacturers on a purchase order basis combined with customary terms and conditions and are not party to any long-term contracts containing purchase obligations. The ability of these third parties to supply and manufacture our products may be affected by competing orders placed by other clients and the demands of those clients. If we experience significant increases in demand or need to replace a significant number of existing suppliers or manufacturers, we cannot assure that additional supply and manufacturing capacity will be available when required on terms that are acceptable to us, or at all, or that any supplier or manufacturer will allocate sufficient capacity to us in order to meet our requirements.</w:t>
      </w:r>
    </w:p>
    <w:p>
      <w:pPr>
        <w:spacing w:after="0" w:line="18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addition, quality control problems, such as the use of materials and delivery of products that do not meet our quality control standards and specifications or comply with applicable laws or regulations, could harm our business. We do not regularly inspect our suppliers and quality control problems could result in regulatory action, such as restrictions on importation, products of inferior quality or product stock outages or shortages, harming our sales, and creating inventory write-downs for unusable products.</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Further, our third-party manufacturers, suppliers, and distributors may: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hanging="321"/>
        <w:spacing w:after="0"/>
        <w:tabs>
          <w:tab w:leader="none" w:pos="6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economic or business interests or goals that are inconsistent with ours;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actions contrary to our instructions, requests, policies or objectives;</w:t>
      </w:r>
    </w:p>
    <w:p>
      <w:pPr>
        <w:spacing w:after="0" w:line="225" w:lineRule="exact"/>
        <w:rPr>
          <w:rFonts w:ascii="Times New Roman" w:cs="Times New Roman" w:eastAsia="Times New Roman" w:hAnsi="Times New Roman"/>
          <w:sz w:val="18"/>
          <w:szCs w:val="18"/>
          <w:color w:val="auto"/>
        </w:rPr>
      </w:pPr>
    </w:p>
    <w:p>
      <w:pPr>
        <w:ind w:left="680" w:right="40" w:hanging="321"/>
        <w:spacing w:after="0" w:line="266" w:lineRule="auto"/>
        <w:tabs>
          <w:tab w:leader="none" w:pos="6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unable or unwilling to fulfill their obligations under relevant purchase orders, including obligations to meet our production deadlines, quality standards, pricing guidelines and product specifications, and to comply with applicable regulations, including those regarding the safety and quality of products;</w:t>
      </w:r>
    </w:p>
    <w:p>
      <w:pPr>
        <w:spacing w:after="0" w:line="17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financial difficulties;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encounter raw material or labor shortages;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encounter increases in raw material or labor costs which may affect our procurement costs;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 our confidential information or intellectual property to competitors or third parties;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activities or employ practices that may harm our reputation; 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with, be acquired by, or come under control of, our competitors.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Many of our third-party suppliers and manufacturers are based in China, which exposes us to risks inherent in doing business there.</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primarily use third-party suppliers and manufacturers based in China. This sourcing concentration increases our dependence of these suppliers and exposes us to the risks of doing business in China. We may have greater risks than our peers due to the concentration of our suppliers and manufacturers in China. With the rapid development of the Chinese economy, the cost of labor has increased and may continue to increase in the future. Our results of operations will be materially and adversely affected if the labor costs of our third-party suppliers increase significantly.</w:t>
      </w:r>
    </w:p>
    <w:p>
      <w:pPr>
        <w:spacing w:after="0" w:line="18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addition, our suppliers may not be able to find a sufficient number of qualified workers due to the intensely competitive and fluid market for skilled labor in China. Sourcing products from China exposes us to political, legal and economic risks. In particular, the political, legal and economic climate in China, both nationally and regionally, is fluid and unpredictable. Our ability to operate in China may be adversely affected by changes in U.S. and Chinese laws and regulations such as those related to, among other things, taxation, import and export tariffs, custom duties, environmental regulations, land use rights, intellectual property, currency controls, network security, sanctions, embargoes, employee benefits and other matters. In addition, we may not obtain or retain the requisite legal permits to continue to operate in China, and costs or operational limitations may be imposed in connection with obtaining and complying with such permits. In addition, Chinese trade regulations are in a state of flux, and we may become subject to other forms of taxation, tariffs and duties in these jurisdictions.</w:t>
      </w:r>
    </w:p>
    <w:p>
      <w:pPr>
        <w:spacing w:after="0" w:line="18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Furthermore, the third parties we rely on in China may disclose our confidential information or intellectual property to competitors or third parties, which could result in the illegal distribution and sale of counterfeit versions of our products. If any of these events occur, our business, financial condition and results of operations could be materially and adversely affected.</w:t>
      </w:r>
    </w:p>
    <w:p>
      <w:pPr>
        <w:spacing w:after="0" w:line="172"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Any failure by us or our suppliers to comply with product safety, labor or other laws, our Vendor and Supplier Code of Conduct, or our standard terms and conditions, or to provide safe factory conditions for their workers may damage our reputation and brand and harm our business.</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merchandise we sell to our customers is subject to regulation by the U.S. Consumer Product Safety Commission (the “CPSC”) and similar state and international regulatory authorities. As a result, such merchandise could be in the future subject to recalls and other remedial actions. Product safety, labeling, and licensing concerns may require us to voluntarily remove selected merchandise from our inventory. Such recalls or voluntary removal of merchandise can result in, among other things, lost sales, diverted resources, potential harm to our reputation, and increased customer service costs and legal expenses, which could have a material adverse effect on our results of operations.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Additionally, we are subject to regulations related to the manufacture of the merchandise that we sell. For example, in California, we are subject to record keeping and wage guarantor obligations pursuant to SB 62 (the “Garment Worker Protection Act”), for certain items that we contract to manufacture, as well as AB 701, which requires us to ensure that quotas do not interfere with warehouse worker meal and rest periods under California’s wage orders.</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Some of the merchandise we sell may expose us to product liability claims and litigation or regulatory action relating to personal injury or environmental or property damage. Although we maintain liability insurance, we cannot be certain that our coverage will be adequate for liabilities actually incurred or that insurance will continue to be available to us on economically reasonable terms or at all. In addition, some of our agreements with our suppliers may not indemnify us from product liability for a particular supplier’s merchandise or our suppliers may not have sufficient resources or insurance to satisfy their indemnity and defense obligations.</w:t>
      </w:r>
    </w:p>
    <w:p>
      <w:pPr>
        <w:spacing w:after="0" w:line="18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purchase our merchandise from numerous domestic and international suppliers. Our standard vendor terms and conditions require suppliers to comply with applicable laws and to warrant that the products are made without use of child labor, convict labor, indentured or bonded labor, or labor obtained through human trafficking. Our Vendor and Supplier Code of Conduct, which our vendors contractually agree to, further sets forth our baseline expectations for safe and humane factory conditions. Failure of our suppliers to comply with applicable laws and regulations and contractual requirements could damage our reputation and brand and lead to litigation against us, resulting in increased legal expenses and costs. In addition, the failure of any such suppliers to provide safe and humane factory conditions and oversight at their facilities could damage our reputation with customers or result in legal claims against us.</w:t>
      </w:r>
    </w:p>
    <w:p>
      <w:pPr>
        <w:spacing w:after="0" w:line="18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current and future products may experience quality problems from time to time that could result in negative publicity, litigation, product recalls and warranty claims, which could result in decreased net revenue and harm to our brand.</w:t>
      </w:r>
    </w:p>
    <w:p>
      <w:pPr>
        <w:spacing w:after="0" w:line="15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cannot assure that we will be able to detect, prevent or fix all defects that may affect our merchandise. Inconsistency of legislation and regulations may also affect the costs of compliance with such laws and regulations. Such problems could hurt the image of our brand, which is critical to maintaining and expanding our business. Any negative publicity or lawsuits filed against us related to the perceived quality of our products could harm our brand and decrease demand for our products.</w:t>
      </w:r>
    </w:p>
    <w:p>
      <w:pPr>
        <w:spacing w:after="0" w:line="176"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rely upon independent third-party transportation providers for substantially all of our merchandise shipments and any disruptions or increased transportation costs could have a material adverse effect on our business, financial condition, and results of operations.</w:t>
      </w:r>
    </w:p>
    <w:p>
      <w:pPr>
        <w:spacing w:after="0" w:line="136"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currently rely upon independent third-party transportation providers for substantially all of our merchandise shipments, including shipments to all of our distribution facilities and our customers. Our shipments are subject to risks, including increases in fuel prices, which would increase our distribution costs, and employee strikes and inclement weather, which may impact the third party’s ability to provide delivery services that adequately meet our needs. For example, it can take as long as six to seven days to get shipments from our distribution facilities. If we change shipping companies, we could face logistical difficulties that could adversely impact deliveries and we would incur costs and expend resources in connection with such change. Moreover, we may not be able to obtain terms as favorable as those received from the independent third-party transportation providers we currently use, which would increase our costs. Historically, the shipping and handling fees we charge our customers are intended to partially offset the related shipping and handling expenses. Pure-play and omni-channel retailers are increasing their focus on delivery services, as customers are increasingly seeking faster, guaranteed delivery times and low-price or free shipping. To remain competitive, we may be required to offer discounted, free or other more competitive shipping options to our customers, including expedited delivery services, which may result in declines in our shipping and handling fees and increased shipping and handling expense. Any increase in shipping costs or any other significant shipping difficulties or disruptions could have a material adverse effect on our business, financial condition, and results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Regulation, Taxation and Litigation</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liability and other risks if we, our suppliers or the manufacturers of our merchandise infringe upon the trademarks, copyrights or other intellectual property rights of third parties, including the risk that we could acquire merchandise from our suppliers without the full right to sell it.</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purchase merchandise that may be subject to copyrights, design patents, trademark, trade dress or otherwise may incorporate protected intellectual property. Typically we are not involved in the manufacture of any of the merchandise that we purchase from our suppliers for sale to our customers, and we do not independently investigate whether our suppliers or the manufacturers with whom they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do business hold intellectual property rights to the merchandise we purchase. Third parties have and may bring legal claims, or threaten to bring legal claims, against us that their intellectual property rights are being infringed or violated by our use of intellectual property if our suppliers or the manufacturers of our merchandise infringe upon the intellectual property rights of third parties. Litigation or threatened litigation, regardless of merit, could be costly, time consuming to defend, require us to redesign or rebrand our products or packaging, if feasible, distract our senior management from operating our business and require us to enter into royalty or licensing agreements in order to obtain the right to use a third party’s intellectual property. Any such royalty or licensing agreements, if required, may not be available to us on acceptable terms or at all. If we were to be found liable for any such infringement, we could be required to pay substantial damages which our indemnifying suppliers may not be able to fully pay, and could be subject to injunctions preventing further infringement. In addition, any payments we are required to make and any injunctions with which we are required to comply as a result of infringement claims could be costly. While our standard terms and conditions require our suppliers to indemnify us against third-party intellectual property claims, certain agreements with our suppliers may not indemnify us from intellectual property claims for a particular supplier’s merchandise or our suppliers may not have sufficient resources or insurance to satisfy their indemnity and defense obligations. Any legal claims or litigation could have a material adverse effect on our business, financial condition, and results of operations.</w:t>
      </w:r>
    </w:p>
    <w:p>
      <w:pPr>
        <w:spacing w:after="0" w:line="19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If a third party claims to have licensing rights with respect to merchandise we purchased from a supplier, or if we acquire unlicensed merchandise, we may be obligated to remove this merchandise from our platform, incur costs associated with this removal if the distributor or supplier is unwilling or unable to reimburse us and be subject to liability under various civil and criminal causes of action, including actions to recover unpaid royalties and other damages and injunctions. Additionally, we could need to purchase new merchandise to replace any we remove. Any such events could have a material adverse effect on our business, financial condition, and results of operations.</w:t>
      </w:r>
    </w:p>
    <w:p>
      <w:pPr>
        <w:spacing w:after="0" w:line="18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Laws and regulations relating to the liability of providers of online services for the activities of their marketers or their social media creators and the content of their marketers' listings are currently unsettled. It is unclear whether we could be subject to claims for defamation, negligence, copyright or trademark infringement, or claims based on other theories relating to the information we publish on our websites, or the information published across social media. These types of claims have been brought, sometimes successfully, against online services in the past. We may not successfully avoid civil or criminal liability for unlawful activities carried out by our marketers or our creators. Our potential liability for unlawful activities of our marketers or our creators or the content of our marketers' listings could require us to implement measures to reduce our exposure to such liability, which may require us, among other things, to spend substantial resources or to reevaluate marketing efforts. Our insurance may not adequately protect us against these types of claims and the defense of such claims may divert the attention of our management from our operations. If we are subject to such lawsuits, it may adversely affect our business.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protect our trademarks or other intellectual property rights.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believe that our trademarks are integral to our business and our success in building our brand image and customer loyalty. We rely on trademark registrations and common law trademark rights to protect the distinctiveness of our brand and have registered, or have applied to register, those trademarks that we believe are important to our business with the United States Patent and Trademark Office and in many foreign countries. We cannot assure that our applications will be approved or that these registrations will prevent imitation of our name, merchandising concept, website design or merchandise or the infringement of our other intellectual property rights by others. Third parties may also oppose our trademark applications or otherwise challenge our use of the trademarks. In certain cases, the merchandise we sell is purchased on a non-exclusive basis from suppliers that also sell to our competitors. While we use our brand name on these items, our competitors may seek to replicate aspects of our business strategy and online experience, thereby diluting the experience we offer and adversely affecting our brand and competitive position. Imitation of our name, concept, website design or merchandise in a manner that projects lesser quality or carries a negative connotation of our brand image could have a material adverse effect on our business, financial condition, and results of operations.</w:t>
      </w:r>
    </w:p>
    <w:p>
      <w:pPr>
        <w:spacing w:after="0" w:line="19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cannot be certain that the actions we have taken to establish, police and protect our trademarks or our resources will be adequate to prevent imitation of our merchandise by others or to prevent others from seeking to block sales of our merchandise as a violation of the trademarks or proprietary rights of others. If disputes arise in the future, we may not be able to successfully resolve these types of conflicts to our satisfaction. In the event that our trademarks are successfully challenged, we could be forced to rebrand our products, which could result in loss of brand recognition and could require us to devote resources to advertising and marketing new brands. Although we cannot currently estimate the likelihood of success of any such lawsuit or ultimate resolution of such a conflict, such a conflict, regardless of outcome, could have an adverse effect on our business, financial condition, and results of operations.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Litigation may be necessary to protect our trademarks and other intellectual property rights or to enforce these rights. Any litigation or claims brought by us could result in substantial costs and diversion of our resources, which could have a material adverse effect on our business, financial condition, and results of operations.</w:t>
      </w:r>
    </w:p>
    <w:p>
      <w:pPr>
        <w:spacing w:after="0" w:line="17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Unfavorable changes or failure by us to comply with evolving internet and e-commerce regulations could substantially harm our business and results of operations.</w:t>
      </w:r>
    </w:p>
    <w:p>
      <w:pPr>
        <w:spacing w:after="0" w:line="15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are subject to general business regulations and laws as well as regulations and laws specifically governing the internet and e-commerce. These regulations and laws may involve taxes, privacy and data security, customer protection, the ability to collect and/or share necessary information that allows us to conduct business on the internet, marketing communications and advertising, content protection, electronic contracts or gift cards. Furthermore, the regulatory landscape impacting internet and e-commerce businesses is constantly evolving.</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collect personal information and other data from our employees, customers, prospective customers and others. We use this information to provide services and relevant products to our customers, to support, expand and improve our business, and to tailor our marketing and advertising efforts. We may also share customers’ personal information with certain third parties as authorized by the customer or as described in our privacy policy.</w:t>
      </w:r>
    </w:p>
    <w:p>
      <w:pPr>
        <w:spacing w:after="0" w:line="180"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As a result, we are subject to or affected by laws, governmental regulation and other legal obligations related to data protection, privacy and information security in certain countries where we do business, and there has been and will continue to be new proposed laws and regulations and changes to existing legal frameworks that govern how we collect, use, share, and process personal data.</w:t>
      </w:r>
    </w:p>
    <w:p>
      <w:pPr>
        <w:spacing w:after="0" w:line="176"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In the United States, the federal government and various state governments have adopted or proposed guidelines or rules for the collection, distribution, use and storage of information collected from or about individuals or their devices. For example, in 2020, the CCPA came into force, and provides new data privacy rights for California consumers and new operational requirements for covered companies. Specifically, the CCPA mandates that covered companies provide new disclosures to California consumers and afford such consumers new data privacy rights that include, among other things, the right to request a copy from a covered company of the personal information collected about them, the right to request deletion of such personal information, and the right to request to opt-out of certain sales of such personal information. The California Attorney General can enforce the CCPA, including seeking an injunction and civil penalties for violations. The CCPA also provides a private right of action for certain data breaches that is expected to increase data breach litigation. Additionally, a new privacy law, the CPRA, took effect on January 1, 2023 and significantly amends and expands the CCPA, which could result in further uncertainty and require us to incur additional costs and expenses in an effort to comply. As another example, some U.S. courts have interpreted certain two-party consent wiretap statutes, such as the California Invasion of Privacy Act (the “CIPA”), to require the collection of prior consent from consumers who engage in a dialogue with chatbots. If the scope of such laws or newly enacted legislation were interpreted to apply to our services, we and/or our customers may be required to obtain the express consent of web visitors in order for our technology to perform its intended functions.</w:t>
      </w:r>
    </w:p>
    <w:p>
      <w:pPr>
        <w:spacing w:after="0" w:line="197"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In addition, Virginia enacted the Virginia Consumer Data Protection Act, (the “CDPA”), which became effective on January 1, 2023, Colorado enacted the Colorado Privacy Act, (the “CPA”), which takes effect on July 1, 2023, Utah enacted the Utah Consumer Privacy Act (“UCPA”), which takes effect on December 31, 2023, and Connecticut enacted the Connecticut Data Privacy Act (“CTDPA”), which takes effect on July 1, 2023. The CPA, CDPA, CIPA, UCPA and CTDPA are similar to the CCPA and CPRA, but aspects of these state privacy statutes remain unclear, resulting in further legal uncertainty and potentially requiring us to modify our data practices and policies and to incur substantial additional costs and expenses in an effort to comply. Complying with the GDPR in Europe, the UK General Data Protection Regulation (“UK GDPR”); the UK Data Protection Act 2018, FADP, the CCPA, CIPA, CPRA, CDPA, CPA, UCPA and CTDPA or other laws, regulations, amendments to or re-interpretations of existing laws and regulations, and contractual or other obligations relating to privacy, data protection, data transfers, data localization, or information security may require us to make changes to our services to enable us or our customers to meet new legal requirements, incur substantial operational costs, modify our data practices and policies, and restrict our business operations. Any actual or perceived failure by us to comply with these laws, regulations, or other obligations may lead to significant fines, penalties, regulatory investigations, lawsuits, significant costs for remediation, damage to our reputation, or other liabilities. Other state regulators and the FTC with authority to enforce federal and state customer protection laws may also impose standards for the online collection, use and dissemination of data.</w:t>
      </w:r>
    </w:p>
    <w:p>
      <w:pPr>
        <w:spacing w:after="0" w:line="197"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Foreign privacy laws are also undergoing a period of rapid change, have become more stringent in recent years and may increase the costs and complexity of offering our products and services in new geographies. In Canada, the Personal Information Protection and</w:t>
      </w:r>
    </w:p>
    <w:p>
      <w:pPr>
        <w:sectPr>
          <w:pgSz w:w="11900" w:h="16838" w:orient="portrait"/>
          <w:cols w:equalWidth="0" w:num="1">
            <w:col w:w="9920"/>
          </w:cols>
          <w:pgMar w:left="980" w:top="513" w:right="99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Electronic Documents Act, or PIPEDA, and various provincial laws require that companies give detailed privacy notices to consumers; obtain consent to use personal information, with limited exceptions; allow individuals to access and correct their personal information; and report certain data breaches. In addition, Canada’s Anti-Spam Legislation, or CASL, prohibits email marketing without the recipient’s consent, with limited exceptions. Failure to comply with PIPEDA, CASL or provincial privacy or data protection laws could result in significant fines and penalties or possible damage awards.</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GDPR imposes stringent requirements for processing personal data. The GDPR has increased compliance burdens, including by mandating extensive documentation requirements and granting certain rights to individuals to control how businesses collect, use, disclose, retain and leverage information about them or how they obtain consent from them. In addition, the GDPR and UK GDPR provide for breach reporting requirements, more robust regulatory enforcement and greater penalties for noncompliance than previous data protection laws, including fines under each regime of up to €20/£17.5 million or 4% of a noncompliant company’s global annual revenues for the preceding financial year, whichever is greater.</w:t>
      </w:r>
    </w:p>
    <w:p>
      <w:pPr>
        <w:spacing w:after="0" w:line="187" w:lineRule="exact"/>
        <w:rPr>
          <w:sz w:val="20"/>
          <w:szCs w:val="20"/>
          <w:color w:val="auto"/>
        </w:rPr>
      </w:pPr>
    </w:p>
    <w:p>
      <w:pPr>
        <w:jc w:val="both"/>
        <w:ind w:firstLine="324"/>
        <w:spacing w:after="0" w:line="251" w:lineRule="auto"/>
        <w:rPr>
          <w:sz w:val="20"/>
          <w:szCs w:val="20"/>
          <w:color w:val="auto"/>
        </w:rPr>
      </w:pPr>
      <w:r>
        <w:rPr>
          <w:rFonts w:ascii="Times New Roman" w:cs="Times New Roman" w:eastAsia="Times New Roman" w:hAnsi="Times New Roman"/>
          <w:sz w:val="18"/>
          <w:szCs w:val="18"/>
          <w:color w:val="auto"/>
        </w:rPr>
        <w:t>EU, United Kingdom and Swiss rules also relate to cross-border transfers of personal data out of the EEA, the United Kingdom and Switzerland, respectively. In July 2020, the Court of Justice of the European Union (“CJEU”) invalidated the EU-U.S. Privacy Shield framework, a mechanism for companies to comply with data protection requirements when transferring personal data from the EU to the United States. Additionally, in September 2020, the Federal Data Protection and Information Commissioner of Switzerland issued an opinion concluding that the Swiss-U.S. Privacy Shield did not provide an adequate level of protection for data transfers from Switzerland to the United States under Swiss data protection law. Following these decisions and subsequent guidance, it seems that reliance on standard contractual clauses alone may not necessarily be sufficient in all circumstances. Use of the standard contractual clauses must now be assessed on a case-by-case basis taking into account the legal regime applicable in the destination country, in particular applicable surveillance laws and rights of individuals and additional measures and/or contractual provisions may need to be put in place. We make use of alternative data transfer mechanisms such as standard contractual clauses approved by the European Commission, or the SCCs. On June 4, 2021, the European Commission adopted new SCCs under the GDPR for personal data transfers outside the EEA, and more recently the United Kingdom’s Information Commissioner’s Office has published new data transfer standard contracts for transfers from the UK under the UK GDPR. This new documentation will be mandatory for relevant data transfers from September 21, 2022; existing standard contractual clauses arrangements must be migrated to the new documentation by March 21, 2024 – these changes may require us to expend significant resources to update our contractual arrangements and to comply with such obligations. Further, data protection authorities may require measures to be put in place in addition to SCCs for transfers to countries outside of the EEA as well as Switzerland and the UK. Our third-party service providers may also be affected by these changes. In addition to other impacts, we may experience additional costs to comply with these changes, and we and our customers face the potential for regulators in the EEA, Switzerland, or the UK to apply different standards to the transfer of personal data from the EEA, Switzerland, or the UK to the United States and other non-EEA countries, and to block, or require ad hoc verification of measures taken with respect to certain data flows from the EEA, Switzerland, and the UK to the United States and other non-EEA countries. We also may be required to engage in new contract negotiations with third parties that aid in processing data on our behalf, to the extent that any of our service providers or consultants have been relying on invalidated or insufficient contractual protections for compliance with evolving interpretations of and guidance for cross-border data transfers pursuant to the GDPR. In such cases, we may not be able to find alternative service providers, which could limit our ability to process personal data from the EEA, Switzerland, or the UK and increase our costs.</w:t>
      </w:r>
    </w:p>
    <w:p>
      <w:pPr>
        <w:spacing w:after="0" w:line="204"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EU and UK privacy laws on cookies, tracking technologies and e-marketing are also evolving. In the EU and the UK under national laws derived from the ePrivacy Directive, informed consent is required for the placement of a cookie or similar technologies on a user’s device and for direct electronic marketing. The GDPR also imposes conditions on obtaining valid consent for cookies, such as a prohibition on pre-checked consents and a requirement to ensure separate consents are sought for each type of cookie or similar technology. The current national laws that implement the ePrivacy Directive are highly likely to be replaced across the EU (but not directly in the UK) by an EU regulation known as the ePrivacy Regulation which will significantly increase fines for non-compliance. While the text of the ePrivacy Regulation is still under development, there has been significant enforcement activity including through privacy activists driving increased attention to cookies and tracking technologies. If the trend of increasing enforcement by regulators of the strict approach in recent guidance and decisions continues, this could lead to substantial costs, require significant systems changes, limit the effectiveness of our marketing activities, divert the attention of our technology personnel, adversely affect our margins, increase costs and subject us to additional liabilities. Regulation of cookies and similar technologies, and any decline of cookies or similar online tracking technologies as a means to identify and potentially target users, may lead to broader restrictions and impairments on our marketing and personalization activities and may negatively impact our efforts to understand users.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As we continue to expand and new laws are enacted or existing laws change, we may be subject to new laws, regulations or standards or new interpretations of existing laws, regulations or standards, which could require us to incur additional costs and restrict our business operations. Furthermore, these obligations may be interpreted and applied inconsistently from one jurisdiction to another and may conflict with other requirements or our practices. Any failure or perceived failure by us to comply with rapidly evolving data protection laws and regulations, policies (including our own stated privacy policies), legal obligations, contractual obligations or industry standards, or any security incident that results in the unauthorized release or transfer of personally identifiable information or other customer data, may result in governmental investigations and/or enforcement actions, litigation (including customer class actions), claims by our customers and other third parties, fines, penalties and other liabilities, damage to our reputation or adverse publicity, and could cause our customers to lose trust in us, which could have a material adverse effect on our business, results of operations, financial condition, and prospects.</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suppliers fail to comply with applicable laws, including a failure to use acceptable labor practices, or if our suppliers suffer disruptions in their businesses, we could suffer adverse business consequences.</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suppliers source the merchandise we sell from manufacturers both inside and outside of the United States. Although each of our purchase orders is subject to our terms and conditions, which require compliance with all applicable laws including labor and employment, immigration, customs, environmental and product safety, we do not own, supervise or control our suppliers or the manufacturers that produce the merchandise we sell. In the past we have purchased merchandise from our suppliers solely within the United States. In the future, we expect to increase direct purchases from suppliers outside the United States, which may expose us to additional risks. The violation, or perception of any violation, of any labor, immigration, product safety, or other laws by any of our suppliers, their U.S. and non-U.S. manufacturers, or our direct suppliers, such as use of forced or child labor, or the divergence of the labor practices followed by any of our suppliers or these manufacturers from those generally accepted in the United States, could damage our brand image or subject us to boycotts by our customers or activist groups which could have a material adverse effect on our business, financial condition, and results of operations.</w:t>
      </w:r>
    </w:p>
    <w:p>
      <w:pPr>
        <w:spacing w:after="0" w:line="19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Any event causing a sudden disruption of manufacturing or imports, including the imposition of additional import restrictions, could interrupt, or otherwise disrupt the shipment of finished products to us by our suppliers. Political and financial instability outside the United States, strikes, adverse weather conditions or natural disasters that may occur or acts of war or terrorism in the United States or worldwide, may affect the production, shipment or receipt of merchandise. These factors, which are beyond our control, may require us to modify our current business practices or incur increased costs and could have a material adverse effect on our business, financial condition, and results of operations.</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Changes in laws, including employment laws and laws related to our merchandise, could make conducting our business more expensive or otherwise cause us to change the way we do business, which could have a material adverse effect on our business, financial condition, and results of operations.</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are subject to numerous regulations, including labor and employment, truth-in-advertising, California’s Proposition 65 and other environmental laws and regulations, customer protection and zoning and occupancy laws and ordinances that regulate retailers generally or govern the promotion and sale of merchandise and the operation of warehouse facilities. If these regulations were to change or were violated by our management, employees, or suppliers, the costs of certain goods could increase, or we could experience delays in shipments of our goods, be subject to fines or penalties or suffer reputational harm, which could reduce demand for our merchandise and have a material adverse effect on our business, financial condition, and results of operations. In addition to increased regulatory compliance requirements, changes in laws could make the ordinary conduct of our business more expensive or require us to change the way we do business.</w:t>
      </w:r>
    </w:p>
    <w:p>
      <w:pPr>
        <w:spacing w:after="0" w:line="19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Laws related to employee benefits and treatment of employees, including laws related to limitations on employee hours, immigration laws, child labor laws, supervisory status, leaves of absence, wages, pay transparency, mandated health benefits or overtime pay, could also increase compensation and benefits costs. Moreover, changes in product safety or other customer protection laws, could lead to increased costs to us for some merchandise, or additional labor costs associated with readying merchandise for sale. It is often difficult for us to plan and prepare for potential changes to applicable laws, and future actions or increased costs related to these changes could have a material adverse effect on our business, financial condition, and results of operations.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Amendments to existing tax laws, rules or regulations or enactment of new unfavorable tax laws, rules or regulations could have an adverse effect on our business, financial condition, and results of operations.</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Many of the underlying laws, rules or regulations imposing taxes and other obligations were established before the growth of the internet and e-commerce. Tax authorities in non-U.S. jurisdictions and at the U.S. federal, state and local levels continue to review the appropriate treatment of companies engaged in internet commerce and consider changes to existing tax or other laws that could regulate our transmissions and/or levy sales, income, consumption, use or other taxes relating to our activities, and/or impose obligations on us to collect such taxes. We cannot predict whether such changes will occur, nor the effect of current attempts to impose taxes on commerce over the internet. If such tax or other laws, rules or regulations were amended, or if new unfavorable laws, rules or regulations were enacted, the results could increase our tax payments or other obligations, prospectively or retrospectively, subject us to interest and penalties, decrease the demand for our services if we pass on such costs to the consumer, result in increased costs to update or expand our technical or administrative infrastructure or effectively limit the scope of our business activities if we decided not to conduct business in particular jurisdictions. As a result, these changes may have a material adverse effect on our business, financial condition, results of operations, and prospects.</w:t>
      </w:r>
    </w:p>
    <w:p>
      <w:pPr>
        <w:spacing w:after="0" w:line="19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addition, various governments and intergovernmental organizations could introduce proposals for tax legislation, or adopt tax laws, that may have a significant adverse effect on our worldwide effective tax rate, or increase our tax liabilities, the carrying value of deferred tax assets, or our deferred tax liabilities. For example, the U.S. federal government could enact significant changes to the taxation of business entities including, among others, a permanent increase in the corporate income tax rate, an increase in the tax rate applicable to the global intangible low-taxed income and elimination of certain exemptions, and the imposition of minimum taxes or surtaxes on certain types of income. It is possible that other jurisdictions in which we operate or do business could enact tax legislation that could adversely affect us through increasing our tax liabilities.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application of indirect taxes could adversely affect our business and results of operations.</w:t>
      </w:r>
    </w:p>
    <w:p>
      <w:pPr>
        <w:spacing w:after="0" w:line="22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The application of indirect taxes, such as sales and use tax, value-added tax, provincial taxes, goods and services tax, business tax and gross receipt tax, to our business and to our retailers and brands is a complex and evolving issue. Significant judgment is required to evaluate applicable tax obligations. As a result, amounts recorded may be subject to adjustments by the relevant tax authorities. In many cases, the ultimate tax determination is uncertain because it is not clear how new and existing statutes might apply to our business or to the businesses of our retailers and brands. One or more states, the federal government or other countries may seek to impose additional reporting, record-keeping or indirect tax collection obligations on businesses like ours that facilitate e-commerce. For example, state and local taxing authorities in the United States and taxing authorities in other countries have identified e-commerce platforms as a means to calculate, collect and remit indirect taxes for transactions taking place over the internet. Multiple U.S. states have enacted related legislation and other states are now considering similar legislation. Such legislation could require us to incur substantial costs in order to comply, including costs associated with legal advice, tax calculation, collection, remittance and audit requirements, which could make selling in such markets less attractive and could adversely affect our business. In 2018, the U.S. Supreme Court held in South Dakota v. Wayfair that a U.S. state may require an online retailer to collect sales taxes imposed by that state, even if the retailer has no physical presence in that state, thus permitting a wider enforcement of such sales tax collection requirements. Most U.S. states have enacted new sales tax laws requiring remote vendors and online marketplaces to collect, remit and report sales tax. While we now collect, remit, and report sales tax in all states where we have assessed such obligation, it is still possible that one or more jurisdictions could assert that we have a liability from previous periods that could result in additional liabilities.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import taxation levels may increase and could harm our business.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Increases in taxes imposed on goods imported to the United States have been proposed by U.S. lawmakers and the President of the United States and, if enacted, may impede our growth and negatively affect our results of operations. The majority of our inventory is made outside of the United States and would be subject to increased taxation if new taxes on imports were imposed. Such taxes would increase the cost of our inventory and would raise retail prices of our merchandise to the extent we pass the increased costs on to customers, which could adversely affect our results of operations.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failure to comply with current laws, rules and regulations or changes to such laws, rules and regulations and other legal uncertainties may adversely affect our business, financial performance, results of operations or business growth.</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business and financial performance could be adversely affected by unfavorable changes in or interpretations of existing laws, rules, and regulations or the promulgation of new laws, rules and regulations applicable to us and our businesses, including those relating to the internet and e-commerce, including geo-blocking and other geographically based restrictions, internet advertising and price display, customer protection, anti-corruption, antitrust and competition, economic and trade sanctions, tax, banking, data security, data protection, and privacy. As a result, regulatory authorities could prevent or temporarily suspend us from carrying on some or all of our activities or otherwise penalize us if our practices were found not to comply with applicable regulatory or licensing requirements or any binding interpretation of such requirements. Unfavorable changes or interpretations could severely damage our reputation and our relationship with our customers, associates and investors as well as decrease demand for our services, limit marketing methods and capabilities, affect our margins, increase costs or subject us to additional liabilities.</w:t>
      </w:r>
    </w:p>
    <w:p>
      <w:pPr>
        <w:spacing w:after="0" w:line="18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For example, there are, and will likely continue to be, an increasing number of laws and regulations pertaining to the internet and e-commerce that may relate to liability for information retrieved from or transmitted over the internet, display of certain taxes and fees, online editorial and customer-generated content, user privacy, data security, behavioral targeting and online advertising, taxation, liability for third-party activities and the quality of services. Furthermore, the growth and development of e-commerce may prompt calls for more stringent customer protection laws and more aggressive enforcement efforts, which may impose additional burdens on online businesses generally.</w:t>
      </w:r>
    </w:p>
    <w:p>
      <w:pPr>
        <w:spacing w:after="0" w:line="18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Likewise, the SEC, the U.S. Department of Justice, the U.S. Treasury Department’s Office of Foreign Assets Controls (“OFAC”), the U.S. Department of State, as well as other foreign regulatory authorities continue to enforce economic and trade regulations and anti-corruption laws, across industries. U.S. trade sanctions relate to transactions with designated foreign countries and territories, as well as specifically targeted individuals and entities that are identified on U.S. and other blacklists, and those owned by them or those acting on their behalf. Anti-corruption laws, including the U.S. Foreign Corrupt Practices Act (the “FCPA”), generally prohibit direct or indirect corrupt payments to government officials and, under certain laws, private persons to obtain or retain business or an improper business advantage.</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Although we have policies and procedures in place designed to promote compliance with laws and regulations, our employees, partners, or agents could take actions in contravention of our policies and procedures or violate applicable laws or regulations. As regulations continue to develop and regulatory oversight continues to focus on these areas, we cannot guarantee that our policies and procedures will ensure compliance at all times with all applicable laws or regulations. In the event our controls should fail, or we are found to be not in compliance for other reasons, we could be subject to monetary damages, civil and criminal monetary penalties, withdrawal of business licenses or permits, litigation, and damage to our reputation and the value of our brand.</w:t>
      </w:r>
    </w:p>
    <w:p>
      <w:pPr>
        <w:spacing w:after="0" w:line="18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As we expand our operations in existing and new jurisdictions internationally, we will need to increase the scope of our compliance programs to address the risks relating to the potential for violations of the FCPA and other anti-bribery and anti-corruption laws. Further, the promulgation of new laws, rules and regulations, or the new interpretation of existing laws, rules and regulations, in each case that restrict or otherwise unfavorably impact the ability or manner in which we or our retailers and brands conduct business could require us to change certain aspects of our business, operations and commercial relationships to ensure compliance, which could decrease demand for services, reduce net revenue, increase costs or subject us to additional liabilities.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Regulations related to conflict minerals may cause us to incur additional expenses and could limit the supply and increase the costs of certain metals used in the manufacturing of our products.</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are subject to requirements under the Dodd-Frank Wall Street Reform and Consumer Protection Act of 2010, which requires us to conduct due diligence on and disclose whether or not our products contain conflict minerals for the fiscal year ended December 31, 2023 and going forward. The implementation of these requirements could adversely affect the sourcing, availability, and pricing of the materials used in the manufacture of components used in our products. In addition, we will incur additional costs to comply with the disclosure requirements, including costs related to conducting diligence procedures to determine the sources of minerals that may be used or necessary to the production of our products and, if applicable, potential changes to products, processes, or sources of supply as a consequence of such due diligence activities. It is also possible that we may face reputational harm if we determine that certain of our products contain minerals not determined to be conflict free or if we are unable to alter our products, processes, or sources of supply to avoid such materials.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Indebtedness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outstanding borrowings and we may incur additional indebtedness in the future, which may require us to use a portion of our cash flow to service debt and limit our financial and operating flexibility.</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During November 2021, we entered into a Credit Agreement with Bank of America (the “2021 Credit Agreement”) to provide a revolving facility that provides for borrowings up to $50.0 million (the “2021 Revolving Facility”). During the term of the 2021 Credit Agreement, we may increase the aggregate amount of the 2021 Revolving Facility up to an additional $25.0 million (for maximum aggregate lender commitments of up to $75.0 million), subject to the satisfaction of certain conditions under the 2021 Credit Agreement, including obtaining the consent of the administrative agent and an increased commitment from existing or new lenders. During 2023, we borrowed $13.0 million under the 2021 Revolving Facility and repaid $30.0 million of the outstanding balance. As of December 31, 2023, we had $8.0 million outstanding under the 2021 Revolving Facility. The 2021 Revolving Facility matures on November 15, 2024 and borrowings thereunder will accrue interest. Further, the 2021 Revolving Facility contains a financial maintenance covenant requiring a maximum total leverage ratio of no more than 2.50:1.00, stepping down to 2.00:1.00 after 18 months. We believe that our cash on hand and cash provided by operations in conjunction with certain cash conservation measures to be taken as necessary, including adjustments to marketing and other variable and capital spend, will enable us to meet our obligations as they become due within one year. However, we cannot ensure that our business will generate sufficient cash flow from operating activities or that future borrowings will be available under our borrowing agreements in amounts sufficient to fund other working capital needs.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Company and Our Ownership Structure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and managing a public company presents new challenges.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are subject to various regulatory requirements, including those of the SEC and Nasdaq. These requirements include record keeping, financial reporting and corporate governance rules and regulations. While certain members of our management team have experience managing a public company, we do not have the resources typically found in a public company. Our internal infrastructure may not be adequate to support our increased reporting obligations, and we may be unable to hire, train, or retain necessary staff and may be reliant on engaging outside consultants or professionals to overcome our lack of experience or personnel. If our internal infrastructure is inadequate, we are unable to engage outside consultants or are otherwise unable to fulfill our public company obligations, it could have a material adverse effect on our business, financial condition, and results of operations.</w:t>
      </w:r>
    </w:p>
    <w:p>
      <w:pPr>
        <w:spacing w:after="0" w:line="185"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require additional capital to support business growth and this capital might not be available or may be available only by diluting existing stockholders.</w:t>
      </w:r>
    </w:p>
    <w:p>
      <w:pPr>
        <w:spacing w:after="0" w:line="18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may need to raise additional funds, and we may not be able to obtain additional debt or equity financing on favorable terms or at all. If we raise additional equity financing, stockholders may experience significant dilution of their ownership interests. If we raise additional debt financing, we may be required to accept terms that restrict our ability to incur additional indebtedness, force us to maintain specified liquidity or other ratios or restrict our ability to pay dividends or make acquisitions. If we need additional capital and cannot raise it on acceptable terms, or at all, our ability to continue to support our business growth and to respond to business challenges could be significantly limited and our business and prospects could fail or be adversely affected.</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Concentration of ownership among our existing executive officers, directors and principal stockholders may prevent new investors from influencing significant corporate decisions.</w:t>
      </w:r>
    </w:p>
    <w:p>
      <w:pPr>
        <w:spacing w:after="0" w:line="15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As of the date of this Annual Report on Form 10-K, our executive officers, directors, and principal stockholders own, in the aggregate, approximately 82% of our outstanding common stock. These stockholders will be able to exercise significant control over all matters requiring stockholder approval, including the election of directors, amendment of our amended and restated certificate of incorporation, and approval of significant corporate transactions and will have significant control over our management and policies. This concentration of influence could be disadvantageous to other stockholders with interests different from those of our officers, directors, and principal stockholders and could have an adverse effect on the price of our common stock.</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these stockholders could take actions that have the effect of delaying or preventing a change-in-control of us or discouraging others from making tender offers for our shares, which could prevent stockholders from receiving a premium for their shares. These actions may be taken even if other stockholders oppose them.</w:t>
      </w:r>
    </w:p>
    <w:p>
      <w:pPr>
        <w:sectPr>
          <w:pgSz w:w="11900" w:h="16838" w:orient="portrait"/>
          <w:cols w:equalWidth="0" w:num="1">
            <w:col w:w="9920"/>
          </w:cols>
          <w:pgMar w:left="980" w:top="513" w:right="99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amended and restated certificate of incorporation and bylaws and under Delaware law could make an acquisition of us more difficult, limit attempts by our stockholders to replace or remove our current management and limit the market price of our common stock.</w:t>
      </w:r>
    </w:p>
    <w:p>
      <w:pPr>
        <w:spacing w:after="0" w:line="175"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Provisions in our certificate of incorporation and bylaws may have the effect of delaying or preventing a change of control or changes in our management. Our amended and restated certificate of incorporation and amended and restated bylaws include provisions that:</w:t>
      </w:r>
    </w:p>
    <w:p>
      <w:pPr>
        <w:spacing w:after="0" w:line="176" w:lineRule="exact"/>
        <w:rPr>
          <w:sz w:val="20"/>
          <w:szCs w:val="20"/>
          <w:color w:val="auto"/>
        </w:rPr>
      </w:pPr>
    </w:p>
    <w:p>
      <w:pPr>
        <w:ind w:left="680" w:right="20" w:hanging="321"/>
        <w:spacing w:after="0" w:line="282" w:lineRule="auto"/>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issue, without further action by the stockholders, up to 10,000,000 shares of undesignated preferred stock;</w:t>
      </w:r>
    </w:p>
    <w:p>
      <w:pPr>
        <w:spacing w:after="0" w:line="161" w:lineRule="exact"/>
        <w:rPr>
          <w:rFonts w:ascii="Times New Roman" w:cs="Times New Roman" w:eastAsia="Times New Roman" w:hAnsi="Times New Roman"/>
          <w:sz w:val="18"/>
          <w:szCs w:val="18"/>
          <w:color w:val="auto"/>
        </w:rPr>
      </w:pPr>
    </w:p>
    <w:p>
      <w:pPr>
        <w:jc w:val="both"/>
        <w:ind w:left="680" w:hanging="321"/>
        <w:spacing w:after="0" w:line="266" w:lineRule="auto"/>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certain exceptions, including that entities affiliated with H.I.G Capital, LLC (“H.I.G.”), Institutional Venture Partners (“IVP”) and the Canada Pension Plan Investment Board (“CPPIB”) hold at least 50% of our common stock, require that any action to be taken by our stockholders be effected at a duly called annual or special meeting and not by written consent;</w:t>
      </w:r>
    </w:p>
    <w:p>
      <w:pPr>
        <w:spacing w:after="0" w:line="175"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that special meetings of our stockholders can be called only by a majority of our Board of Directors, the Chair of our Board of Directors or our Chief Executive Officer;</w:t>
      </w:r>
    </w:p>
    <w:p>
      <w:pPr>
        <w:spacing w:after="0" w:line="161"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 advance notice procedure for stockholder proposals to be brought before an annual meeting, including proposed nominations of persons for election to our Board of Directors;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that our Board of Directors is divided into three classes, with each class serving three-year staggered terms;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cumulative voting in the election of directors; and</w:t>
      </w:r>
    </w:p>
    <w:p>
      <w:pPr>
        <w:spacing w:after="0" w:line="225"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vacancies on our Board of Directors may be filled only by a majority of directors then in office, even though less than a quorum.</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w:t>
      </w:r>
    </w:p>
    <w:p>
      <w:pPr>
        <w:spacing w:after="0" w:line="176"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addition, because we are incorporated in Delaware, we have opted out of the provisions of Section 203 of the Delaware General Corporation Law (the “DGCL”), which generally prohibits a Delaware corporation from engaging in any of a broad range of business combinations with any “interested” stockholder (any stockholder with 15% or more of our capital stock) for a period of three years following the date on which the stockholder became an “interested” stockholder. However, our amended and restated certificate of incorporation contain a provision that provides us with protections similar to Section 203 of the DGCL and prevent us from engaging in a business combination with a person who acquires at least 15% of our common stock for a period of three years from the date such person acquired such common stock, unless board or stockholder approval is obtained prior to the acquisition, except that it provides that H.I.G. or any affiliate thereof, or any person or entity to which any of the foregoing stockholders transfers shares of our voting stock (subject to specified exceptions), in each case regardless of the total percentage of our voting stock owned by such stockholder or such person or entity, shall not be deemed an “interested stockholder” for purposes of this provision of our amended and restated certificate of incorporation and therefore not subject to the restrictions set forth in this provision.</w:t>
      </w:r>
    </w:p>
    <w:p>
      <w:pPr>
        <w:spacing w:after="0" w:line="18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designates the Court of Chancery of the State of Delaware and the federal district courts of the United States as the sole and exclusive forums for certain types of actions and proceedings that may be initiated by our stockholders, which could limit our stockholders’ ability to obtain a favorable judicial forum for disputes with the Company or our directors, officers, or other employees.</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unless we consent to the selection of an alternative forum, the Court of Chancery of the State of Delaware shall, to the fullest extent permitted by law, be the sole and exclusive forum for any (1) derivative action or proceeding brought on behalf of the Company, (2) action asserting a claim of breach of a fiduciary duty owed by any of our directors or officers to the Company or our stockholders, (3) action asserting a claim against the Company or any director or</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officer of the Company arising pursuant to any provision of the DGCL or our amended and restated certificate of incorporation or our amended and restated bylaws, or (4) action asserting a claim against us or any director or officer of the Company governed by the internal affairs doctrine. Additionally, our amended and restated certificate of incorporation further provides that the federal district courts of the United States will be the exclusive forum for resolving any complaint asserting a cause or causes of action arising under the Securities Act, including all causes of action asserted against a defendant to such complaint. The choice of forum provisions would not apply to claims or causes of action brought to enforce a duty or liability created by the Exchange Act or any other claim for which the federal courts have exclusive jurisdiction, as Section 27 of the Exchange Act creates exclusive federal jurisdiction over all claims brought to enforce any duty or liability created by the Exchange Act or the rules and regulations thereunder. Accordingly, actions by our stockholders to enforce any duty or liability created by the Exchange Act or the rules and regulations thereunder must be brought in federal court. We note that there is uncertainty as to whether a court would enforce the choice of forum provision with respect to claims under the federal securities laws, and that investors cannot waive compliance with the federal securities laws and the rules and regulations thereunder.</w:t>
      </w:r>
    </w:p>
    <w:p>
      <w:pPr>
        <w:spacing w:after="0" w:line="19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Any person or entity purchasing or otherwise acquiring any interest in any shares of our capital stock shall be deemed to have notice of and to have consented to the forum provisions in our amended and restated certificate of incorporation. This choice-of-forum provision may limit a stockholder’s ability to bring a claim in a judicial forum that it finds favorable for disputes with us or our directors, officers, or other employees, which may discourage such lawsuits. Alternatively, if a court were to find this provision of our amended and restated certificate of incorporation inapplicable or unenforceable with respect to one or more of the specified types of actions or proceedings, we may incur additional costs associated with resolving such matters in other jurisdictions, which could materially and adversely affect our business, financial condition, and results of operations and result in a diversion of the time and resources of our management and Board of Directors. These provisions may also result in increased costs for investors seeking to bring a claim against us or any of our directors, officers, or other employees.</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Lulu’s Fashion Lounge Holdings, Inc. is a holding company with no operations of its own and, as such, it depends on its subsidiaries for cash to fund its operations and expenses, including future dividend payments, if any.</w:t>
      </w:r>
    </w:p>
    <w:p>
      <w:pPr>
        <w:spacing w:after="0" w:line="15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As a holding company, our principal source of cash flow will be distributions or payments from our operating subsidiaries. Therefore, our ability to fund and conduct our business, service our debt, and pay dividends, if any, in the future will depend on the ability of our subsidiaries and intermediate holding companies to make upstream cash distributions or payments to us, which may be impacted, for example, by their ability to generate sufficient cash flow or limitations on the ability to repatriate funds whether as a result of currency liquidity restrictions, monetary or exchange controls, or otherwise. Our operating subsidiaries and intermediate holding companies are separate legal entities, and although they are directly or indirectly wholly owned and controlled by us, they have no obligation to make any funds available to us, whether in the form of loans, dividends, or otherwise.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that our stock price will fluctuate significantly, which could cause the value of investments in our common stock to decline, and investors may not be able to resell their shares at a price at or above the price for which they purchased them.</w:t>
      </w:r>
    </w:p>
    <w:p>
      <w:pPr>
        <w:spacing w:after="0" w:line="15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Securities markets worldwide have experienced, and are likely to continue to experience, significant price and volume fluctuations. The market volatility, as well as general economic, market or political conditions, could reduce the market price of our common stock regardless of our results of operations. The trading price of our common stock is likely to be volatile and subject to significant price fluctuations, as observed in 2023, in response to many factors, including:</w:t>
      </w:r>
    </w:p>
    <w:p>
      <w:pPr>
        <w:spacing w:after="0" w:line="180" w:lineRule="exact"/>
        <w:rPr>
          <w:sz w:val="20"/>
          <w:szCs w:val="20"/>
          <w:color w:val="auto"/>
        </w:rPr>
      </w:pPr>
    </w:p>
    <w:p>
      <w:pPr>
        <w:ind w:left="680" w:hanging="321"/>
        <w:spacing w:after="0"/>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or trends in our industry or the economy as a whole and, in particular, in the retail sales environment;</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merchandise mix and supplier base;</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of promotional events;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key personnel;</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entry into new markets;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hanging="321"/>
        <w:spacing w:after="0"/>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customer preferences and fashion trends;</w:t>
      </w:r>
    </w:p>
    <w:p>
      <w:pPr>
        <w:spacing w:after="0" w:line="225"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new product offerings or significant acquisitions, divestitures, strategic partnerships, joint ventures, or capital commitments;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by competitors;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inventory shrinkage beyond our historical average rates;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operating performance and stock market valuations of other retail companies;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investors’ perceptions of our prospects and the prospects of the retail industry;</w:t>
      </w:r>
    </w:p>
    <w:p>
      <w:pPr>
        <w:spacing w:after="0" w:line="225"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quarterly results of operations, as well as differences between our actual financial results and results of operations and those expected by investors;</w:t>
      </w:r>
    </w:p>
    <w:p>
      <w:pPr>
        <w:spacing w:after="0" w:line="161"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public’s response to press releases or other public announcements by us or third parties, including our filings with the SEC and/or negative earnings or other announcements by us or other retail apparel companies;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media reports, or other public forum comments related to litigation, claims, or reputational charges against us;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guidance, if any, that we provide to the public, any changes in this guidance, or our failure to meet this guidance;</w:t>
      </w:r>
    </w:p>
    <w:p>
      <w:pPr>
        <w:spacing w:after="0" w:line="225"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or ratings by any securities analysts who follow our common stock, our failure to meet these estimates, or the failure of those analysts to initiate or maintain coverage of our common stock;</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and sustainability of an active trading market for our common stock;</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downgrades in our credit ratings or the credit ratings of our competitors;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 perceptions of the investment opportunity associated with our common stock relative to other investment alternatives;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of our common stock by our officers, directors, and significant stockholders;</w:t>
      </w:r>
    </w:p>
    <w:p>
      <w:pPr>
        <w:spacing w:after="0" w:line="225" w:lineRule="exact"/>
        <w:rPr>
          <w:rFonts w:ascii="Times New Roman" w:cs="Times New Roman" w:eastAsia="Times New Roman" w:hAnsi="Times New Roman"/>
          <w:sz w:val="18"/>
          <w:szCs w:val="18"/>
          <w:color w:val="auto"/>
        </w:rPr>
      </w:pPr>
    </w:p>
    <w:p>
      <w:pPr>
        <w:ind w:left="680" w:right="180" w:hanging="321"/>
        <w:spacing w:after="0" w:line="282" w:lineRule="auto"/>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macroeconomic conditions, including inflation, labor shortages, supply chain shortages, or other economic, political or legal uncertainties or adverse developments;</w:t>
      </w:r>
    </w:p>
    <w:p>
      <w:pPr>
        <w:spacing w:after="0" w:line="161" w:lineRule="exact"/>
        <w:rPr>
          <w:rFonts w:ascii="Times New Roman" w:cs="Times New Roman" w:eastAsia="Times New Roman" w:hAnsi="Times New Roman"/>
          <w:sz w:val="18"/>
          <w:szCs w:val="18"/>
          <w:color w:val="auto"/>
        </w:rPr>
      </w:pPr>
    </w:p>
    <w:p>
      <w:pPr>
        <w:jc w:val="both"/>
        <w:ind w:left="680" w:hanging="321"/>
        <w:spacing w:after="0" w:line="266" w:lineRule="auto"/>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unrest, terrorism and wars, such as the current situation with Ukraine and Russia and increased tensions between Taiwan and China, which could delay or disrupt our business, and if such political unrest escalates or spills over to or otherwise impacts additional regions it could heighten many of the other risk factors included in this Item 1A;</w:t>
      </w:r>
    </w:p>
    <w:p>
      <w:pPr>
        <w:spacing w:after="0" w:line="175"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or factors, including those resulting from system failures and disruptions, earthquakes, hurricanes, other natural disasters, pandemics, or responses to these events; and</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w:t>
      </w:r>
    </w:p>
    <w:p>
      <w:pPr>
        <w:spacing w:after="0" w:line="22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These and other factors may cause the market price and demand for shares of our common stock to fluctuate substantially, which may limit or prevent investors from readily selling their shares of our common stock and may otherwise negatively affect the liquidity of our common stock. As a result of these factors, our quarterly and annual results of operations and sales may fluctuate significantly. Accordingly, results for any one quarter are not necessarily indicative of results to be expected for any other quarter or for any year and sales for any particular future period may decrease. In the future, our results of operations may fall below the expectations of securities analysts and investors. In that event, the price of our common stock would likely decrease. In the past, when the market price of a stock</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has been volatile, security holders have often instituted class action litigation against the company that issued the stock. If we become involved in this type of litigation, regardless of the outcome, we could incur substantial legal costs and our management’s attention could be diverted from the operation of our business, which could have a material adverse effect on our business, financial condition, and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sales of our common stock in the public market could cause the market price of our common stock to decrease significantly.</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Sales of substantial amounts of our common stock in the public market by our existing stockholders, upon the exercise of stock options granted in the future or by persons who acquired shares in our initial public offering (“IPO”) may cause the market price of our common stock to decrease significantly. The perception that such sales could occur could also depress the market price of our common stock. Any such sales could also create public perception of difficulties or problems with our business and might also make it more difficult for us to raise capital through the sale of equity securities in the future at a time and price that we deem appropriate.</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Certain of our outstanding shares of common stock are “restricted securities,” as defined under Rule 144 under the Securities Act and eligible for sale in the public market subject to the requirements of Rule 144.</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restrictions on resale expire or as shares are registered, our share price could drop significantly if the holders of these restricted or newly registered shares sell them or are perceived by the market as intending to sell them. These sales might also make it more difficult for us to raise capital through the sale of equity securities in the future at a time and at a price that we deem appropriate.</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on our common stock and, consequently, the ability of common stockholders to achieve a return on investment will depend on appreciation, if any, in the price of our common stock.</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Investors should not rely on an investment in our common stock to provide dividend income. Because we do not expect to pay any cash dividends for the foreseeable future, investors may be forced to sell their shares in order to realize a return on their investment, if any. We do not anticipate that we will pay any dividends to holders of our common stock for the foreseeable future. Any payment of cash dividends will be at the discretion of our Board of Directors and will depend on our financial condition, capital requirements, legal requirements, earnings, and other factors. Consequently, investors in our common stock should not rely on dividends in order to receive a return on their investment. Accordingly, investors must rely on sales of their common stock after price appreciation, which may never occur, as the only way to realize any return on their investment. As a result, investors seeking cash dividends should not purchase our common stock.</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accounting standards and subjective assumptions, estimates and judgments by management related to complex accounting matters could significantly affect our financial results or financial condition.</w:t>
      </w:r>
    </w:p>
    <w:p>
      <w:pPr>
        <w:spacing w:after="0" w:line="15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Generally accepted accounting principles and related accounting pronouncements, implementation guidelines and interpretations with regard to a wide range of matters that are relevant to our business, including but not limited to revenue recognition, leases, impairment of goodwill and intangible assets, inventory, income taxes and litigation, are highly complex and involve many subjective assumptions, estimates and judgments. Changes in these rules or their interpretation or changes in underlying assumptions, estimates or judgments could significantly change or increase volatility of our reported or expected financial performance or financial condition. Refer to Note 2, Significant Accounting Policies, in the accompanying notes to our consolidated financial statements included in this Annual Report on Form 10-K for a description of recent accounting pronouncements.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are claims made against us from time to time that can result in litigation that could distract management from our business activities and result in significant liability or damage to our brand.</w:t>
      </w:r>
    </w:p>
    <w:p>
      <w:pPr>
        <w:spacing w:after="0" w:line="15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As a growing company with expanding operations, we increasingly face the risk of litigation and other claims against us. Litigation and other claims may arise in the ordinary course of our business and include employee claims, commercial disputes, intellectual property issues, privacy and customer protection claims, and product-oriented allegations. These claims can raise complex factual and legal issues that are subject to risks and uncertainties and could require significant management time and allocation. Litigation and other claims and regulatory proceedings against us could result in unexpected expenses and liabilities, which could have a material adverse effect on our business, financial condition, and results of operations.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our senior management personnel and may not be able to retain or replace these individuals or recruit additional personnel, which could have a material adverse effect on our business, financial condition, and results of operations.</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future success is substantially dependent on the continued service of our senior management. Changes in management, however, have the potential to disrupt our business, and any such disruption could adversely affect our operations, growth, financial condition and results of operations. Further, new members of management and the Board of Directors may have different perspectives on our operations and opportunities for our business, which may cause us to change our business plan or vision for our company. The loss of services of these individuals or any other of our key employees could impair our ability to manage our business effectively, as we may not be able to find suitable individuals to replace them on a timely basis or at all, which could have a material adverse effect on our business, financial condition, and results of operations. In addition, any departures of key personnel could be viewed in a negative light by investors and analysts, which could cause our common stock price to decline. We do not maintain key person insurance on any employee.</w:t>
      </w:r>
    </w:p>
    <w:p>
      <w:pPr>
        <w:spacing w:after="0" w:line="18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addition to our senior management and the Board of Directors, we have other employees in positions responsible for our merchandising, marketing, software development, accounting, finance, information technology, and operations departments, that, if vacant, could cause a temporary disruption in our operations until such positions are filled, which could have a material adverse effect on our business, financial condition, and results of operations. Our success depends in part upon our ability to attract, motivate, and retain a sufficient number of employees who understand our business, customers, brand and corporate culture. Our planned growth will require us to hire and train even more personnel to manage such growth. If we are unable to hire and retain personnel capable of consistently performing at a high level, our ability to expand our business may be impaired.</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analysts or industry analysts downgrade our shares, publish negative research or reports, or do not publish reports about our business, our share price and trading volume could decline.</w:t>
      </w:r>
    </w:p>
    <w:p>
      <w:pPr>
        <w:spacing w:after="0" w:line="15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trading market for our common stock is influenced by the research and reports that industry or securities analysts publish about us, our business and our industry. If one or more analysts adversely change their recommendation regarding our shares or our competitors’ stock, our share price would likely decline. If one or more analysts cease coverage of us or fail to regularly publish reports on us, we could lose visibility in the financial markets, which in turn could cause our share price or trading volume to decline. As a result, the market price for our common stock may decline and shares of our common stock may not be resold at or above the price at which they were purchased.</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results of operations could be adversely affected by natural disasters, public health crises, political crises, or other catastrophic events.</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principal office and one of our distribution facilities are located in Chico, California, an area which has a history of wildfires, and are thus vulnerable to damage. We also operate offices in other cities and states and have a second distribution facility in Southern California and a third distribution facility in Pennsylvania. Natural disasters, such as earthquakes, wildfires, hurricanes, tornadoes, floods, and other adverse weather and climate conditions; unforeseen public health crises, such as pandemics and epidemics; political crises, such as terrorist attacks, war, and other political instability; or other catastrophic events, whether occurring in the United States or internationally, could disrupt our operations in any of our offices and distribution facilities or the operations of one or more of our third-party providers or suppliers. For example, in the fall of 2018 there was a wildfire near Chico, California. In particular, these types of events could impact our merchandise supply chain, including our ability to ship merchandise to customers from or to the impacted region, our suppliers’ ability to ship merchandise or our ability to operate our platform. In addition, these types of events could negatively impact customer spending in the impacted regions. Sales of certain seasonal apparel items are dependent in part on the weather and may decline when weather conditions do not favor the use of this apparel. To the extent any of these events occur, our business and results of operations could be adversely affected.</w:t>
      </w:r>
    </w:p>
    <w:p>
      <w:pPr>
        <w:spacing w:after="0" w:line="21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Climate change and increased focus by governmental and non-governmental organizations, customers, consumers and investors on sustainability issues, including those related to climate change, may adversely affect our business and financial results and damage our reputation.</w:t>
      </w:r>
    </w:p>
    <w:p>
      <w:pPr>
        <w:spacing w:after="0" w:line="21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business and results of operations could be adversely affected by climate change and the adoption of new climate change related laws, policies and regulations. Growing concerns about climate change and greenhouse gas emissions have led to the adoption of various regulations and policies, including the Paris Agreement negotiated at the 2015 United Nations Conference on Climate Change. Climate</w:t>
      </w:r>
    </w:p>
    <w:p>
      <w:pPr>
        <w:sectPr>
          <w:pgSz w:w="11900" w:h="16838" w:orient="portrait"/>
          <w:cols w:equalWidth="0" w:num="1">
            <w:col w:w="9920"/>
          </w:cols>
          <w:pgMar w:left="980" w:top="513" w:right="99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change may impact our business in numerous ways. For example, governments may impose new taxes to finance efforts to reduce the impact of climate change, which may increase shipping and freight costs and prices for our products. We also face the risk that governmental or non-governmental organizations may increase their focus on the fashion sector and implement greater environmental regulation on the fashion sector in the United States or the fashion sector in other markets. For example, the fashion industry’s process for dying fabrics uses large quantities of water, and the disposition of the waste water is often regulated and may affect the environment. Increased scrutiny and regulation of this practice may adversely affect our business. If we or our suppliers are required to comply with new or additional legislation and regulations to mitigate or reduce the potential impact of climate change, or if we choose to take voluntary steps to mitigate or reduce our impact on climate change, we may experience increases in raw material costs, energy, production, transportation, capital expenditures, insurance premiums and deductibles, which could adversely impact our business or results of operations. Inconsistency of legislation and regulations among jurisdictions may also adversely affect the costs of compliance with such laws and regulations. Any assessment of the potential impact of future climate change legislation, regulations, or industry standards, as well as any international treaties and accords, is uncertain given the breadth of potential regulatory change in the countries in which we operate. Additionally, some scientists have concluded that increasing concentrations of greenhouse gases in the earth’s atmosphere may produce climate changes that have significant physical effects, such as increased frequency and severity of storms, droughts, floods and other climatic events. Increased frequency of extreme weather could cause increased incidence of disruption to the production and distribution of our products and an adverse impact on consumer demand and spending. If any such climate changes or additional climate change were to occur, they could have an adverse effect on our financial condition and results of operations.</w:t>
      </w:r>
    </w:p>
    <w:p>
      <w:pPr>
        <w:spacing w:after="0" w:line="1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Increased scrutiny and changing expectations from investors, customers, employees and others regarding our environmental, social and governance practices and reporting could cause us to incur additional costs, devote additional resources and expose us to additional risks, which could adversely impact our reputation, customer acquisition and retention, access to capital and employee retention.</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Companies across all industries are facing increasing scrutiny related to their environmental, social and governance (“ESG”) practices and reporting. Investors, customers, employees and other stakeholders have focused increasingly on ESG practices and placed increasing importance on the implications and social cost of their investments, purchases and other interactions with companies. With this increased focus and demand, public reporting regarding ESG practices is becoming more broadly expected and required in certain circumstances. If our ESG practices and reporting do not meet investor, customer or employee expectations, which continue to evolve, our brand, reputation and customer retention may be negatively impacted.</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ability to achieve any ESG objective or goal, including with respect to GHG emissions, and accurately and transparently report our progress is subject to numerous operational, financial, legal and other risks, many of which are dependent on the actions of third parties and outside of our control. Examples of such risks include:</w:t>
      </w:r>
    </w:p>
    <w:p>
      <w:pPr>
        <w:spacing w:after="0" w:line="176" w:lineRule="exact"/>
        <w:rPr>
          <w:sz w:val="20"/>
          <w:szCs w:val="20"/>
          <w:color w:val="auto"/>
        </w:rPr>
      </w:pPr>
    </w:p>
    <w:p>
      <w:pPr>
        <w:ind w:left="1000" w:hanging="317"/>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and cost of low- or non-carbon-based energy sources;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evolving regulatory requirements affecting ESG standards or disclosures;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suppliers that can meet our sustainability, diversity and other ESG standards;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develop and retain diverse talent in our labor markets; and</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organic growth and acquisitions or dispositions of businesses or operations.</w:t>
      </w:r>
    </w:p>
    <w:p>
      <w:pPr>
        <w:spacing w:after="0" w:line="22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If we fail, or are perceived to be failing, to meet the objectives, goals or standards included in any sustainability disclosure or the expectations of our various stakeholders or if we are perceived to have not responded appropriately, it could negatively impact our reputation, customer acquisition and retention, access to capital and employee retention. In addition, in recent years, investor advocacy groups and certain institutional investors have placed increasing importance on ESG matters. If, as a result of their assessment of our ESG practices, certain investors are unsatisfied with our actions or progress, they may reconsider their investment in our company. As the nature, scope and complexity of ESG reporting, diligence and disclosure requirements expand, including the SEC’s and California’s recently proposed disclosure requirements regarding, among other matters, GHG emissions, we may have to undertake additional costs to control, assess and report on ESG metrics. Any failure or perceived failure, whether or not valid, to pursue or fulfill our ESG goals, targets and objectives or to satisfy various ESG reporting standards within the timelines we announce, or at all, could increase the risk of litigation.</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smaller reporting company, and the reduced disclosure requirements applicable to emerging growth companies and smaller reporting companies may make our common stock less attractive to investors.</w:t>
      </w:r>
    </w:p>
    <w:p>
      <w:pPr>
        <w:spacing w:after="0" w:line="15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and a smaller reporting company as defined in the rules under the Exchange Act. Under the JOBS Act, emerging growth companies can delay adopting new or revised financial accounting standards until such time as those standards apply to private companies. We intend to take advantage of the extended transition period for adopting new or revised financial accounting standards under the JOBS Act as an emerging growth company.</w:t>
      </w:r>
    </w:p>
    <w:p>
      <w:pPr>
        <w:spacing w:after="0" w:line="20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For as long as we continue to be an emerging growth company and/or a smaller reporting company, we may also take advantage of other exemptions from certain reporting requirements that are applicable to other public companies, including not being required to comply with the auditor attestation requirements of Section 404(b) of the Sarbanes-Oxley Act, exemption from any rules that may be adopted by the Public Company Accounting Oversight Board requiring mandatory audit firm rotations or a supplement to the report of independent registered public accounting firm, reduced disclosure obligations regarding executive compensation in our periodic reports and proxy statements, exemptions from the requirements of holding a nonbinding advisory vote on executive compensation and any golden parachute arrangements, and reduced financial reporting requirements. Investors may find our common stock less attractive because we will rely on these exemptions, which could result in a less active trading market for our common stock, increased price fluctuation, and a decrease in the trading price of our common stock.</w:t>
      </w:r>
    </w:p>
    <w:p>
      <w:pPr>
        <w:spacing w:after="0" w:line="18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will remain an emerging growth company until the earlier of (1) the last day of the fiscal year following the fifth anniversary of our IPO, (2) the last day of the fiscal year in which we have total annual gross revenue of at least $1.235 billion, (3) the last day of the fiscal year in which we are deemed to be a “large accelerated filer,” as defined in the rules under the Exchange Act, or (4) the date on which we have issued more than $1.0 billion in non-convertible debt during the prior three-year period. We will remain a smaller reporting company until our outstanding common stock held by nonaffiliates has a value of $250 million or more at the end of a second fiscal quarter.</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achieve and maintain effective internal control over financial reporting in accordance with Section 404 of the Sarbanes-Oxley Act could have a material adverse effect on our business, financial condition, and results of operations.</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As a privately held company, we were not required to evaluate our internal control over financial reporting in a manner that meets the standards of publicly traded companies required by Section 404(a) of the Sarbanes-Oxley Act (“Section 404”). Section 404 of the Sarbanes-Oxley Act requires annual management assessments of the effectiveness of our internal control over financial reporting, starting with the second annual report that we file with the SEC as a public company, and generally requires in the same report a report by our independent registered public accounting firm on the effectiveness of our internal control over financial reporting. However, under the JOBS Act, our independent registered public accounting firm will not be required to attest to the effectiveness of our internal control over financial reporting pursuant to Section 404 of the Sarbanes-Oxley Act until we are no longer an emerging growth company. We could be an emerging growth company for up to five years subsequent to becoming a public company.</w:t>
      </w:r>
    </w:p>
    <w:p>
      <w:pPr>
        <w:spacing w:after="0" w:line="19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Once we are no longer an emerging growth company, our independent registered public accounting firm will be required to attest to the effectiveness of our internal control over financial reporting on an annual basis. The rules governing the standards that must be met for our management to assess our internal control over financial reporting are complex and require significant documentation, testing and possible remediation and the incurrence of significant additional expenditures. Testing and maintaining internal controls may divert our management’s attention from other matters that are important to our business.</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process of designing and implementing effective internal controls is a continuous effort that requires us to anticipate and react to changes in our business and the economic and regulatory environments and to expend significant resources to maintain a system of internal controls that is adequate to satisfy our reporting obligations as a public company. If we are unable to establish or maintain appropriate internal financial reporting controls and procedures, it could cause us to fail to meet our reporting obligations on a timely basis, result in material misstatements in our consolidated financial statements and harm our results of operations.</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connection with the implementation of the necessary procedures and practices related to internal control over financial reporting, we may identify deficiencies that we may not be able to remediate in time to meet the deadline imposed by the Sarbanes-Oxley Act for compliance with the requirements of Section 404. In addition, we may encounter problems or delays in completing the remediation of any deficiencies identified by our independent registered public accounting firm in connection with the issuance of their attestation report. Our testing, or the subsequent testing by our independent registered public accounting firm, may reveal deficiencies in our</w:t>
      </w:r>
    </w:p>
    <w:p>
      <w:pPr>
        <w:sectPr>
          <w:pgSz w:w="11900" w:h="16838" w:orient="portrait"/>
          <w:cols w:equalWidth="0" w:num="1">
            <w:col w:w="9920"/>
          </w:cols>
          <w:pgMar w:left="980" w:top="513" w:right="999"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internal controls over financial reporting that are deemed to be material weaknesses. We may not be able to conclude on an ongoing basis that we have effective internal control over financial reporting in accordance with Section 404. If we are unable to conclude that we have effective internal control over financial reporting, investors may lose confidence in our reported financial information, which could have a material adverse effect on the trading price of our common stock, and we could become subject to litigation or investigations by Nasdaq, the SEC, or other regulatory authorities, which could require additional financial and management resources.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requirements of being a public company may strain our resources, divert management’s attention and affect our ability to attract and retain executive management and qualified board members.</w:t>
      </w:r>
    </w:p>
    <w:p>
      <w:pPr>
        <w:spacing w:after="0" w:line="15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As a publicly traded company, we have incurred and will continue to incur significant legal, accounting, and other expenses that we were not required to incur in the recent past, particularly after we are no longer an emerging growth company as defined under the JOBS Act. We are required to file with the SEC annual and quarterly information and other reports that are specified in Section 13 of the Exchange Act. We are also required to ensure that we have the ability to prepare financial statements that are fully compliant with all SEC reporting requirements on a timely basis. We are also subject to other reporting and corporate governance requirements, including the requirements of Nasdaq, and certain provisions of the Sarbanes-Oxley Act and the regulations promulgated thereunder, which impose significant compliance obligations upon us. As a public company, among other things, we have to:</w:t>
      </w:r>
    </w:p>
    <w:p>
      <w:pPr>
        <w:spacing w:after="0" w:line="189" w:lineRule="exact"/>
        <w:rPr>
          <w:sz w:val="20"/>
          <w:szCs w:val="20"/>
          <w:color w:val="auto"/>
        </w:rPr>
      </w:pPr>
    </w:p>
    <w:p>
      <w:pPr>
        <w:ind w:left="680" w:right="20" w:hanging="321"/>
        <w:spacing w:after="0" w:line="282" w:lineRule="auto"/>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and distribute periodic public reports and other stockholder communications in compliance with our obligations under the federal securities laws and applicable Nasdaq rules;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or expand the roles and duties of our Board of Directors and committees of the board;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institute more comprehensive financial reporting and disclosure compliance functions;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 our investor relations function;</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new internal policies, including those relating to disclosure controls and procedures; 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involve and retain to a greater degree outside counsel and accountants in the activities listed above.</w:t>
      </w:r>
    </w:p>
    <w:p>
      <w:pPr>
        <w:spacing w:after="0" w:line="22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These changes will require a significant commitment of additional resources and many of our competitors already comply with these obligations. We may not be successful in complying with these obligations and the significant commitment of resources required for complying with them could have a material adverse effect on our business, financial condition, and results of operations. In addition, if we fail to implement the requirements with respect to our internal accounting and audit functions, our ability to report our results of operations on a timely and accurate basis could be impaired and we could suffer adverse regulatory consequences or violate Nasdaq listing standards. There could also be a negative reaction in the financial markets due to a loss of investor confidence in us and the reliability of our consolidated financial statements, which could have a material adverse effect on our business, financial condition, and results of operations.</w:t>
      </w:r>
    </w:p>
    <w:p>
      <w:pPr>
        <w:spacing w:after="0" w:line="19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changes necessitated by becoming a public company require a significant commitment of resources and management oversight that has increased and may continue to increase our costs and might place a strain on our systems and resources. As a result, our management’s attention might be diverted from other business concerns. If we fail to maintain an effective internal control environment or to comply with the numerous legal and regulatory requirements imposed on public companies, we could make material errors in, and be required to restate, our consolidated financial statements. Any such restatement could result in a loss of public confidence in the reliability of our consolidated financial statements and sanctions imposed on us by the SEC.</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Short sellers of our stock may be manipulative and may drive down the market price of our common stock.</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Short selling is the practice of selling securities that the seller does not own, but rather has borrowed or intends to borrow from a third party with the intention of buying identical securities at a later date to return to the lender. A short seller hopes to profit from a decline in the value of the securities between the sale of the borrowed securities and the purchase of the replacement shares, as the short seller expects to pay less in that purchase than it received in the sale. It is therefore in the short seller’s interest for the price of the stock to decline, and some short sellers publish, or arrange for the publication of, opinions or characterizations regarding the relevant issuer,</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often involving misrepresentations of the issuer’s business prospects and similar matters calculated to create negative market momentum, which may permit them to obtain profits for themselves as a result of selling the stock short.</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a public entity, we may be the subject of concerted efforts by short sellers to spread negative information in order to gain a market advantage. In addition, the publication of misinformation may also result in lawsuits, the uncertainty and expense of which could adversely impact our business, financial condition, and reputation. There are no assurances that we will not face short sellers' efforts or similar tactics in the future, and the market price of our common stock may decline as a result of their actions.</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have a cross-departmental approach to addressing cybersecurity risk, including input from our Board of Directors (the “Board”), Board committees, employees and third-party experts. The Board, Audit Committee, Technology and Innovation Committee and senior management devote significant resources to cybersecurity and risk management processes to adapt to the changing cybersecurity landscape and respond to emerging threats in a timely and effective manner. We regularly assess the threat landscape and take a holistic view of cybersecurity risks, with a layered cybersecurity strategy based on prevention, detection and mitigation. Our information technology (“IT”) team reviews cybersecurity risks periodically, and we have a set of Company-wide policies and procedures concerning cybersecurity matters, including policies related to encryption standards, remote access, multi factor authentication, confidential information, the use of the internet, social media, email and wireless devices and incident response. These policies go through an internal review process by members of management and appropriate Board committees, as applicable.</w:t>
      </w:r>
    </w:p>
    <w:p>
      <w:pPr>
        <w:spacing w:after="0" w:line="18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Company’s President and Chief Information Officer, who has over a decade of experience leading information and cyber security oversight, is responsible for developing and implementing our information security program, overseeing our IT team and reporting on cybersecurity matters to the Technology and Innovation Committee. We view cybersecurity as a shared responsibility, and we consult with third-party resources and advisors as needed on information security maturity assessments, penetration testing, dark web reviews, best practices to address new challenges, and, when applicable, digital forensics. All employees are required to complete annual information security trainings and have access to more frequent online information security trainings.</w:t>
      </w:r>
    </w:p>
    <w:p>
      <w:pPr>
        <w:spacing w:after="0" w:line="18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continue to prioritize our investments in IT security, including additional end-user training, using layered defenses, identifying and protecting critical assets, strengthening monitoring and alerting capabilities and engaging experts. We regularly test defenses by performing simulations and drills at both a technical level (including through penetration tests) and by reviewing our operational policies and procedures with third-party experts. At the management level, our IT security team regularly monitors alerts and meets to discuss threat levels, trends and remediation. Further, we conduct periodic external penetration tests, bug bounty hackathons and maturity assessments to assess our processes and procedures and the threat landscape. These tests and assessments are useful tools for maintaining a robust cybersecurity program to protect our investors, customers, employees, vendors and intellectual property. In addition to assessing our own cybersecurity preparedness, the Audit Committee and the IT security team also consider and evaluate cybersecurity risks associated with use of third-party service providers.</w:t>
      </w:r>
    </w:p>
    <w:p>
      <w:pPr>
        <w:spacing w:after="0" w:line="18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recently created a new Technology and Innovation Committee of our Board to oversee jointly, alongside the Audit Committee, matters of technology, innovation, cybersecurity and information security. The Technology and Innovation Committee also provides advice and guidance to management on these matters. The Technology and Innovation Committee, Audit Committee and the full Board actively participate in discussions with management and amongst themselves regarding cybersecurity risks. The Technology and Innovation Committee receives quarterly cybersecurity reports, which include a review of key performance indicators, test results and related remediation, and recent threats and how the Company is managing those threats. The Audit Committee oversees cybersecurity disclosures and receives periodic reports from management and the Technology and Innovation Committee. Further, the Technology and Innovation Committee and Audit Committee periodically discuss the Company’s actions to identify and detect threats, as well as its cybersecurity strategic roadmap.</w:t>
      </w:r>
    </w:p>
    <w:p>
      <w:pPr>
        <w:spacing w:after="0" w:line="18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the fiscal year ended December 31, 2023, we did not identify any cybersecurity threats that have materially affected or are reasonably likely to materially affect our business strategy, results of operations or financial condition. However, despite our efforts, we</w:t>
      </w:r>
    </w:p>
    <w:p>
      <w:pPr>
        <w:sectPr>
          <w:pgSz w:w="11900" w:h="16838" w:orient="portrait"/>
          <w:cols w:equalWidth="0" w:num="1">
            <w:col w:w="9920"/>
          </w:cols>
          <w:pgMar w:left="980" w:top="513" w:right="99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cannot eliminate all risks from cybersecurity threats, or provide assurances that we have not experienced undetected cybersecurity incidents. For additional information about these risks, see “Risks Related to Our Technology Infrastructure” in Item 1A-Risk Factors.</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do not own any real property. Our corporate headquarters are located in a leased facility in Chico, California. We also operate a leased facility primarily used for office and studio space in Los Angeles, California, and we also lease retail spaces in Chico, California and Los Angeles, California. We operate three leased distribution facilities: a facility (which includes office space) located in Chico, California; a facility located in Easton, Pennsylvania; and a facility located in Ontario, California. Our creative buying and inventory planning offices and our creative studio are located in Los Angeles, California in a leased facility.</w:t>
      </w:r>
    </w:p>
    <w:p>
      <w:pPr>
        <w:spacing w:after="0" w:line="181"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color w:val="auto"/>
        </w:rPr>
        <w:t xml:space="preserve">See Note 6,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of the accompanying notes to our consolidated financial statements included elsewhere within this Annual Report on Form 10-K for additional information on our leases.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vMerge w:val="restart"/>
          </w:tcPr>
          <w:p>
            <w:pPr>
              <w:ind w:left="162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160" w:type="dxa"/>
            <w:vAlign w:val="bottom"/>
          </w:tcPr>
          <w:p>
            <w:pPr>
              <w:spacing w:after="0"/>
              <w:rPr>
                <w:sz w:val="13"/>
                <w:szCs w:val="13"/>
                <w:color w:val="auto"/>
              </w:rPr>
            </w:pPr>
          </w:p>
        </w:tc>
        <w:tc>
          <w:tcPr>
            <w:tcW w:w="4500" w:type="dxa"/>
            <w:vAlign w:val="bottom"/>
            <w:gridSpan w:val="2"/>
            <w:vMerge w:val="restart"/>
          </w:tcPr>
          <w:p>
            <w:pPr>
              <w:ind w:left="2020"/>
              <w:spacing w:after="0"/>
              <w:rPr>
                <w:sz w:val="20"/>
                <w:szCs w:val="20"/>
                <w:color w:val="auto"/>
              </w:rPr>
            </w:pPr>
            <w:r>
              <w:rPr>
                <w:rFonts w:ascii="Times New Roman" w:cs="Times New Roman" w:eastAsia="Times New Roman" w:hAnsi="Times New Roman"/>
                <w:sz w:val="14"/>
                <w:szCs w:val="14"/>
                <w:b w:val="1"/>
                <w:bCs w:val="1"/>
                <w:color w:val="auto"/>
              </w:rPr>
              <w:t>Type</w:t>
            </w:r>
          </w:p>
        </w:tc>
        <w:tc>
          <w:tcPr>
            <w:tcW w:w="148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Square Footage</w:t>
            </w:r>
          </w:p>
        </w:tc>
        <w:tc>
          <w:tcPr>
            <w:tcW w:w="0" w:type="dxa"/>
            <w:vAlign w:val="bottom"/>
          </w:tcPr>
          <w:p>
            <w:pPr>
              <w:spacing w:after="0"/>
              <w:rPr>
                <w:sz w:val="1"/>
                <w:szCs w:val="1"/>
                <w:color w:val="auto"/>
              </w:rPr>
            </w:pPr>
          </w:p>
        </w:tc>
      </w:tr>
      <w:tr>
        <w:trPr>
          <w:trHeight w:val="173"/>
        </w:trPr>
        <w:tc>
          <w:tcPr>
            <w:tcW w:w="37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4500" w:type="dxa"/>
            <w:vAlign w:val="bottom"/>
            <w:gridSpan w:val="2"/>
            <w:vMerge w:val="continue"/>
          </w:tcPr>
          <w:p>
            <w:pPr>
              <w:spacing w:after="0"/>
              <w:rPr>
                <w:sz w:val="15"/>
                <w:szCs w:val="15"/>
                <w:color w:val="auto"/>
              </w:rPr>
            </w:pPr>
          </w:p>
        </w:tc>
        <w:tc>
          <w:tcPr>
            <w:tcW w:w="148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(approximate)</w:t>
            </w:r>
          </w:p>
        </w:tc>
        <w:tc>
          <w:tcPr>
            <w:tcW w:w="0" w:type="dxa"/>
            <w:vAlign w:val="bottom"/>
          </w:tcPr>
          <w:p>
            <w:pPr>
              <w:spacing w:after="0"/>
              <w:rPr>
                <w:sz w:val="1"/>
                <w:szCs w:val="1"/>
                <w:color w:val="auto"/>
              </w:rPr>
            </w:pPr>
          </w:p>
        </w:tc>
      </w:tr>
      <w:tr>
        <w:trPr>
          <w:trHeight w:val="209"/>
        </w:trPr>
        <w:tc>
          <w:tcPr>
            <w:tcW w:w="37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Chico, California</w:t>
            </w:r>
          </w:p>
        </w:tc>
        <w:tc>
          <w:tcPr>
            <w:tcW w:w="160" w:type="dxa"/>
            <w:vAlign w:val="bottom"/>
            <w:tcBorders>
              <w:top w:val="single" w:sz="8" w:color="CCEEFF"/>
            </w:tcBorders>
            <w:shd w:val="clear" w:color="auto" w:fill="CCEEFF"/>
          </w:tcPr>
          <w:p>
            <w:pPr>
              <w:spacing w:after="0"/>
              <w:rPr>
                <w:sz w:val="18"/>
                <w:szCs w:val="18"/>
                <w:color w:val="auto"/>
              </w:rPr>
            </w:pPr>
          </w:p>
        </w:tc>
        <w:tc>
          <w:tcPr>
            <w:tcW w:w="4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Retail space</w:t>
            </w:r>
          </w:p>
        </w:tc>
        <w:tc>
          <w:tcPr>
            <w:tcW w:w="14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5,600</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Los Angeles, California</w:t>
            </w:r>
          </w:p>
        </w:tc>
        <w:tc>
          <w:tcPr>
            <w:tcW w:w="46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Retail space</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6,400</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Chico, California</w:t>
            </w:r>
          </w:p>
        </w:tc>
        <w:tc>
          <w:tcPr>
            <w:tcW w:w="466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Corporate headquarters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7,600</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Los Angeles, California</w:t>
            </w:r>
          </w:p>
        </w:tc>
        <w:tc>
          <w:tcPr>
            <w:tcW w:w="46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Office and studio space</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26,800</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Chico, California</w:t>
            </w:r>
          </w:p>
        </w:tc>
        <w:tc>
          <w:tcPr>
            <w:tcW w:w="466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Distribution facility and office space</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Ontario, California</w:t>
            </w:r>
          </w:p>
        </w:tc>
        <w:tc>
          <w:tcPr>
            <w:tcW w:w="46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Distribution facility</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140,400</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Easton, Pennsylvania</w:t>
            </w:r>
          </w:p>
        </w:tc>
        <w:tc>
          <w:tcPr>
            <w:tcW w:w="466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Distribution facility</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258,200</w:t>
            </w:r>
          </w:p>
        </w:tc>
        <w:tc>
          <w:tcPr>
            <w:tcW w:w="0" w:type="dxa"/>
            <w:vAlign w:val="bottom"/>
          </w:tcPr>
          <w:p>
            <w:pPr>
              <w:spacing w:after="0"/>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are from time to time subject to various legal proceedings and claims, including employment claims, wage and hour claims, intellectual property claims, contractual and commercial disputes and other matters that arise in the ordinary course of our business. While the outcome of these and other claims cannot be predicted with certainty, we do not believe that the outcome of these matters will have a material adverse effect on our business, financial condition, cash flows, or results of operations. We are not presently a party to any legal proceedings that we believe would, if determined adversely to us, materially and adversely affect our future business, financial condition, cash flows, or results of operations.</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right="600"/>
        <w:spacing w:after="0" w:line="500" w:lineRule="auto"/>
        <w:rPr>
          <w:sz w:val="20"/>
          <w:szCs w:val="20"/>
          <w:color w:val="auto"/>
        </w:rPr>
      </w:pPr>
      <w:r>
        <w:rPr>
          <w:rFonts w:ascii="Times New Roman" w:cs="Times New Roman" w:eastAsia="Times New Roman" w:hAnsi="Times New Roman"/>
          <w:sz w:val="18"/>
          <w:szCs w:val="18"/>
          <w:b w:val="1"/>
          <w:bCs w:val="1"/>
          <w:color w:val="auto"/>
        </w:rPr>
        <w:t xml:space="preserve">Item 5. Market for Registrant’s Common Equity, Related Stockholder Matters, and Issuer Purchases of Equity Securities </w:t>
      </w:r>
      <w:r>
        <w:rPr>
          <w:rFonts w:ascii="Times New Roman" w:cs="Times New Roman" w:eastAsia="Times New Roman" w:hAnsi="Times New Roman"/>
          <w:sz w:val="18"/>
          <w:szCs w:val="18"/>
          <w:b w:val="1"/>
          <w:bCs w:val="1"/>
          <w:i w:val="1"/>
          <w:iCs w:val="1"/>
          <w:color w:val="auto"/>
        </w:rPr>
        <w:t>Market Price of and Dividends on the Registrant’s Common Equity and Related Stockholder Matters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and began trading under the symbol “LVLU” on November 11, 2021. Prior to that date, there was no public trading market for our common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 of Record</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March 1, 2024, there were 183 holders of record of our common stock.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0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currently intend to retain all available funds and future earnings, if any, to fund the development and expansion of our business, and we do not anticipate paying any cash dividends in the foreseeable future. Any future determination regarding the declaration and payment of dividends, if any, will be at the discretion of our Board of Directors and will depend on then-existing conditions, including our financial condition, operating results, contractual restrictions, capital requirements, business prospects and other factors our Board of Directors may deem relevant. Our future ability to pay cash dividends on our capital stock is limited by the terms of our 2021 Revolving Facility and may be limited by any future debt instruments or preferred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following graph and table compare the performance of (1) an investment in our common stock over the period of November 11, 2021 through December 31, 2023, beginning with an investment at the $13.06 closing market price on November 11, 2021, the end of the first day our common stock traded on the Nasdaq following our initial public offering at $16.00 per share, and thereafter based on the closing price of our common stock on the Nasdaq, with (2) an investment in the S&amp;P 500 and the S&amp;P Retail Select Industry, in each case beginning with an investment at the closing price on November 11, 2021 and thereafter based on the closing price of the index. The graph and table assume $100 was invested on the starting date at the price indicated above and that dividends, if any, were reinvested. The comparisons are based on historical data and are not indicative of, nor intended to forecast, the future performance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133350</wp:posOffset>
            </wp:positionV>
            <wp:extent cx="5023485" cy="36347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023485" cy="3634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Company/Index</w:t>
            </w:r>
          </w:p>
        </w:tc>
        <w:tc>
          <w:tcPr>
            <w:tcW w:w="10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November 11,</w:t>
            </w:r>
          </w:p>
        </w:tc>
        <w:tc>
          <w:tcPr>
            <w:tcW w:w="102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January 2,</w:t>
            </w:r>
          </w:p>
        </w:tc>
        <w:tc>
          <w:tcPr>
            <w:tcW w:w="104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January 1,</w:t>
            </w: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594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0"/>
        </w:trPr>
        <w:tc>
          <w:tcPr>
            <w:tcW w:w="57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Lulu's Fashion Lounge Holdings, Inc.</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78.33</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19.22</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w:t>
            </w:r>
          </w:p>
        </w:tc>
        <w:tc>
          <w:tcPr>
            <w:tcW w:w="0" w:type="dxa"/>
            <w:vAlign w:val="bottom"/>
          </w:tcPr>
          <w:p>
            <w:pPr>
              <w:spacing w:after="0"/>
              <w:rPr>
                <w:sz w:val="1"/>
                <w:szCs w:val="1"/>
                <w:color w:val="auto"/>
              </w:rPr>
            </w:pPr>
          </w:p>
        </w:tc>
      </w:tr>
      <w:tr>
        <w:trPr>
          <w:trHeight w:val="216"/>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S&amp;P 500 Index</w:t>
            </w: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102.51</w:t>
            </w:r>
          </w:p>
        </w:tc>
        <w:tc>
          <w:tcPr>
            <w:tcW w:w="1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82.58</w:t>
            </w:r>
          </w:p>
        </w:tc>
        <w:tc>
          <w:tcPr>
            <w:tcW w:w="18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102.59</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S&amp;P Retail Select Industry Index</w:t>
            </w: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89.54</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60.37</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72.20</w:t>
            </w: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Sales of Unregistered Securities; Use of Proceeds from Registered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 and Affiliated Purchasers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consolidated financial statements and related notes included elsewhere in this Annual Report on Form 10-K. This discussion contains forward-looking statements based upon current plans, expectations and beliefs involving risks and uncertainties. Our actual results may differ materially from those anticipated in these forward-looking statements as a result of various factors, including those set forth in Part I, “Item 1A. Risk Factors” and other factors set forth in other parts of this Annual Report on Form 10-K. Discussion of the year-to-year comparisons between 2022 and 2021 can be found in “Management’s Discussion and Analysis of Financial Condition and Results of Operations” in Part II, Item 7 of the Company’s Annual Report on Form 10-K for the fiscal year ended January 1, 2023.</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Lulus is a customer-driven, primarily online, digitally-native, attainable luxury fashion brand for women, offering modern, unapologetically feminine designs at attainable prices for all of life’s fashionable moments. Our aim is to make every woman feel beautiful, celebrated and as if she’s the most special version of herself for every occasion – from work desk to dream date or cozied up on the couch to the spotlight of her wedding day. Lulus primarily serves a large, diverse community of Millennial and Gen Z women, who typically meet us in their 20s and stay with us through their 30s and beyond. We focus relentlessly on giving our customers what they want by using direct consumer feedback and insights to refine product offerings and elevate the customer experience. Lulus’ world class personal stylists, bridal concierge, and customer care team share an unwavering commitment to elevating style and quality and bring exceptional customer service and personalized shopping to customers around the world.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Initial Public Offering</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November 10, 2021, our registration statement on Form S-1 relating to its IPO was declared effective by the SEC and the shares of its common stock began trading on the Nasdaq Global Market on November 11, 2021. The IPO closed on November 15, 2021, pursuant to which we issued and sold 5,750,000 shares of our common stock at a public offering price of $16.00 per share. On November 15, 2021, we received net proceeds of approximately $82.0 million from the IPO, after deducting underwriting discounts and commissions of approximately $6.1 million and other issuance costs of approximately $3.9 million. Immediately prior to the completion of the IPO, we filed an amended and restated certificate of incorporation, which authorized a total of 250,000,000 shares of common stock at $0.001 par value per share, and 10,000,000 shares of preferred stock, $0.001 par value per share. Immediately prior to the completion of the IPO, all shares of the Series A Preferred Stock then outstanding were converted into 15,000,000 shares of common stock. Additionally, 215,702 shares of common stock were issued to the LP immediately prior to the completion of the IPO. All shares of the Series B Preferred Stock and the Series B-1 Preferred Stock were redeemed and extinguished for a total payment of approximately $17.9 million on November 15, 2021.</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the COVID-19 Pandemic</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business has largely recovered from the significant impacts stemming from the COVID-19 pandemic that reduced demand for our product and disrupted the supply chain during 2020 and 2021. For additional discussion of risks related to the COVID-19 pandemic see “Risk Factors—Risks Related to our Business— A global health emergency or epidemics or pandemics like resurgence of COVID-19 and post COVID-19 pandemic environment could have a material adverse effect on our business, and it remains uncertain how they will impact our supply chain and consumer demand for our products.”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Macroeconomic Trends on Business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Changing macroeconomic factors, including inflation, interest rates, student loan repayment resumption, as well as world events, such as the war in Israel and Russia’s war against Ukraine, and overall consumer confidence with respect to current and future economic conditions have impacted our sales in fiscal 2023 as discretionary consumer spending levels and shopping behavior fluctuate with these factors. During fiscal 2023, we responded to these factors, as needed, by taking appropriate pricing, promotional and other actions to stimulate customer demand. These factors may continue to have an impact on our business, results of operations, our growth and financial condition.</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on a going concern basis, which contemplates the realization of assets and the satisfaction of liabilities in the normal course of business. As of December 31, 2023, we had total cash and cash equivalents of $2.5 million and amounts due under the revolving line of credit of $8.0 million.</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In November 2021 we entered into a Credit Agreement (the “2021 Credit Agreement”) to provide a Revolving Facility (the “2021 Revolving Facility”) that provides for borrowings up to $50.0 million. The 2021 Credit Agreement contains various financial covenants and matures on November 15, 2024 as described in Note 5,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are evaluating sources of debt financing. However, we believe the cash on hand and cash provided by operations in conjunction with certain cash conservation measures to be taken as necessary, including adjustments to marketing and other variable and capital spend, will enable us to meet our obligations as they become due within one year. The consolidated financial statements do not reflect any adjustments relating to the outcome of this uncertainty.</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Key Operating and Financial Metrics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collect and analyze operating and financial data to assess the performance of our business and optimize resource allocation. The following table sets forth our key performance indicators for the periods presented (in thousands, except for percentages and Average Order Value).</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3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3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0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41.7 %</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43.5 %</w:t>
            </w: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47.1 %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(19,334)</w:t>
            </w:r>
          </w:p>
        </w:tc>
        <w:tc>
          <w:tcPr>
            <w:tcW w:w="3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3,725</w:t>
            </w:r>
          </w:p>
        </w:tc>
        <w:tc>
          <w:tcPr>
            <w:tcW w:w="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2,045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 (1)</w:t>
            </w:r>
          </w:p>
        </w:tc>
        <w:tc>
          <w:tcPr>
            <w:tcW w:w="2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rPr>
              <w:t>3,231</w:t>
            </w:r>
          </w:p>
        </w:tc>
        <w:tc>
          <w:tcPr>
            <w:tcW w:w="3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rPr>
              <w:t>29,096</w:t>
            </w:r>
          </w:p>
        </w:tc>
        <w:tc>
          <w:tcPr>
            <w:tcW w:w="3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rPr>
              <w:t>41,406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 margin (1)</w:t>
            </w:r>
          </w:p>
        </w:tc>
        <w:tc>
          <w:tcPr>
            <w:tcW w:w="1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0.9 %</w:t>
            </w:r>
          </w:p>
        </w:tc>
        <w:tc>
          <w:tcPr>
            <w:tcW w:w="360" w:type="dxa"/>
            <w:vAlign w:val="bottom"/>
          </w:tcPr>
          <w:p>
            <w:pPr>
              <w:spacing w:after="0"/>
              <w:rPr>
                <w:sz w:val="18"/>
                <w:szCs w:val="18"/>
                <w:color w:val="auto"/>
              </w:rPr>
            </w:pPr>
          </w:p>
        </w:tc>
        <w:tc>
          <w:tcPr>
            <w:tcW w:w="10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6.6 %</w:t>
            </w:r>
          </w:p>
        </w:tc>
        <w:tc>
          <w:tcPr>
            <w:tcW w:w="380" w:type="dxa"/>
            <w:vAlign w:val="bottom"/>
          </w:tcPr>
          <w:p>
            <w:pPr>
              <w:spacing w:after="0"/>
              <w:rPr>
                <w:sz w:val="18"/>
                <w:szCs w:val="18"/>
                <w:color w:val="auto"/>
              </w:rPr>
            </w:pPr>
          </w:p>
        </w:tc>
        <w:tc>
          <w:tcPr>
            <w:tcW w:w="10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11.0 %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Active Customers</w:t>
            </w:r>
          </w:p>
        </w:tc>
        <w:tc>
          <w:tcPr>
            <w:tcW w:w="1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rPr>
              <w:t>2,830</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rPr>
              <w:t>3,223</w:t>
            </w: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rPr>
              <w:t>2,760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Average Order Value</w:t>
            </w:r>
          </w:p>
        </w:tc>
        <w:tc>
          <w:tcPr>
            <w:tcW w:w="2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133</w:t>
            </w:r>
          </w:p>
        </w:tc>
        <w:tc>
          <w:tcPr>
            <w:tcW w:w="3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131</w:t>
            </w:r>
          </w:p>
        </w:tc>
        <w:tc>
          <w:tcPr>
            <w:tcW w:w="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40005</wp:posOffset>
            </wp:positionV>
            <wp:extent cx="156845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568450" cy="17145"/>
                    </a:xfrm>
                    <a:prstGeom prst="rect">
                      <a:avLst/>
                    </a:prstGeom>
                    <a:noFill/>
                  </pic:spPr>
                </pic:pic>
              </a:graphicData>
            </a:graphic>
          </wp:anchor>
        </w:drawing>
      </w:r>
    </w:p>
    <w:p>
      <w:pPr>
        <w:spacing w:after="0" w:line="105" w:lineRule="exact"/>
        <w:rPr>
          <w:sz w:val="20"/>
          <w:szCs w:val="20"/>
          <w:color w:val="auto"/>
        </w:rPr>
      </w:pPr>
    </w:p>
    <w:p>
      <w:pPr>
        <w:jc w:val="both"/>
        <w:ind w:left="680" w:right="280" w:hanging="321"/>
        <w:spacing w:after="0" w:line="266" w:lineRule="auto"/>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reconciliation of non-GAAP financial measures to the most directly comparable GAAP financial measure and why we consider them useful, see “Management’s Discussion and Analysis of Financial Condition and Results of Operations—Non-GAAP Financial Measures.”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Active Customers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define Active Customers as the number of customers who have made at least one purchase across our platform in the prior 12-month period. We consider the number of Active Customers to be a key performance metric on the basis that it is directly related to consumer awareness of our brand, our ability to attract visitors to our primarily digital platform, and our ability to convert visitors to paying customers. Active Customers counts are based on de-duplication logic using customer account and guest checkout name, address, and email information.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Average Order Value</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define Average Order Value (“AOV”) as the sum of the total gross sales before returns across our platform in a given period, plus shipping revenue, less discounts and markdowns, divided by the Total Orders Placed in that period. AOV reflects average basket size of our customers. AOV may fluctuate as we continue investing in the development and introduction of new Lulus merchandise and as a result of our promotional discount activity.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Total Orders Placed</w:t>
      </w:r>
    </w:p>
    <w:p>
      <w:pPr>
        <w:spacing w:after="0" w:line="22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We define Total Orders Placed as the number of customer orders placed across our platform during a particular period. An order is counted on the day the customer places the order. We do not adjust the number of Total Orders Placed for any cancellation or return that may have occurred subsequent to a customer placing an order. We consider Total Orders Placed as a key performance metric on the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basis that it is directly related to our ability to attract and retain customers as well as drive purchase frequency. Total Orders Placed, together with Average Order Value, is an indicator of the net revenue we expect to generate in a particular period.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Margin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define Gross Margin as gross profit as a percentage of our net revenue. Gross profit is equal to our net revenue less cost of revenue. Certain of our competitors and other retailers report cost of revenue differently than we do. As a result, the reporting of our gross profit and Gross Margin may not be comparable to other companies.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report our financial results in accordance with accounting principles generally accepted in the United States of America (“GAAP”). However, management believes that certain non-GAAP financial measures provide investors of our financial information with additional useful information in evaluating our performance and that excluding certain items that may vary substantially in frequency and magnitude period-to-period from net income (loss) provides useful supplemental measures that assist in evaluating our ability to generate earnings and to more readily compare these metrics between past and future periods. These non-GAAP financial measures may be different than similarly titled measures used by other companies.</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To supplement our audited consolidated financial statements which are prepared in accordance with GAAP, we use “Adjusted EBITDA”, “Adjusted EBITDA margin” (collectively referred to as “Adjusted EBITDA”) and “Free Cash Flow” which are non-GAAP financial measures. Our non-GAAP financial measures should not be considered in isolation from, or as substitutes for, financial information prepared in accordance with GAAP. There are several limitations related to the use of our non-GAAP financial measures as compared to the closest comparable GAAP measures. Some of these limitations include:</w:t>
      </w:r>
    </w:p>
    <w:p>
      <w:pPr>
        <w:spacing w:after="0" w:line="183" w:lineRule="exact"/>
        <w:rPr>
          <w:sz w:val="20"/>
          <w:szCs w:val="20"/>
          <w:color w:val="auto"/>
        </w:rPr>
      </w:pPr>
    </w:p>
    <w:p>
      <w:pPr>
        <w:ind w:left="1000" w:right="20" w:hanging="317"/>
        <w:spacing w:after="0" w:line="282" w:lineRule="auto"/>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our cash expenditures, or future requirements for capital expenditures or contractual commitments;</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changes in, or cash requirements for, our working capital needs;</w:t>
      </w:r>
    </w:p>
    <w:p>
      <w:pPr>
        <w:spacing w:after="0" w:line="225"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the interest expense, or the cash requirements necessary to service interest or principal payments on our debt;</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our tax expense or the cash requirements to pay our taxes;</w:t>
      </w:r>
    </w:p>
    <w:p>
      <w:pPr>
        <w:spacing w:after="0" w:line="225"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and amortization are non-cash charges, the assets being depreciated and amortized will often have to be replaced in the future and such measures do not reflect any cash requirements for such replacements;</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free cash flow does not represent the total residual cash flow available for discretionary purposes; and</w:t>
      </w:r>
    </w:p>
    <w:p>
      <w:pPr>
        <w:spacing w:after="0" w:line="225"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in our industry may calculate such measures differently than we do, limiting their usefulness as comparative measures.</w:t>
      </w:r>
    </w:p>
    <w:p>
      <w:pPr>
        <w:spacing w:after="0" w:line="16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Due to these limitations, Adjusted EBITDA, Adjusted EBITDA margin, and Free Cash Flow should not be considered as measures of discretionary cash available to us to invest in the growth of our business. We compensate for these limitations by relying primarily on our GAAP results and using these non-GAAP measures only supplementally. As noted in the table below, Adjusted EBITDA includes adjustments to exclude the impact of depreciation and amortization, interest expense, income taxes, management fees, transaction fees, and equity-based compensation. It is reasonable to expect that some of these items will occur in future periods. However, we believe these adjustments are appropriate because the amounts recognized can vary significantly from period to period, do not directly relate to the ongoing operations of our business and may complicate comparisons of our internal results of operations and results of operations of other companies over time. In addition, Adjusted EBITDA includes adjustments for other items that we do not expect to regularly record. Each of the normal recurring adjustments and other adjustments described in this paragraph and in the following reconciliation table help management with a measure of our core operating performance over time by removing items that are not related to day-to-</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day operations. Adjusted EBITDA margin is a non-GAAP financial measure that we calculate as Adjusted EBITDA (as defined above) as a percentage of our net revenue.</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provides a reconciliation for Adjusted EBITDA and Adjusted EBITDA margin:</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5"/>
                <w:szCs w:val="15"/>
                <w:color w:val="auto"/>
              </w:rPr>
            </w:pPr>
          </w:p>
        </w:tc>
      </w:tr>
      <w:tr>
        <w:trPr>
          <w:trHeight w:val="128"/>
        </w:trPr>
        <w:tc>
          <w:tcPr>
            <w:tcW w:w="5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gridSpan w:val="3"/>
          </w:tcPr>
          <w:p>
            <w:pPr>
              <w:jc w:val="right"/>
              <w:ind w:right="390"/>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r>
      <w:tr>
        <w:trPr>
          <w:trHeight w:val="216"/>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5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(19,334)</w:t>
            </w:r>
          </w:p>
        </w:tc>
        <w:tc>
          <w:tcPr>
            <w:tcW w:w="2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3,725</w:t>
            </w:r>
          </w:p>
        </w:tc>
        <w:tc>
          <w:tcPr>
            <w:tcW w:w="2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2,045</w:t>
            </w:r>
          </w:p>
        </w:tc>
        <w:tc>
          <w:tcPr>
            <w:tcW w:w="240" w:type="dxa"/>
            <w:vAlign w:val="bottom"/>
            <w:shd w:val="clear" w:color="auto" w:fill="CCEEFF"/>
          </w:tcPr>
          <w:p>
            <w:pPr>
              <w:spacing w:after="0"/>
              <w:rPr>
                <w:sz w:val="18"/>
                <w:szCs w:val="18"/>
                <w:color w:val="auto"/>
              </w:rPr>
            </w:pP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4,819</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4,134</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2,828</w:t>
            </w:r>
          </w:p>
        </w:tc>
        <w:tc>
          <w:tcPr>
            <w:tcW w:w="240" w:type="dxa"/>
            <w:vAlign w:val="bottom"/>
          </w:tcPr>
          <w:p>
            <w:pPr>
              <w:spacing w:after="0"/>
              <w:rPr>
                <w:sz w:val="18"/>
                <w:szCs w:val="18"/>
                <w:color w:val="auto"/>
              </w:rPr>
            </w:pPr>
          </w:p>
        </w:tc>
      </w:tr>
      <w:tr>
        <w:trPr>
          <w:trHeight w:val="216"/>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1,728</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12,774</w:t>
            </w:r>
          </w:p>
        </w:tc>
        <w:tc>
          <w:tcPr>
            <w:tcW w:w="240" w:type="dxa"/>
            <w:vAlign w:val="bottom"/>
            <w:shd w:val="clear" w:color="auto" w:fill="CCEEFF"/>
          </w:tcPr>
          <w:p>
            <w:pPr>
              <w:spacing w:after="0"/>
              <w:rPr>
                <w:sz w:val="18"/>
                <w:szCs w:val="18"/>
                <w:color w:val="auto"/>
              </w:rPr>
            </w:pP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1,392</w:t>
            </w:r>
          </w:p>
        </w:tc>
        <w:tc>
          <w:tcPr>
            <w:tcW w:w="240" w:type="dxa"/>
            <w:vAlign w:val="bottom"/>
          </w:tcPr>
          <w:p>
            <w:pPr>
              <w:spacing w:after="0"/>
              <w:rPr>
                <w:sz w:val="18"/>
                <w:szCs w:val="18"/>
                <w:color w:val="auto"/>
              </w:rPr>
            </w:pPr>
          </w:p>
        </w:tc>
      </w:tr>
      <w:tr>
        <w:trPr>
          <w:trHeight w:val="216"/>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(1,676)</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4,047</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6,212</w:t>
            </w:r>
          </w:p>
        </w:tc>
        <w:tc>
          <w:tcPr>
            <w:tcW w:w="240" w:type="dxa"/>
            <w:vAlign w:val="bottom"/>
            <w:shd w:val="clear" w:color="auto" w:fill="CCEEFF"/>
          </w:tcPr>
          <w:p>
            <w:pPr>
              <w:spacing w:after="0"/>
              <w:rPr>
                <w:sz w:val="18"/>
                <w:szCs w:val="18"/>
                <w:color w:val="auto"/>
              </w:rPr>
            </w:pP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Management fees (1)</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240" w:type="dxa"/>
            <w:vAlign w:val="bottom"/>
          </w:tcPr>
          <w:p>
            <w:pPr>
              <w:spacing w:after="0"/>
              <w:rPr>
                <w:sz w:val="18"/>
                <w:szCs w:val="18"/>
                <w:color w:val="auto"/>
              </w:rPr>
            </w:pPr>
          </w:p>
        </w:tc>
      </w:tr>
      <w:tr>
        <w:trPr>
          <w:trHeight w:val="216"/>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Transaction fees (2)</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240" w:type="dxa"/>
            <w:vAlign w:val="bottom"/>
            <w:shd w:val="clear" w:color="auto" w:fill="CCEEFF"/>
          </w:tcPr>
          <w:p>
            <w:pPr>
              <w:spacing w:after="0"/>
              <w:rPr>
                <w:sz w:val="18"/>
                <w:szCs w:val="18"/>
                <w:color w:val="auto"/>
              </w:rPr>
            </w:pP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Equity-based compensation expense (3)</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17,694</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16,087</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13,664</w:t>
            </w:r>
          </w:p>
        </w:tc>
        <w:tc>
          <w:tcPr>
            <w:tcW w:w="240" w:type="dxa"/>
            <w:vAlign w:val="bottom"/>
          </w:tcPr>
          <w:p>
            <w:pPr>
              <w:spacing w:after="0"/>
              <w:rPr>
                <w:sz w:val="18"/>
                <w:szCs w:val="18"/>
                <w:color w:val="auto"/>
              </w:rPr>
            </w:pPr>
          </w:p>
        </w:tc>
      </w:tr>
      <w:tr>
        <w:trPr>
          <w:trHeight w:val="198"/>
        </w:trPr>
        <w:tc>
          <w:tcPr>
            <w:tcW w:w="51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Equity-based compensation expense related to redeemable preferred</w:t>
            </w: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r>
      <w:tr>
        <w:trPr>
          <w:trHeight w:val="234"/>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issuance (4)</w:t>
            </w:r>
          </w:p>
        </w:tc>
        <w:tc>
          <w:tcPr>
            <w:tcW w:w="2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w:t>
            </w:r>
          </w:p>
        </w:tc>
        <w:tc>
          <w:tcPr>
            <w:tcW w:w="240" w:type="dxa"/>
            <w:vAlign w:val="bottom"/>
            <w:shd w:val="clear" w:color="auto" w:fill="CCEEFF"/>
          </w:tcPr>
          <w:p>
            <w:pPr>
              <w:spacing w:after="0"/>
              <w:rPr>
                <w:sz w:val="20"/>
                <w:szCs w:val="20"/>
                <w:color w:val="auto"/>
              </w:rPr>
            </w:pPr>
          </w:p>
        </w:tc>
      </w:tr>
      <w:tr>
        <w:trPr>
          <w:trHeight w:val="249"/>
        </w:trPr>
        <w:tc>
          <w:tcPr>
            <w:tcW w:w="5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26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3,231</w:t>
            </w:r>
          </w:p>
        </w:tc>
        <w:tc>
          <w:tcPr>
            <w:tcW w:w="24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29,096</w:t>
            </w:r>
          </w:p>
        </w:tc>
        <w:tc>
          <w:tcPr>
            <w:tcW w:w="24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41,406</w:t>
            </w:r>
          </w:p>
        </w:tc>
        <w:tc>
          <w:tcPr>
            <w:tcW w:w="240" w:type="dxa"/>
            <w:vAlign w:val="bottom"/>
            <w:tcBorders>
              <w:bottom w:val="single" w:sz="8" w:color="CCEEFF"/>
            </w:tcBorders>
          </w:tcPr>
          <w:p>
            <w:pPr>
              <w:spacing w:after="0"/>
              <w:rPr>
                <w:sz w:val="21"/>
                <w:szCs w:val="21"/>
                <w:color w:val="auto"/>
              </w:rPr>
            </w:pPr>
          </w:p>
        </w:tc>
      </w:tr>
      <w:tr>
        <w:trPr>
          <w:trHeight w:val="197"/>
        </w:trPr>
        <w:tc>
          <w:tcPr>
            <w:tcW w:w="51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income (loss) margin</w:t>
            </w: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(5.4)%</w:t>
            </w: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0.8</w:t>
            </w:r>
          </w:p>
        </w:tc>
        <w:tc>
          <w:tcPr>
            <w:tcW w:w="240" w:type="dxa"/>
            <w:vAlign w:val="bottom"/>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79"/>
              </w:rPr>
              <w:t>%</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0.5</w:t>
            </w:r>
          </w:p>
        </w:tc>
        <w:tc>
          <w:tcPr>
            <w:tcW w:w="240" w:type="dxa"/>
            <w:vAlign w:val="bottom"/>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79"/>
              </w:rPr>
              <w:t>%</w:t>
            </w:r>
          </w:p>
        </w:tc>
      </w:tr>
      <w:tr>
        <w:trPr>
          <w:trHeight w:val="234"/>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 margin</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0.9 %</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6.6 %</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11.0 %</w:t>
            </w:r>
          </w:p>
        </w:tc>
      </w:tr>
    </w:tbl>
    <w:p>
      <w:pPr>
        <w:spacing w:after="0" w:line="179" w:lineRule="exact"/>
        <w:rPr>
          <w:sz w:val="20"/>
          <w:szCs w:val="20"/>
          <w:color w:val="auto"/>
        </w:rPr>
      </w:pPr>
    </w:p>
    <w:p>
      <w:pPr>
        <w:jc w:val="both"/>
        <w:ind w:left="340" w:hanging="332"/>
        <w:spacing w:after="0" w:line="257"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management fees and expenses paid pursuant to the professional services agreement with H.I.G. and IVP for consulting and other services. All outstanding management fees were settled and the management agreement was terminated at the time our IPO in 2021.</w:t>
      </w:r>
    </w:p>
    <w:p>
      <w:pPr>
        <w:spacing w:after="0" w:line="1" w:lineRule="exact"/>
        <w:rPr>
          <w:rFonts w:ascii="Times New Roman" w:cs="Times New Roman" w:eastAsia="Times New Roman" w:hAnsi="Times New Roman"/>
          <w:sz w:val="18"/>
          <w:szCs w:val="18"/>
          <w:color w:val="auto"/>
        </w:rPr>
      </w:pPr>
    </w:p>
    <w:p>
      <w:pPr>
        <w:ind w:left="340" w:right="20" w:hanging="332"/>
        <w:spacing w:after="0" w:line="250"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costs related primarily to marketing and presentations for the investment community, as well as travel and other miscellaneous costs incurred as a result of our IPO.</w:t>
      </w:r>
    </w:p>
    <w:p>
      <w:pPr>
        <w:jc w:val="both"/>
        <w:ind w:left="340" w:right="20" w:hanging="332"/>
        <w:spacing w:after="0" w:line="250"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2023 includes equity-based compensation expense for performance stock units (“PSUs”) and restricted stock units (“RSUs”) granted during the period, accelerated expense associated with the voluntary forfeiture of stock options, and equity-based awards granted in prior periods. 2022 includes equity-based compensation expense for RSU awards granted during the period, as well as equity-based awards granted in prior periods. 2021 includes equity-based compensation expense related to modifications and vesting of Class P unit awards, as well as stock options and special compensation awards granted during the period.</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5"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excess of fair value over the consideration paid for Series B Preferred Stock that was issued to an employee, H.I.G., and IVP in June 2020. In addition, represents the excess of fair value over the consideration paid for Series B-1 Preferred Stock that was issued to certain employees in March 2021.</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Free Cash Flow</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Free Cash Flow is a non-GAAP financial measure that we calculate as net cash provided by operating activities less cash used for capitalized software development costs and purchases of property and equipment. We believe free cash flow is an important metric because it represents a measure of how much cash from operations we have available for discretionary and non-discretionary items after the deduction of capital expenditures.</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reconciliation to non-GAAP Free Cash Flow from net cash provided by operating activities for the periods presented is as follows: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600" w:type="dxa"/>
            <w:vAlign w:val="bottom"/>
          </w:tcPr>
          <w:p>
            <w:pPr>
              <w:spacing w:after="0"/>
              <w:rPr>
                <w:sz w:val="15"/>
                <w:szCs w:val="15"/>
                <w:color w:val="auto"/>
              </w:rPr>
            </w:pP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Pr>
          <w:p>
            <w:pPr>
              <w:spacing w:after="0"/>
              <w:rPr>
                <w:sz w:val="15"/>
                <w:szCs w:val="15"/>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00" w:type="dxa"/>
            <w:vAlign w:val="bottom"/>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3"/>
        </w:trPr>
        <w:tc>
          <w:tcPr>
            <w:tcW w:w="3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64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ind w:right="876"/>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15,421</w:t>
            </w:r>
          </w:p>
        </w:tc>
        <w:tc>
          <w:tcPr>
            <w:tcW w:w="34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ind w:right="896"/>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6,199</w:t>
            </w:r>
          </w:p>
        </w:tc>
        <w:tc>
          <w:tcPr>
            <w:tcW w:w="34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26,896</w:t>
            </w:r>
          </w:p>
        </w:tc>
      </w:tr>
      <w:tr>
        <w:trPr>
          <w:trHeight w:val="243"/>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Capitalized software development costs</w:t>
            </w:r>
          </w:p>
        </w:tc>
        <w:tc>
          <w:tcPr>
            <w:tcW w:w="6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(2,055)</w:t>
            </w: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3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(1,522)</w:t>
            </w:r>
          </w:p>
        </w:tc>
      </w:tr>
      <w:tr>
        <w:trPr>
          <w:trHeight w:val="243"/>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640" w:type="dxa"/>
            <w:vAlign w:val="bottom"/>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(1,880)</w:t>
            </w:r>
          </w:p>
        </w:tc>
        <w:tc>
          <w:tcPr>
            <w:tcW w:w="340" w:type="dxa"/>
            <w:vAlign w:val="bottom"/>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(2,511)</w:t>
            </w:r>
          </w:p>
        </w:tc>
        <w:tc>
          <w:tcPr>
            <w:tcW w:w="34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(1,447)</w:t>
            </w:r>
          </w:p>
        </w:tc>
      </w:tr>
      <w:tr>
        <w:trPr>
          <w:trHeight w:val="210"/>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Free Cash Flow</w:t>
            </w:r>
          </w:p>
        </w:tc>
        <w:tc>
          <w:tcPr>
            <w:tcW w:w="640" w:type="dxa"/>
            <w:vAlign w:val="bottom"/>
          </w:tcPr>
          <w:p>
            <w:pPr>
              <w:spacing w:after="0"/>
              <w:rPr>
                <w:sz w:val="18"/>
                <w:szCs w:val="18"/>
                <w:color w:val="auto"/>
              </w:rPr>
            </w:pPr>
          </w:p>
        </w:tc>
        <w:tc>
          <w:tcPr>
            <w:tcW w:w="1040" w:type="dxa"/>
            <w:vAlign w:val="bottom"/>
            <w:tcBorders>
              <w:bottom w:val="single" w:sz="8" w:color="auto"/>
            </w:tcBorders>
          </w:tcPr>
          <w:p>
            <w:pPr>
              <w:jc w:val="right"/>
              <w:ind w:right="876"/>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11,486</w:t>
            </w:r>
          </w:p>
        </w:tc>
        <w:tc>
          <w:tcPr>
            <w:tcW w:w="340" w:type="dxa"/>
            <w:vAlign w:val="bottom"/>
          </w:tcPr>
          <w:p>
            <w:pPr>
              <w:spacing w:after="0"/>
              <w:rPr>
                <w:sz w:val="18"/>
                <w:szCs w:val="18"/>
                <w:color w:val="auto"/>
              </w:rPr>
            </w:pPr>
          </w:p>
        </w:tc>
        <w:tc>
          <w:tcPr>
            <w:tcW w:w="1060" w:type="dxa"/>
            <w:vAlign w:val="bottom"/>
            <w:tcBorders>
              <w:bottom w:val="single" w:sz="8" w:color="auto"/>
            </w:tcBorders>
          </w:tcPr>
          <w:p>
            <w:pPr>
              <w:jc w:val="right"/>
              <w:ind w:right="896"/>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1,188</w:t>
            </w:r>
          </w:p>
        </w:tc>
        <w:tc>
          <w:tcPr>
            <w:tcW w:w="340" w:type="dxa"/>
            <w:vAlign w:val="bottom"/>
          </w:tcPr>
          <w:p>
            <w:pPr>
              <w:spacing w:after="0"/>
              <w:rPr>
                <w:sz w:val="18"/>
                <w:szCs w:val="18"/>
                <w:color w:val="auto"/>
              </w:rPr>
            </w:pPr>
          </w:p>
        </w:tc>
        <w:tc>
          <w:tcPr>
            <w:tcW w:w="38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23,927</w:t>
            </w:r>
          </w:p>
        </w:tc>
      </w:tr>
      <w:tr>
        <w:trPr>
          <w:trHeight w:val="20"/>
        </w:trPr>
        <w:tc>
          <w:tcPr>
            <w:tcW w:w="3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844"/>
        </w:trPr>
        <w:tc>
          <w:tcPr>
            <w:tcW w:w="3600" w:type="dxa"/>
            <w:vAlign w:val="bottom"/>
          </w:tcPr>
          <w:p>
            <w:pPr>
              <w:spacing w:after="0"/>
              <w:rPr>
                <w:sz w:val="24"/>
                <w:szCs w:val="24"/>
                <w:color w:val="auto"/>
              </w:rPr>
            </w:pPr>
          </w:p>
        </w:tc>
        <w:tc>
          <w:tcPr>
            <w:tcW w:w="1680" w:type="dxa"/>
            <w:vAlign w:val="bottom"/>
            <w:gridSpan w:val="2"/>
          </w:tcPr>
          <w:p>
            <w:pPr>
              <w:jc w:val="right"/>
              <w:ind w:right="136"/>
              <w:spacing w:after="0"/>
              <w:rPr>
                <w:sz w:val="20"/>
                <w:szCs w:val="20"/>
                <w:color w:val="auto"/>
              </w:rPr>
            </w:pPr>
            <w:r>
              <w:rPr>
                <w:rFonts w:ascii="Times New Roman" w:cs="Times New Roman" w:eastAsia="Times New Roman" w:hAnsi="Times New Roman"/>
                <w:sz w:val="18"/>
                <w:szCs w:val="18"/>
                <w:color w:val="auto"/>
              </w:rPr>
              <w:t>58</w:t>
            </w: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547"/>
        </w:trPr>
        <w:tc>
          <w:tcPr>
            <w:tcW w:w="36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513" w:right="99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Our Performance</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financial condition and results of operations have been, and will continue to be, affected by a number of factors that present significant opportunities for us but also pose risks and challenges, including what is discussed below. See “Risk Factors.”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Customer Acquisition</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business performance depends in part on our continued ability to cost-effectively acquire new customers. We define customer acquisition cost (“CAC”) as our brand and performance marketing expenses attributable to acquiring new customers, including, but not limited to, agency costs and marketing team costs but excluding any applicable equity-based compensation, divided by the number of customers who placed their first order with us in a given period. As a primarily digital brand, our marketing strategy is primarily focused on brand awareness marketing and digital advertising in channels like search, social, and programmatic – platforms that enable us to engage our customer where she spends her time, and in many cases also quickly track the success of our marketing, which allows us to adjust and optimize our marketing spend.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Customer Retention</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continued success depends in part on our ability to retain and drive repeat purchases from our existing customers. We monitor retention across our entire customer base. Our goal is to attract and convert visitors into active customers and foster relationships that drive repeat purchases. During the trailing twelve months ended December 31, 2023, we served 2.8 million Active Customers compared to 3.2 million for the trailing 12 months ended January 1,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 Management</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utilize a data-driven strategy that leverages our proprietary reorder algorithm to manage inventory as efficiently as possible. Our “test, learn, and reorder” approach consists of limited inventory purchases followed by the analysis of proprietary data including real-time transaction data and customer feedback, which then informs our selection and customization of popular merchandise prior to reordering in larger quantities. While our initial orders are limited in size and financial risk and our supplier partners are highly responsive, we nonetheless purchase inventory in anticipation of future demand and therefore are exposed to potential shifts in customer preferences and price sensitivity over time. As we continue to grow, we will adjust our inventory purchases to align with the current needs of the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in Our Operations and Infrastructure</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will continue to invest in our operations and infrastructure to facilitate further growth of our business. While we expect our expenses to increase accordingly, we will harness the strength of our existing platform and our on-trend fashion expertise to make informed investment decisions. We intend to invest in headcount, inventory, fulfillment, logistics, and our software and data capabilities in order to improve our platform, expand into international markets, and drive operational efficiencies. We cannot guarantee that increased spending on these investments will be cost effective or result in future growth in our customer base. However, we set a high bar for approval of any capital spending initiative. We believe that our disciplined approach to capital spending will enable us to generate positive returns on our investments over the long term.</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Revenue</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Net revenue consists primarily of gross sales, net of merchandise returns and promotional discounts and markdowns, generated from the sale of apparel, footwear, and accessories. Net revenue excludes sales taxes assessed by governmental authorities. We recognize net revenue at the point in time when control of the ordered product is transferred to the customer, which we determine to have occurred upon shipment.</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Net revenue is impacted by our number of customers and their spending habits, AOV, product assortment and availability, and marketing and promotional activities. During any given period, we may seek to increase sales by increasing promotional discounts, and in other periods we may instead seek to increase sales by increasing our selling and marketing expenses. We consider both actions</w:t>
      </w:r>
    </w:p>
    <w:p>
      <w:pPr>
        <w:sectPr>
          <w:pgSz w:w="11900" w:h="16838" w:orient="portrait"/>
          <w:cols w:equalWidth="0" w:num="1">
            <w:col w:w="9920"/>
          </w:cols>
          <w:pgMar w:left="980" w:top="513" w:right="99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together, so increased promotional discounts in a period, which would reduce net revenue accordingly in such period, might also result in lower selling and marketing expenses in such period. Similarly, if we increase selling and marketing expenses in a given period, promotional discounts may be correspondingly reduced, thereby improving net revenue.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 and Gross Profit</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Cost of revenue consists of the product costs of merchandise sold to customers; shipping and handling costs, including all inbound, outbound, and return shipping expenses; rent, insurance, business property tax, utilities, depreciation and amortization, and repairs and maintenance related to our distribution facilities; and charges related to inventory shrinkage, damages, and our allowance for excess or obsolete inventory. Cost of revenue is primarily driven by growth in orders placed by customers, the mix of the product available for sale on our site, and transportation costs related to inventory receipts from our suppliers. We expect our cost of revenue to fluctuate as a percentage of net revenue primarily due to how we manage our inventory and merchandise mix.</w:t>
      </w:r>
    </w:p>
    <w:p>
      <w:pPr>
        <w:spacing w:after="0" w:line="18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Gross profit is equal to our net revenue less cost of revenue. We calculate Gross Margin as gross profit as a percentage of our net revenue. Our Gross Margin varies across Lulus, exclusive to Lulus, and third-party branded products. Exclusive to Lulus consists of products that we develop with design partners and have exclusive rights to sell across our platform, but that do not bear the Lulus brand. Gross Margin on sales of Lulus and exclusive to Lulus merchandise is generally higher than Gross Margin on sales of third-party branded products, which we offer for customers to “round out” the shopping basket. As we continue to optimize our distribution capabilities and gain more negotiation leverage with suppliers as we scale, our Gross Margin may fluctuate from period to period depending on the interplay of these factors.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and Marketing Expenses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selling and marketing expenses consist primarily of payment processing fees, advertising, targeted online performance marketing and customer order courtesy adjustments. Selling and marketing expenses also include our spend on brand marketing channels, including compensation and free clothing to social media influencers, events, and other forms of online and offline marketing related to growing and retaining the customer base. As discussed in “Net Revenue” above, in any given period, the amount of our selling and marketing expense can be affected by the use of promotional discounts in such period.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consist primarily of payroll and benefits costs, including equity-based compensation for our employees involved in general corporate functions including finance, merchandising, marketing, and technology, as well as costs associated with the use by these functions of facilities and equipment, including depreciation, rent, and other occupancy expenses. General and administrative expenses are primarily driven by increases in headcount required to support business growth and meeting our obligations as a public company.</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Since our IPO, we have incurred significant legal, accounting, and other expenses that we did not incur as a private company. We expect that compliance with the Sarbanes-Oxley Act and the Dodd-Frank Wall Street Reform and Consumer Protection Act, as well as rules and regulations subsequently implemented by the SEC, will increase our legal and financial compliance costs and will make some activities more time consuming and costly.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Interest expense consists of interest expense related to the 2021 Revolving Facility.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(Benefit) for Income Taxes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provision (benefit) for income taxes represents federal, state, and local income taxes. The effective rate differs from the statutory rate primarily due to non-deductible equity-based compensation expenses, non-deductible officer compensation, and state taxes. Our effective tax rate will change from quarter to quarter based on recurring and nonrecurring factors including, but not limited to, the geographical mix of earnings, enacted tax legislation, state and local income taxes, the impact of permanent tax adjustments, and the interaction of various tax strategies.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Results of Operations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tables set forth our consolidated results of operations for the years presented and as a percentage of net revenue:</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gridSpan w:val="2"/>
            <w:vMerge w:val="restart"/>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520" w:type="dxa"/>
            <w:vAlign w:val="bottom"/>
            <w:gridSpan w:val="7"/>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Percentage Change</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vMerge w:val="restart"/>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8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2023 VS 2022</w:t>
            </w:r>
          </w:p>
        </w:tc>
        <w:tc>
          <w:tcPr>
            <w:tcW w:w="1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5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40" w:type="dxa"/>
            <w:vAlign w:val="bottom"/>
            <w:gridSpan w:val="6"/>
          </w:tcPr>
          <w:p>
            <w:pPr>
              <w:jc w:val="right"/>
              <w:ind w:right="460"/>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355,175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439,652</w:t>
            </w:r>
          </w:p>
        </w:tc>
        <w:tc>
          <w:tcPr>
            <w:tcW w:w="6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w:t>
            </w:r>
          </w:p>
        </w:tc>
        <w:tc>
          <w:tcPr>
            <w:tcW w:w="3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375,625</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206,949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248,206</w:t>
            </w:r>
          </w:p>
        </w:tc>
        <w:tc>
          <w:tcPr>
            <w:tcW w:w="60" w:type="dxa"/>
            <w:vAlign w:val="bottom"/>
          </w:tcPr>
          <w:p>
            <w:pPr>
              <w:spacing w:after="0"/>
              <w:rPr>
                <w:sz w:val="18"/>
                <w:szCs w:val="18"/>
                <w:color w:val="auto"/>
              </w:rPr>
            </w:pPr>
          </w:p>
        </w:tc>
        <w:tc>
          <w:tcPr>
            <w:tcW w:w="96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198,893</w:t>
            </w:r>
          </w:p>
        </w:tc>
        <w:tc>
          <w:tcPr>
            <w:tcW w:w="0" w:type="dxa"/>
            <w:vAlign w:val="bottom"/>
          </w:tcPr>
          <w:p>
            <w:pPr>
              <w:spacing w:after="0"/>
              <w:rPr>
                <w:sz w:val="1"/>
                <w:szCs w:val="1"/>
                <w:color w:val="auto"/>
              </w:rPr>
            </w:pPr>
          </w:p>
        </w:tc>
      </w:tr>
      <w:tr>
        <w:trPr>
          <w:trHeight w:val="209"/>
        </w:trPr>
        <w:tc>
          <w:tcPr>
            <w:tcW w:w="586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Gross profit</w:t>
            </w:r>
          </w:p>
        </w:tc>
        <w:tc>
          <w:tcPr>
            <w:tcW w:w="1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148,226</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191,446</w:t>
            </w: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176,732</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1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76,312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83,559</w:t>
            </w:r>
          </w:p>
        </w:tc>
        <w:tc>
          <w:tcPr>
            <w:tcW w:w="60" w:type="dxa"/>
            <w:vAlign w:val="bottom"/>
          </w:tcPr>
          <w:p>
            <w:pPr>
              <w:spacing w:after="0"/>
              <w:rPr>
                <w:sz w:val="18"/>
                <w:szCs w:val="18"/>
                <w:color w:val="auto"/>
              </w:rPr>
            </w:pPr>
          </w:p>
        </w:tc>
        <w:tc>
          <w:tcPr>
            <w:tcW w:w="96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66,684</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92,129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99,148</w:t>
            </w:r>
          </w:p>
        </w:tc>
        <w:tc>
          <w:tcPr>
            <w:tcW w:w="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87,710</w:t>
            </w:r>
          </w:p>
        </w:tc>
        <w:tc>
          <w:tcPr>
            <w:tcW w:w="0" w:type="dxa"/>
            <w:vAlign w:val="bottom"/>
          </w:tcPr>
          <w:p>
            <w:pPr>
              <w:spacing w:after="0"/>
              <w:rPr>
                <w:sz w:val="1"/>
                <w:szCs w:val="1"/>
                <w:color w:val="auto"/>
              </w:rPr>
            </w:pPr>
          </w:p>
        </w:tc>
      </w:tr>
      <w:tr>
        <w:trPr>
          <w:trHeight w:val="210"/>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(20,215)</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8,739</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Borders>
              <w:top w:val="single" w:sz="8" w:color="auto"/>
            </w:tcBorders>
            <w:gridSpan w:val="3"/>
          </w:tcPr>
          <w:p>
            <w:pPr>
              <w:ind w:left="360"/>
              <w:spacing w:after="0"/>
              <w:rPr>
                <w:sz w:val="20"/>
                <w:szCs w:val="20"/>
                <w:color w:val="auto"/>
              </w:rPr>
            </w:pPr>
            <w:r>
              <w:rPr>
                <w:rFonts w:ascii="Times New Roman" w:cs="Times New Roman" w:eastAsia="Times New Roman" w:hAnsi="Times New Roman"/>
                <w:sz w:val="18"/>
                <w:szCs w:val="18"/>
                <w:color w:val="auto"/>
              </w:rPr>
              <w:t>NM</w:t>
            </w: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22,338</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(1,728)</w:t>
            </w:r>
          </w:p>
        </w:tc>
        <w:tc>
          <w:tcPr>
            <w:tcW w:w="10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(1,103)</w:t>
            </w:r>
          </w:p>
        </w:tc>
        <w:tc>
          <w:tcPr>
            <w:tcW w:w="960" w:type="dxa"/>
            <w:vAlign w:val="bottom"/>
            <w:gridSpan w:val="3"/>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(12,774)</w:t>
            </w:r>
          </w:p>
        </w:tc>
        <w:tc>
          <w:tcPr>
            <w:tcW w:w="0" w:type="dxa"/>
            <w:vAlign w:val="bottom"/>
          </w:tcPr>
          <w:p>
            <w:pPr>
              <w:spacing w:after="0"/>
              <w:rPr>
                <w:sz w:val="1"/>
                <w:szCs w:val="1"/>
                <w:color w:val="auto"/>
              </w:rPr>
            </w:pPr>
          </w:p>
        </w:tc>
      </w:tr>
      <w:tr>
        <w:trPr>
          <w:trHeight w:val="216"/>
        </w:trPr>
        <w:tc>
          <w:tcPr>
            <w:tcW w:w="5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(1,392)</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income, net</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586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10"/>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(21,010)</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7,772</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Borders>
              <w:top w:val="single" w:sz="8" w:color="auto"/>
            </w:tcBorders>
            <w:gridSpan w:val="3"/>
          </w:tcPr>
          <w:p>
            <w:pPr>
              <w:ind w:left="360"/>
              <w:spacing w:after="0"/>
              <w:rPr>
                <w:sz w:val="20"/>
                <w:szCs w:val="20"/>
                <w:color w:val="auto"/>
              </w:rPr>
            </w:pPr>
            <w:r>
              <w:rPr>
                <w:rFonts w:ascii="Times New Roman" w:cs="Times New Roman" w:eastAsia="Times New Roman" w:hAnsi="Times New Roman"/>
                <w:sz w:val="18"/>
                <w:szCs w:val="18"/>
                <w:color w:val="auto"/>
              </w:rPr>
              <w:t>NM</w:t>
            </w: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8,257</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1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(1,676)</w:t>
            </w: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4,047</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NM</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6,212</w:t>
            </w:r>
          </w:p>
        </w:tc>
        <w:tc>
          <w:tcPr>
            <w:tcW w:w="0" w:type="dxa"/>
            <w:vAlign w:val="bottom"/>
          </w:tcPr>
          <w:p>
            <w:pPr>
              <w:spacing w:after="0"/>
              <w:rPr>
                <w:sz w:val="1"/>
                <w:szCs w:val="1"/>
                <w:color w:val="auto"/>
              </w:rPr>
            </w:pPr>
          </w:p>
        </w:tc>
      </w:tr>
      <w:tr>
        <w:trPr>
          <w:trHeight w:val="209"/>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(19,334)</w:t>
            </w: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3,725</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Borders>
              <w:top w:val="single" w:sz="8" w:color="auto"/>
              <w:bottom w:val="single" w:sz="8" w:color="auto"/>
            </w:tcBorders>
            <w:gridSpan w:val="3"/>
          </w:tcPr>
          <w:p>
            <w:pPr>
              <w:ind w:left="360"/>
              <w:spacing w:after="0"/>
              <w:rPr>
                <w:sz w:val="20"/>
                <w:szCs w:val="20"/>
                <w:color w:val="auto"/>
              </w:rPr>
            </w:pPr>
            <w:r>
              <w:rPr>
                <w:rFonts w:ascii="Times New Roman" w:cs="Times New Roman" w:eastAsia="Times New Roman" w:hAnsi="Times New Roman"/>
                <w:sz w:val="18"/>
                <w:szCs w:val="18"/>
                <w:color w:val="auto"/>
              </w:rPr>
              <w:t>NM %</w:t>
            </w:r>
          </w:p>
        </w:tc>
        <w:tc>
          <w:tcPr>
            <w:tcW w:w="16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2,045</w:t>
            </w:r>
          </w:p>
        </w:tc>
        <w:tc>
          <w:tcPr>
            <w:tcW w:w="0" w:type="dxa"/>
            <w:vAlign w:val="bottom"/>
          </w:tcPr>
          <w:p>
            <w:pPr>
              <w:spacing w:after="0"/>
              <w:rPr>
                <w:sz w:val="1"/>
                <w:szCs w:val="1"/>
                <w:color w:val="auto"/>
              </w:rPr>
            </w:pPr>
          </w:p>
        </w:tc>
      </w:tr>
      <w:tr>
        <w:trPr>
          <w:trHeight w:val="20"/>
        </w:trPr>
        <w:tc>
          <w:tcPr>
            <w:tcW w:w="58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NM – not meaningful</w:t>
            </w: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8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4"/>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gridSpan w:val="2"/>
            <w:vMerge w:val="restart"/>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3"/>
            <w:vMerge w:val="restart"/>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2"/>
        </w:trPr>
        <w:tc>
          <w:tcPr>
            <w:tcW w:w="5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gridSpan w:val="4"/>
            <w:vMerge w:val="continue"/>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3"/>
            <w:vMerge w:val="continue"/>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5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w:t>
            </w: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100</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2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1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6"/>
        </w:trPr>
        <w:tc>
          <w:tcPr>
            <w:tcW w:w="5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4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Gross profit</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4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income, net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4"/>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2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4"/>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Comparisons for the Fiscal Years Ended December 31, 2023 and January 1, 2023</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Net Revenue</w:t>
      </w:r>
    </w:p>
    <w:p>
      <w:pPr>
        <w:spacing w:after="0" w:line="2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Net revenue decreased in 2023 by $84.5 million, or 19%, compared to 2022. The decrease in revenue was primarily due to a decline of 18% in Total Orders Placed along with higher return rates partly offset by higher AOV compared to 2022.</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Cost of Revenue</w:t>
      </w:r>
    </w:p>
    <w:p>
      <w:pPr>
        <w:spacing w:after="0" w:line="227"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Cost of revenue decreased in 2023 by $41.3 million, or 17% compared to 2022, which was primarily driven by the impact of lower revenue.</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2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Gross profit decreased in 2023 by $43.2 million or 23% compared to 2022 which was primarily driven by the impact of the lower volume of sales, along with a lower Gross Margin due to higher markdowns and discounts.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Selling and Marketing Expenses</w:t>
      </w:r>
    </w:p>
    <w:p>
      <w:pPr>
        <w:spacing w:after="0" w:line="227"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Selling and marketing expenses decreased in 2023 by $7.2 million, or 9% compared to 2022 due to lower performance marketing costs of $6.0 million as well as lower merchant processing fees of $1.6 million, due to the lower volume of sales. This was partially offset by $0.4 million higher brand marketing spend through 2023 as we invested more in brand awareness.</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General and administrative expenses decreased in 2023 by $7.0 million, or 7%, compared to 2022. The decrease was primarily due to a $6.9 million decrease in variable labor costs and benefits costs primarily associated with lower sales volume and operational efficiencies, as well as a $2.2 million decrease attributed to lower D&amp;O insurance premiums, professional service fees, recruiting and travel costs, as well as a $0.5 million decrease in supplies expense mainly driven by lower sales. These decreases were partially offset by higher equity-based compensation expense of $1.6 million related to equity-based awards issued in 2023 and a $1.0 million increase in capitalized software amortization, facility related costs, non-income related state taxes and board fees.</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2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Interest expense increased in 2023 by $0.6 million, or 57%, compared to 2022. The increase is attributable to higher interest rates partially offset by lower average borrowings driving increased interest expense and unused fees related to the 2021 Revolving Facility.</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Income Tax Provision (Benefit)</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income tax provision (benefit) in 2023 decreased by $5.7 million to a benefit of $1.7 million, compared to a provision of $4.0 million in 2022. The decrease was primarily due to reduction in our income (loss) before provision (benefit) for income taxes from $7.8 million income in 2022 to a $21.0 million loss in 2023, and a decrease in non-deductible officer compensation, partially offset by an increase in non-deductible equity-based compensation expenses.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Quarterly Trends and Seasonality</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experience moderate seasonal fluctuations in aggregate sales volume during the year. Seasonality in our business does not follow that of traditional retailers, such as a typical concentration of revenue in the holiday quarter. In 2023, consistent with most years, our net revenue was the highest during the second quarter due to the typically higher demand for event dresses in the spring and summer. Net revenue was the lowest during the fourth quarter given we are not a holiday gifting destination and event dress demand is typically lower during that time of year. The seasonality of our business has resulted in variability in our total net revenue quarter-to-quarter. We believe that this seasonality has affected and will continue to affect our results of operations. We recognized 26%, 30%, 23% and 21% of our annual net revenue during the first, second, third and fourth quarters of 2023, respectively.</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quarterly gross profit fluctuates primarily based on how we manage our inventory and merchandise mix and has typically been in line with fluctuations in net revenue. When quarterly gross profit fluctuations have deviated relative to the fluctuations in sales, these situations have been driven by non-recurring, external factors, such as the COVID-19 pandemic.</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Selling and marketing expenses generally fluctuate with net revenue. Further, in any given period, the amount of our selling and marketing expense can be affected by the use of promotional discounts in such period. In addition, we may increase or decrease marketing spend to assist with optimizing inventory mix and quantities.</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consist primarily of payroll and benefit costs and vary quarter to quarter due to changes in the number of seasonal workers to meet demand based on our seasonality.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primary sources of liquidity and capital resources are cash generated from operating activities and borrowings under our 2021 Revolving Facility. Our primary requirements for liquidity and capital are inventory purchases, payroll and general operating expenses, capital expenditures associated with distribution, network expansion and capitalized software and debt service requirements. Our corporate banking relationship is with Bank of America.</w:t>
      </w:r>
    </w:p>
    <w:p>
      <w:pPr>
        <w:sectPr>
          <w:pgSz w:w="11900" w:h="16838" w:orient="portrait"/>
          <w:cols w:equalWidth="0" w:num="1">
            <w:col w:w="9920"/>
          </w:cols>
          <w:pgMar w:left="980" w:top="513" w:right="99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Facilities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During November 2021, we entered into the 2021 Credit Agreement with Bank of America to provide a revolving facility that provides for borrowings up to $50.0 million. During the term of the 2021 Credit Agreement, we may increase the aggregate amount of the 2021 Revolving Facility up to an additional $25.0 million (for maximum aggregate lender commitments of up to $75.0 million), subject to the satisfaction of certain conditions under the 2021 Credit Agreement, including obtaining the consent of the administrative agent and an increased commitment from existing or new lenders. In addition, the 2021 Credit Agreement may be used to issue letters of credit up to $7.5 million (the “Letter of Credit”). For information on Credit Facilities, see Note 5,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During 2023, we borrowed $13.0 million under the 2021 Revolving Facility and repaid $30.0 million of the outstanding balance. As of December 31, 2023, we had $8.0 million outstanding under the 2021 Revolving Facility and had utilized $0.3 million under the Letter of Credit. As of December 31, 2023, we had $41.7 million available for borrowing under the 2021 Revolving Facility and $7.2 million available to issue letters of credit.</w:t>
      </w:r>
    </w:p>
    <w:p>
      <w:pPr>
        <w:spacing w:after="0" w:line="200" w:lineRule="exact"/>
        <w:rPr>
          <w:sz w:val="20"/>
          <w:szCs w:val="20"/>
          <w:color w:val="auto"/>
        </w:rPr>
      </w:pPr>
    </w:p>
    <w:p>
      <w:pPr>
        <w:spacing w:after="0" w:line="20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2021 Revolving Facility matures on November 15, 2024, and borrowings thereunder will accrue interest at a rate equal to, at our option, either (x) the term SOFR rate, plus the applicable SOFR adjustment plus a margin of 1.75% per annum or (y) the base rate plus a margin of 0.75% (with the base rate being the highest of the federal funds rate plus 0.50%, the prime rate and term SOFR for a period of one month plus 1.00%). The 2021 Revolving Facility contains a financial maintenance covenant requiring a maximum total leverage ratio of no more than 2.50:1.00, stepping down to 2.00:1.00 after 18 months. A commitment fee of 37.5 basis points will be assessed on unused commitments under the 2021 Revolving Facility.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Availability and Use of Cash</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As of December 31, 2023, we had cash and cash equivalents of $2.5 million and no restricted cash. We believe that our cash on hand and cash provided by operations in conjunction with certain cash conservation measures to be taken as necessary, including adjustments to marketing and other variable and capital spend, will enable us to meet our obligations as they become due within one year from the date of this Annual Report on Form 10-K. However, we cannot ensure that our business will generate sufficient cash flow from operating activities or that future borrowings will be available under our borrowing agreements in amounts sufficient to pay indebtedness or fund other working capital needs. Actual results of operations will depend on numerous factors, many of which are beyond our control as further discussed in Part I, “Item 1A. Risk Factors” included elsewhere in this Annual Report on Form 10-K.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Analysis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indicated: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4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6"/>
        </w:trPr>
        <w:tc>
          <w:tcPr>
            <w:tcW w:w="54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16"/>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6"/>
        </w:trPr>
        <w:tc>
          <w:tcPr>
            <w:tcW w:w="5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Operating activities</w:t>
            </w:r>
          </w:p>
        </w:tc>
        <w:tc>
          <w:tcPr>
            <w:tcW w:w="82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15,421</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6,199</w:t>
            </w:r>
          </w:p>
        </w:tc>
        <w:tc>
          <w:tcPr>
            <w:tcW w:w="280" w:type="dxa"/>
            <w:vAlign w:val="bottom"/>
          </w:tcPr>
          <w:p>
            <w:pPr>
              <w:spacing w:after="0"/>
              <w:rPr>
                <w:sz w:val="18"/>
                <w:szCs w:val="18"/>
                <w:color w:val="auto"/>
              </w:rPr>
            </w:pP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26,896</w:t>
            </w:r>
          </w:p>
        </w:tc>
      </w:tr>
      <w:tr>
        <w:trPr>
          <w:trHeight w:val="216"/>
        </w:trPr>
        <w:tc>
          <w:tcPr>
            <w:tcW w:w="5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Investing activities</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(4,003)</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(5,123)</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(3,394)</w:t>
            </w:r>
          </w:p>
        </w:tc>
      </w:tr>
      <w:tr>
        <w:trPr>
          <w:trHeight w:val="216"/>
        </w:trPr>
        <w:tc>
          <w:tcPr>
            <w:tcW w:w="5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Financing activities</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(19,131)</w:t>
            </w:r>
          </w:p>
        </w:tc>
        <w:tc>
          <w:tcPr>
            <w:tcW w:w="12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(2,765)</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(27,653)</w:t>
            </w:r>
          </w:p>
        </w:tc>
      </w:tr>
      <w:tr>
        <w:trPr>
          <w:trHeight w:val="210"/>
        </w:trPr>
        <w:tc>
          <w:tcPr>
            <w:tcW w:w="54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 increase in cash, cash equivalents and restricted cash</w:t>
            </w:r>
          </w:p>
        </w:tc>
        <w:tc>
          <w:tcPr>
            <w:tcW w:w="5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(7,713)</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(1,689)</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(4,151)</w:t>
            </w:r>
          </w:p>
        </w:tc>
      </w:tr>
      <w:tr>
        <w:trPr>
          <w:trHeight w:val="20"/>
        </w:trPr>
        <w:tc>
          <w:tcPr>
            <w:tcW w:w="5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Net cash provided by operating activities consists primarily of net income (loss) adjusted for certain non-cash items, including depreciation, amortization, equity-based compensation, the effect of changes in working capital and other activities.</w:t>
      </w:r>
    </w:p>
    <w:p>
      <w:pPr>
        <w:spacing w:after="0" w:line="16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During 2023, net cash provided by operating activities increased by $9.2 million, as compared to 2022. The increase was largely due to a $28.7 million reduction in inventory purchases in line with lower sales and a decrease of $7.1 million in income taxes receivable due to the combination of an income tax refund received and utilization of prior year overpayments. There was also an increase of $2.4 million in accounts payable primarily related to the timing of payments related to our credit card payables, and an increase of $0.9 million in assets for recovery mainly due to lower sales. This was partially offset by a decrease of $24.5 million in net income (loss) after adjusting for non-cash items, $2.5 million timing-related increase in prepaids and other current assets, $1.4 million decrease related to lower accounts receivable collections driven by lower sales, $0.8 million decrease related to accrued expenses and other current</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liabilities mainly due to an increase in stored value liabilities due to lower redemption rates and issuance activity driven by lower sales, offset by a decrease in the return reserve as a result of lower sales, and a $0.7 million decrease related to operating lease liabilities.</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primary investing activities have consisted of purchases of equipment to support our overall business growth and internally developed software for the continued development of our proprietary technology infrastructure. Purchases of property and equipment may vary from period to period due to the timing of the expansion of our operations. We have no material commitments for capital expenditures.</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2023, as compared to 2022, net cash used in investing activities decreased by $1.1 million. This was attributable to $0.5 million less invested in capitalized software development costs and $0.6 million lower capital expenditures for leasehold improvements, construction in progress, and purchases of computer hardware and equipment for our general operations.</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Financing activities consist primarily of borrowings and repayments related to our 2021 Revolving Facility.</w:t>
      </w:r>
    </w:p>
    <w:p>
      <w:pPr>
        <w:spacing w:after="0" w:line="22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2023, net cash used in financing activities increased by $16.4 million compared to 2022. The increase was primarily due to $17.0 million lower borrowings on our 2021 Revolving facility, $0.5 million increase in withholding tax payments related to vesting of RSUs, and a $0.2 million increase of finance lease payments primarily attributed to new finance leases for distribution center equipment which was offset by the impact of the$0.8 million in payment of offering costs related to the IPO in 2021, and $0.5 million of proceeds received in 2023 from issuance of common stock under our employee stock purchase plan (“ESPP”).</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Other Commitments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Our most significant contractual obligations relate to our 2017 Revolving Facility, 2021 Revolving Facility and operating lease obligations on our distribution facilities and corporate offices. For information on our revolving facilities, see Note 5,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and for information on our contractual obligations for operating leases, see Note 6,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of the accompanying notes to our consolidated financial statements included elsewhere in this Annual Report on Form 10-K.</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ind w:firstLine="382"/>
        <w:spacing w:after="0" w:line="256" w:lineRule="auto"/>
        <w:rPr>
          <w:sz w:val="20"/>
          <w:szCs w:val="20"/>
          <w:color w:val="auto"/>
        </w:rPr>
      </w:pPr>
      <w:r>
        <w:rPr>
          <w:rFonts w:ascii="Times New Roman" w:cs="Times New Roman" w:eastAsia="Times New Roman" w:hAnsi="Times New Roman"/>
          <w:sz w:val="18"/>
          <w:szCs w:val="18"/>
          <w:color w:val="auto"/>
        </w:rPr>
        <w:t>Our consolidated financial statements and the related notes thereto included elsewhere in this Annual Report on Form 10-K are prepared in accordance with GAAP. The preparation of consolidated financial statements requires us to make estimates and assumptions that affect the reported amounts of assets, liabilities, revenue, costs and expenses and related disclosures. We base our estimates on historical experience and on various other assumptions that we believe to be reasonable under the circumstances. Actual results could differ significantly from our estimates. To the extent that there are differences between our estimates and actual results, our future financial statement presentation, financial condition, results of operations and cash flows will be affected.</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We believe that the assumptions and estimates associated with revenue recognition, equity-based compensation, and income taxes have the greatest potential impact on our consolidated financial statements. Therefore, we consider these to be our critical accounting policies and estimates. For further information on all of our significant accounting policies, please see Note 2, </w:t>
      </w:r>
      <w:r>
        <w:rPr>
          <w:rFonts w:ascii="Times New Roman" w:cs="Times New Roman" w:eastAsia="Times New Roman" w:hAnsi="Times New Roman"/>
          <w:sz w:val="18"/>
          <w:szCs w:val="18"/>
          <w:i w:val="1"/>
          <w:iCs w:val="1"/>
          <w:color w:val="auto"/>
        </w:rPr>
        <w:t>Significant Accounting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Policies</w:t>
      </w:r>
      <w:r>
        <w:rPr>
          <w:rFonts w:ascii="Times New Roman" w:cs="Times New Roman" w:eastAsia="Times New Roman" w:hAnsi="Times New Roman"/>
          <w:sz w:val="18"/>
          <w:szCs w:val="18"/>
          <w:color w:val="auto"/>
        </w:rPr>
        <w:t>, of the accompanying notes to our consolidated financial statements included elsewhere in this Annual Report on Form 10-K.</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While our revenue recognition does not involve significant judgment, it represents an important accounting policy. We generate revenue from the sale of merchandise products sold directly to end customers. We recognize revenue when the product is transferred to the customer, which is generally upon shipment. We estimate a reserve of future returns based on historical return rates. There is judgment in utilizing historical trends for estimating future returns. Our refund for sales returns is included in returns reserve and asset for recovery on the consolidated balance sheets and represents the expected value of the refund that will be due to our customers.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January 3, 2022, we adopted ASC 842. We elected the practical expedient package, which among other practical expedients, includes the option to retain the historical classification of leases entered into prior to January 3, 2022, and allows entities to recognize lease payments on a straight-line basis over the lease term for leases with a term of 12 months or less. We also elected the practical expedient to combine lease and non-lease components. We determine if an arrangement contains a lease at inception based on whether we have the right to control the asset during the contract period and other facts and circumstances.</w:t>
      </w:r>
    </w:p>
    <w:p>
      <w:pPr>
        <w:spacing w:after="0" w:line="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 xml:space="preserve">We are the lessee in a lease contract when we obtain the right to control the asset. Operating leases are included in lease right-of-use ("ROU") assets, lease liabilities, current and lease liabilities, noncurrent in our consolidated balance sheets. ROU assets represent our right to use an underlying asset for the lease term, and lease liabilities represent our obligation to make lease payments arising from the lease. Lease liabilities are recognized based on the present value of the future minimum lease payments over the lease term at lease inception or modification, with ROU assets recorded based on the corresponding lease liability at lease inception or modification adjusted for payments made to the lessor at or before the lease commencement date, initial direct costs incurred and any tenant incentives allowed for under the lease. We determine the lease term by assuming the exercise of renewal options that are reasonably certain. As most of our leases do not provide an implicit interest rate, we use our incremental borrowing rate (“IBR”) to determine the present value of lease payments. The determination of the IBR requires judgment and is primarily based on publicly-available information for companies within similar industries and with similar credit profiles. We adjust the rate for the impact of collateralization, the lease term and other specific terms included in each lease arrangement. The IBR is determined at the lease commencement and is subsequently reassessed upon a modification to the lease arrangement. Refer to Note 6,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of the accompanying notes to our consolidated financial statements included elsewhere in this Annual Report on Form 10-K.</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Equity-Based Compensation</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Equity-based compensation is measured at the grant date or modification date (“measurement date”) for all equity-based awards made to employees and nonemployees based on the estimated fair value of the awards. Equity-based compensation expense is recognized on a straight-line basis over the period the employee or non-employee is required to provide service in exchange for the award, which is generally the vesting period. We recognize forfeitures as they occur.</w:t>
      </w:r>
    </w:p>
    <w:p>
      <w:pPr>
        <w:spacing w:after="0" w:line="180"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Under an employment agreement entered into with Mr. McCreight in 2021 (the “McCreight IPO Employment Agreement”) and subject to ongoing employment, and in light of the closing of the IPO, Mr. McCreight received two bonuses to be settled in fully-vested shares of our common stock equal to $3.0 million each ($6.0 million in aggregate) on March 31, 2022 and March 31, 2023. We initially concluded that the two bonuses were liability-classified upon issuance. Upon the completion of the IPO, the two bonuses became equity-classified as they no longer met the criteria for liability classification and $2.9 million was reclassified from accrued expenses and other current liabilities and other noncurrent liabilities to additional paid-in capital in 2021. Under a new employment agreement with Mr. McCreight (the “Executive Chairman Employment Agreement”) signed in November 2022, reflecting his new role as Executive Chairman, which became effective on the Effective Date, Mr. McCreight received one bonus equal to $2.0 million in March 2023 and will receive one bonus equal to $1.0 million in March 2024, which will be settled in RSUs that vest in 4 and 2 quarterly installments from March 2023 and March 2024, respectively, through December 2023 and June 2024, respectively. Under the Executive Chairman Employment Agreement, entered into in November 2022, Mr. McCreight was entitled to receive a grant of RSUs equivalent to $2.0 million. We initially concluded that the award was subject to the guidance within ASC 718 and was liability-classified upon issuance. On March 17, 2023, the number of RSUs associated with the award became determinable, and the award became equity-classified as it no longer met the criteria for liability classification. Mr. McCreight’s 836,820 RSUs were granted in two parts, with 613,116 RSUs granted on March 17, 2023 and 223,704 RSUs granted on April 30, 2023, the combination of which vest in equal, quarterly installments on the date immediately following the last day of each calendar quarter, starting April 1, 2023, and are subject to continued service requirements. On March 5, 2023, Mr. McCreight received a grant of 25,873 RSUs pursuant to the McCreight IPO Employment Agreement. These RSUs vest in 12 equal installments from April 30, 2023 through March 31, 2024, and are subject to continued service requirements.</w:t>
      </w:r>
    </w:p>
    <w:p>
      <w:pPr>
        <w:spacing w:after="0" w:line="19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During the thirteen weeks ended April 2, 2023, we entered into employment agreements with Crystal Landsem, the Chief Executive Officer, (the “CEO Employment Agreement”) and Tiffany Smith, the Chief Financial Officer, (the “CFO Employment Agreement”), under which 1,811,572 and 161,088 RSUs were granted, respectively. Under the CEO Employment Agreement, Ms. Landsem received a grant of 1,811,572 RSUs, which vest in quarterly installments beginning on June 30, 2023 through December 31, 2026 and are subject to continued service requirements. Under the CEO Employment Agreement, Ms. Landsem also received a grant of 1,811,571 PSUs on March 5, 2023 which vest in three equal annual installments of 603,857 subject to the achievement of trailing ten day volume-weighted</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average price targets of our common stock and her continued employment on the vesting dates. Under the CFO Employment Agreement, Ms. Smith received 161,088 RSUs, granted in two parts, with 118,025 and 43,063 RSUs granted on March 17, 2023 and April 30, 2023, respectively, which in combination will vest in three equal installments on March 8, 2024, March 7, 2025 and March 6, 2026, and are subject to continued service requirements.</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fair value of grants of restricted stock or restricted stock units is based on the fair value of our common stock underlying the award on the measurement date. For stock option awards, we apply the Black-Scholes option pricing model to determine the fair value. The model utilizes the estimated per share fair value of our underlying common stock at the measurement date, the expected or contractual term of the option, the expected stock price volatility, risk-free interest rates, and the expected dividend yield of the common stock.</w:t>
      </w:r>
    </w:p>
    <w:p>
      <w:pPr>
        <w:spacing w:after="0" w:line="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base estimates of expected volatility on the historical volatility of comparable companies from a representative peer group selected based on industry, financial, and market capitalization data.</w:t>
      </w:r>
    </w:p>
    <w:p>
      <w:pPr>
        <w:spacing w:after="0" w:line="5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Determining the grant date fair value of options using the Black-Scholes option pricing model requires us to make assumptions and judgments. These estimates involve inherent uncertainties and, if different assumptions had been used, stock-based compensation expense could have been materially different from the amounts recorded.</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compute our provision for income taxes using the asset and liability method, under which Deferred Tax Assets (“DTA”) and liabilities are recognized for the expected future tax consequences of temporary differences between the financial reporting and tax bases of assets and liabilities and for operating losses and tax credit carryforwards. Deferred tax assets and liabilities are measured using the currently enacted tax rates that apply to taxable income in effect for the years in which they are expected to be realized or settled.</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Deferred tax assets are evaluated for future realization and reduced by a valuation allowance to the amount that is more likely than not to be realized. We consider many factors when assessing the likelihood of future realization, including our recent cumulative loss, earnings expectations in earlier future years, and other relevant factors.</w:t>
      </w:r>
    </w:p>
    <w:p>
      <w:pPr>
        <w:spacing w:after="0" w:line="17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As of December 31, 2023, we had approximately $3.8 million in net DTAs. These DTAs include approximately $0.6 million related to net operating loss carryforwards that can be used to offset taxable income in future periods and reduce our income taxes payable in those future periods. Some of these net operating loss carryforwards will expire if they are not used within certain periods. At this time, based on evidence currently available, we consider it more likely than not that we will have sufficient taxable income in the future that will allow us to realize the DTAs; however, failure to generate sufficient taxable income could result in some or all DTAs not being utilized in the future. If we are unable to generate sufficient future taxable income, a valuation allowance to reduce our DTAs may be required which would materially increase our expenses in the period the allowance is recognized and materially adversely affect our results of operations and statement of financial conditions.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7"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 xml:space="preserve">See Note 2, </w:t>
      </w:r>
      <w:r>
        <w:rPr>
          <w:rFonts w:ascii="Times New Roman" w:cs="Times New Roman" w:eastAsia="Times New Roman" w:hAnsi="Times New Roman"/>
          <w:sz w:val="18"/>
          <w:szCs w:val="18"/>
          <w:i w:val="1"/>
          <w:iCs w:val="1"/>
          <w:color w:val="auto"/>
        </w:rPr>
        <w:t>Significant Accounting Policies—Recently Issued Accounting Pronouncements</w:t>
      </w:r>
      <w:r>
        <w:rPr>
          <w:rFonts w:ascii="Times New Roman" w:cs="Times New Roman" w:eastAsia="Times New Roman" w:hAnsi="Times New Roman"/>
          <w:sz w:val="18"/>
          <w:szCs w:val="18"/>
          <w:color w:val="auto"/>
        </w:rPr>
        <w:t>, of the accompanying notes to our consolidated financial statements included elsewhere in this Annual Report on Form 10-K for more information about recent accounting pronouncements, the timing of their adoption, and our assessment, to the extent we have made one, of their potential impact on our financial position and our results of operations.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JOBS Act Accounting Election</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Under the JOBS Act, emerging growth companies can delay adopting new or revised accounting standards until such time as those standards apply to private companies. We have elected to use this extended transition period until we are no longer an emerging growth company or until we affirmatively and irrevocably opt out of the extended transition period. Accordingly, our consolidated financial statements and our unaudited interim consolidated financial statements may not be comparable to companies that comply with new or revised accounting pronouncements as of public company effective dates.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operations are solely based within the United States and the majority of our sales are within the United States. We are exposed to market risks in the ordinary course of our business, including the effects of foreign currency fluctuations, interest rate changes and inflation. Information relating to quantitative and qualitative disclosures about these market risks is set forth below.</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Interest Rate Sensitivity</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Cash and cash equivalents are held primarily in money market funds and cash deposits. The fair value of our cash and cash equivalents would not be significantly affected by either an increase or decrease in interest rates due mainly to the short-term nature of these instruments. Interest on any borrowings incurred pursuant to our 2021 Revolving Facility accrue at a floating rate based on a formula tied to certain market rates at the time of incurrence; however, we do not expect that any change in prevailing interest rates will have a material impact on our results of operations.</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All of our sales and operating expenses are denominated in U.S. dollars, and therefore, our income/(loss) before income taxes is not currently subject to foreign currency risk.</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Inflation</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have experienced inflationary pressures in our supply chain and in our operating costs, as well as impacts related to our customers’ spending levels, which fluctuate with inflation. We continue to monitor the impact of inflation in order to minimize its effects through pricing strategies, productivity improvements and cost reductions.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207"/>
        </w:trPr>
        <w:tc>
          <w:tcPr>
            <w:tcW w:w="918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740" w:type="dxa"/>
            <w:vAlign w:val="bottom"/>
          </w:tcPr>
          <w:p>
            <w:pPr>
              <w:spacing w:after="0"/>
              <w:rPr>
                <w:sz w:val="17"/>
                <w:szCs w:val="17"/>
                <w:color w:val="auto"/>
              </w:rPr>
            </w:pPr>
          </w:p>
        </w:tc>
      </w:tr>
      <w:tr>
        <w:trPr>
          <w:trHeight w:val="20"/>
        </w:trPr>
        <w:tc>
          <w:tcPr>
            <w:tcW w:w="14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777"/>
        </w:trPr>
        <w:tc>
          <w:tcPr>
            <w:tcW w:w="9180" w:type="dxa"/>
            <w:vAlign w:val="bottom"/>
            <w:gridSpan w:val="11"/>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740" w:type="dxa"/>
            <w:vAlign w:val="bottom"/>
          </w:tcPr>
          <w:p>
            <w:pPr>
              <w:spacing w:after="0"/>
              <w:rPr>
                <w:sz w:val="24"/>
                <w:szCs w:val="24"/>
                <w:color w:val="auto"/>
              </w:rPr>
            </w:pPr>
          </w:p>
        </w:tc>
      </w:tr>
      <w:tr>
        <w:trPr>
          <w:trHeight w:val="446"/>
        </w:trPr>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6360" w:type="dxa"/>
            <w:vAlign w:val="bottom"/>
            <w:gridSpan w:val="8"/>
          </w:tcPr>
          <w:p>
            <w:pPr>
              <w:jc w:val="center"/>
              <w:ind w:right="2060"/>
              <w:spacing w:after="0"/>
              <w:rPr>
                <w:sz w:val="20"/>
                <w:szCs w:val="20"/>
                <w:color w:val="auto"/>
              </w:rPr>
            </w:pPr>
            <w:r>
              <w:rPr>
                <w:rFonts w:ascii="Times New Roman" w:cs="Times New Roman" w:eastAsia="Times New Roman" w:hAnsi="Times New Roman"/>
                <w:sz w:val="18"/>
                <w:szCs w:val="18"/>
                <w:b w:val="1"/>
                <w:bCs w:val="1"/>
                <w:color w:val="auto"/>
                <w:w w:val="99"/>
              </w:rPr>
              <w:t>LULU’S FASHION LOUNGE HOLDINGS, INC.</w:t>
            </w:r>
          </w:p>
        </w:tc>
        <w:tc>
          <w:tcPr>
            <w:tcW w:w="740" w:type="dxa"/>
            <w:vAlign w:val="bottom"/>
          </w:tcPr>
          <w:p>
            <w:pPr>
              <w:spacing w:after="0"/>
              <w:rPr>
                <w:sz w:val="24"/>
                <w:szCs w:val="24"/>
                <w:color w:val="auto"/>
              </w:rPr>
            </w:pPr>
          </w:p>
        </w:tc>
      </w:tr>
      <w:tr>
        <w:trPr>
          <w:trHeight w:val="405"/>
        </w:trPr>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900" w:type="dxa"/>
            <w:vAlign w:val="bottom"/>
            <w:gridSpan w:val="9"/>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8"/>
              </w:rPr>
              <w:t>INDEX TO CONSOLIDATED FINANCIAL STATEMENTS</w:t>
            </w:r>
          </w:p>
        </w:tc>
        <w:tc>
          <w:tcPr>
            <w:tcW w:w="740" w:type="dxa"/>
            <w:vAlign w:val="bottom"/>
          </w:tcPr>
          <w:p>
            <w:pPr>
              <w:spacing w:after="0"/>
              <w:rPr>
                <w:sz w:val="24"/>
                <w:szCs w:val="24"/>
                <w:color w:val="auto"/>
              </w:rPr>
            </w:pPr>
          </w:p>
        </w:tc>
      </w:tr>
      <w:tr>
        <w:trPr>
          <w:trHeight w:val="432"/>
        </w:trPr>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392"/>
        </w:trPr>
        <w:tc>
          <w:tcPr>
            <w:tcW w:w="9180" w:type="dxa"/>
            <w:vAlign w:val="bottom"/>
            <w:gridSpan w:val="11"/>
          </w:tcPr>
          <w:p>
            <w:pPr>
              <w:ind w:left="60"/>
              <w:spacing w:after="0"/>
              <w:rPr>
                <w:sz w:val="20"/>
                <w:szCs w:val="20"/>
                <w:color w:val="auto"/>
              </w:rPr>
            </w:pPr>
            <w:r>
              <w:rPr>
                <w:rFonts w:ascii="Times New Roman" w:cs="Times New Roman" w:eastAsia="Times New Roman" w:hAnsi="Times New Roman"/>
                <w:sz w:val="18"/>
                <w:szCs w:val="18"/>
                <w:color w:val="0000EE"/>
              </w:rPr>
              <w:t xml:space="preserve">Report of Independent Registered Public Accounting Firm </w:t>
            </w:r>
            <w:r>
              <w:rPr>
                <w:rFonts w:ascii="Times New Roman" w:cs="Times New Roman" w:eastAsia="Times New Roman" w:hAnsi="Times New Roman"/>
                <w:sz w:val="18"/>
                <w:szCs w:val="18"/>
                <w:color w:val="000000"/>
              </w:rPr>
              <w:t>(PCAOB ID No. 34)</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453"/>
        </w:trPr>
        <w:tc>
          <w:tcPr>
            <w:tcW w:w="4280" w:type="dxa"/>
            <w:vAlign w:val="bottom"/>
            <w:tcBorders>
              <w:top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auto"/>
              </w:rPr>
              <w:t>Financial Statements:</w:t>
            </w:r>
          </w:p>
        </w:tc>
        <w:tc>
          <w:tcPr>
            <w:tcW w:w="4900" w:type="dxa"/>
            <w:vAlign w:val="bottom"/>
            <w:gridSpan w:val="6"/>
          </w:tcPr>
          <w:p>
            <w:pPr>
              <w:spacing w:after="0"/>
              <w:rPr>
                <w:sz w:val="24"/>
                <w:szCs w:val="24"/>
                <w:color w:val="auto"/>
              </w:rPr>
            </w:pPr>
          </w:p>
        </w:tc>
        <w:tc>
          <w:tcPr>
            <w:tcW w:w="740" w:type="dxa"/>
            <w:vAlign w:val="bottom"/>
          </w:tcPr>
          <w:p>
            <w:pPr>
              <w:spacing w:after="0"/>
              <w:rPr>
                <w:sz w:val="24"/>
                <w:szCs w:val="24"/>
                <w:color w:val="auto"/>
              </w:rPr>
            </w:pPr>
          </w:p>
        </w:tc>
      </w:tr>
      <w:tr>
        <w:trPr>
          <w:trHeight w:val="392"/>
        </w:trPr>
        <w:tc>
          <w:tcPr>
            <w:tcW w:w="918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Consolidated Balance Sheets as of December 31, 2023 and January 1, 2023</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0"/>
        </w:trPr>
        <w:tc>
          <w:tcPr>
            <w:tcW w:w="140" w:type="dxa"/>
            <w:vAlign w:val="bottom"/>
            <w:shd w:val="clear" w:color="auto" w:fill="0000EE"/>
          </w:tcPr>
          <w:p>
            <w:pPr>
              <w:spacing w:after="0" w:line="20" w:lineRule="exact"/>
              <w:rPr>
                <w:sz w:val="1"/>
                <w:szCs w:val="1"/>
                <w:color w:val="auto"/>
              </w:rPr>
            </w:pPr>
          </w:p>
        </w:tc>
        <w:tc>
          <w:tcPr>
            <w:tcW w:w="268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80" w:type="dxa"/>
            <w:vAlign w:val="bottom"/>
            <w:gridSpan w:val="2"/>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412"/>
        </w:trPr>
        <w:tc>
          <w:tcPr>
            <w:tcW w:w="918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Consolidated Statements of Operations and Comprehensive Income (Loss) for the fiscal years ended December 31, 2023,</w:t>
            </w:r>
          </w:p>
        </w:tc>
        <w:tc>
          <w:tcPr>
            <w:tcW w:w="740" w:type="dxa"/>
            <w:vAlign w:val="bottom"/>
          </w:tcPr>
          <w:p>
            <w:pPr>
              <w:spacing w:after="0"/>
              <w:rPr>
                <w:sz w:val="24"/>
                <w:szCs w:val="24"/>
                <w:color w:val="auto"/>
              </w:rPr>
            </w:pPr>
          </w:p>
        </w:tc>
      </w:tr>
      <w:tr>
        <w:trPr>
          <w:trHeight w:val="196"/>
        </w:trPr>
        <w:tc>
          <w:tcPr>
            <w:tcW w:w="140" w:type="dxa"/>
            <w:vAlign w:val="bottom"/>
            <w:tcBorders>
              <w:top w:val="single" w:sz="8" w:color="0000EE"/>
            </w:tcBorders>
          </w:tcPr>
          <w:p>
            <w:pPr>
              <w:spacing w:after="0"/>
              <w:rPr>
                <w:sz w:val="17"/>
                <w:szCs w:val="17"/>
                <w:color w:val="auto"/>
              </w:rPr>
            </w:pPr>
          </w:p>
        </w:tc>
        <w:tc>
          <w:tcPr>
            <w:tcW w:w="8600" w:type="dxa"/>
            <w:vAlign w:val="bottom"/>
            <w:tcBorders>
              <w:top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January 1, 2023, and January 2, 2022</w:t>
            </w:r>
          </w:p>
        </w:tc>
        <w:tc>
          <w:tcPr>
            <w:tcW w:w="440" w:type="dxa"/>
            <w:vAlign w:val="bottom"/>
            <w:gridSpan w:val="3"/>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71</w:t>
            </w:r>
          </w:p>
        </w:tc>
      </w:tr>
      <w:tr>
        <w:trPr>
          <w:trHeight w:val="20"/>
        </w:trPr>
        <w:tc>
          <w:tcPr>
            <w:tcW w:w="140" w:type="dxa"/>
            <w:vAlign w:val="bottom"/>
          </w:tcPr>
          <w:p>
            <w:pPr>
              <w:spacing w:after="0" w:line="20" w:lineRule="exact"/>
              <w:rPr>
                <w:sz w:val="1"/>
                <w:szCs w:val="1"/>
                <w:color w:val="auto"/>
              </w:rPr>
            </w:pPr>
          </w:p>
        </w:tc>
        <w:tc>
          <w:tcPr>
            <w:tcW w:w="2680" w:type="dxa"/>
            <w:vAlign w:val="bottom"/>
            <w:gridSpan w:val="2"/>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760" w:type="dxa"/>
            <w:vAlign w:val="bottom"/>
            <w:gridSpan w:val="3"/>
          </w:tcPr>
          <w:p>
            <w:pPr>
              <w:spacing w:after="0" w:line="20" w:lineRule="exact"/>
              <w:rPr>
                <w:sz w:val="1"/>
                <w:szCs w:val="1"/>
                <w:color w:val="auto"/>
              </w:rPr>
            </w:pPr>
          </w:p>
        </w:tc>
        <w:tc>
          <w:tcPr>
            <w:tcW w:w="3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412"/>
        </w:trPr>
        <w:tc>
          <w:tcPr>
            <w:tcW w:w="900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9"/>
              </w:rPr>
              <w:t>Consolidated Statements of Redeemable Preferred Stock, Convertible Preferred Stock and Stockholders’ Equity (Deficit) for</w:t>
            </w: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96"/>
        </w:trPr>
        <w:tc>
          <w:tcPr>
            <w:tcW w:w="140" w:type="dxa"/>
            <w:vAlign w:val="bottom"/>
          </w:tcPr>
          <w:p>
            <w:pPr>
              <w:spacing w:after="0"/>
              <w:rPr>
                <w:sz w:val="17"/>
                <w:szCs w:val="17"/>
                <w:color w:val="auto"/>
              </w:rPr>
            </w:pPr>
          </w:p>
        </w:tc>
        <w:tc>
          <w:tcPr>
            <w:tcW w:w="904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the fiscal years ended December 31, 2023, January 1, 2023, and January 2, 2022</w:t>
            </w: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72</w:t>
            </w:r>
          </w:p>
        </w:tc>
      </w:tr>
      <w:tr>
        <w:trPr>
          <w:trHeight w:val="20"/>
        </w:trPr>
        <w:tc>
          <w:tcPr>
            <w:tcW w:w="140" w:type="dxa"/>
            <w:vAlign w:val="bottom"/>
          </w:tcPr>
          <w:p>
            <w:pPr>
              <w:spacing w:after="0" w:line="20" w:lineRule="exact"/>
              <w:rPr>
                <w:sz w:val="1"/>
                <w:szCs w:val="1"/>
                <w:color w:val="auto"/>
              </w:rPr>
            </w:pPr>
          </w:p>
        </w:tc>
        <w:tc>
          <w:tcPr>
            <w:tcW w:w="3020" w:type="dxa"/>
            <w:vAlign w:val="bottom"/>
            <w:gridSpan w:val="3"/>
            <w:shd w:val="clear" w:color="auto" w:fill="0000EE"/>
          </w:tcPr>
          <w:p>
            <w:pPr>
              <w:spacing w:after="0" w:line="20" w:lineRule="exact"/>
              <w:rPr>
                <w:sz w:val="1"/>
                <w:szCs w:val="1"/>
                <w:color w:val="auto"/>
              </w:rPr>
            </w:pPr>
          </w:p>
        </w:tc>
        <w:tc>
          <w:tcPr>
            <w:tcW w:w="2760" w:type="dxa"/>
            <w:vAlign w:val="bottom"/>
            <w:gridSpan w:val="3"/>
            <w:shd w:val="clear" w:color="auto" w:fill="0000EE"/>
          </w:tcPr>
          <w:p>
            <w:pPr>
              <w:spacing w:after="0" w:line="20" w:lineRule="exact"/>
              <w:rPr>
                <w:sz w:val="1"/>
                <w:szCs w:val="1"/>
                <w:color w:val="auto"/>
              </w:rPr>
            </w:pPr>
          </w:p>
        </w:tc>
        <w:tc>
          <w:tcPr>
            <w:tcW w:w="30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412"/>
        </w:trPr>
        <w:tc>
          <w:tcPr>
            <w:tcW w:w="918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Consolidated Statements of Cash Flows for the fiscal years ended December 31, 2023, January 1, 2023, and January 2, 2022</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412"/>
        </w:trPr>
        <w:tc>
          <w:tcPr>
            <w:tcW w:w="3160" w:type="dxa"/>
            <w:vAlign w:val="bottom"/>
            <w:tcBorders>
              <w:top w:val="single" w:sz="8" w:color="0000EE"/>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Notes to Consolidated Financial Statements</w:t>
            </w:r>
          </w:p>
        </w:tc>
        <w:tc>
          <w:tcPr>
            <w:tcW w:w="5800" w:type="dxa"/>
            <w:vAlign w:val="bottom"/>
            <w:tcBorders>
              <w:top w:val="single" w:sz="8" w:color="0000EE"/>
            </w:tcBorders>
            <w:gridSpan w:val="5"/>
          </w:tcPr>
          <w:p>
            <w:pPr>
              <w:spacing w:after="0"/>
              <w:rPr>
                <w:sz w:val="24"/>
                <w:szCs w:val="24"/>
                <w:color w:val="auto"/>
              </w:rPr>
            </w:pPr>
          </w:p>
        </w:tc>
        <w:tc>
          <w:tcPr>
            <w:tcW w:w="220" w:type="dxa"/>
            <w:vAlign w:val="bottom"/>
            <w:gridSpan w:val="2"/>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00" w:right="99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Lulu’s Fashion Lounge Holdings,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Lulu’s Fashion Lounge Holdings, Inc. and subsidiaries (the "Company") as of December 31, 2023 and January 1, 2023, the related consolidated statements of operations and comprehensive income (loss), redeemable preferred stock, convertible preferred stock and stockholders’ equity (deficit), and cash flows, for each of the three years in the period ended December 31, 2023, and the related notes (collectively referred to as the "financial statements"). In our opinion, the financial statements present fairly, in all material respects, the financial position of the Company as of December 31, 2023 and January 1, 2023, and the results of its operations and its cash flows for each of the three years in the period ended December 31, 2023, in conformity with accounting principles generally accepted in the United States of America.</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Francisco,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6, 2024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LULU’S FASHION LOUNGE HOLDINGS,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7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right"/>
              <w:ind w:right="269"/>
              <w:spacing w:after="0"/>
              <w:rPr>
                <w:sz w:val="20"/>
                <w:szCs w:val="20"/>
                <w:color w:val="auto"/>
              </w:rPr>
            </w:pPr>
            <w:r>
              <w:rPr>
                <w:rFonts w:ascii="Times New Roman" w:cs="Times New Roman" w:eastAsia="Times New Roman" w:hAnsi="Times New Roman"/>
                <w:sz w:val="13"/>
                <w:szCs w:val="13"/>
                <w:b w:val="1"/>
                <w:bCs w:val="1"/>
                <w:color w:val="auto"/>
              </w:rPr>
              <w:t>January 1,</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1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3"/>
                <w:szCs w:val="13"/>
                <w:b w:val="1"/>
                <w:bCs w:val="1"/>
                <w:color w:val="auto"/>
              </w:rPr>
              <w:t>2023</w:t>
            </w:r>
          </w:p>
        </w:tc>
        <w:tc>
          <w:tcPr>
            <w:tcW w:w="12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29"/>
              <w:spacing w:after="0"/>
              <w:rPr>
                <w:sz w:val="20"/>
                <w:szCs w:val="20"/>
                <w:color w:val="auto"/>
              </w:rPr>
            </w:pPr>
            <w:r>
              <w:rPr>
                <w:rFonts w:ascii="Times New Roman" w:cs="Times New Roman" w:eastAsia="Times New Roman" w:hAnsi="Times New Roman"/>
                <w:sz w:val="13"/>
                <w:szCs w:val="13"/>
                <w:b w:val="1"/>
                <w:bCs w:val="1"/>
                <w:color w:val="auto"/>
              </w:rPr>
              <w:t>2023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8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Assets</w:t>
            </w: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1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Current assets:</w:t>
            </w: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18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1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2,506</w:t>
            </w:r>
          </w:p>
        </w:tc>
        <w:tc>
          <w:tcPr>
            <w:tcW w:w="12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83"/>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10,219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18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Accounts receivable</w:t>
            </w:r>
          </w:p>
        </w:tc>
        <w:tc>
          <w:tcPr>
            <w:tcW w:w="16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3,542</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3,908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18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Inventory, net</w:t>
            </w: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35,472</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43,186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18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Assets for recovery</w:t>
            </w:r>
          </w:p>
        </w:tc>
        <w:tc>
          <w:tcPr>
            <w:tcW w:w="16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3,111</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3,890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Income tax refund receivable</w:t>
            </w: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2,510</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4,078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180" w:type="dxa"/>
            <w:vAlign w:val="bottom"/>
            <w:tcBorders>
              <w:bottom w:val="single" w:sz="8" w:color="CCEEFF"/>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Prepaids and other current assets</w:t>
            </w:r>
          </w:p>
        </w:tc>
        <w:tc>
          <w:tcPr>
            <w:tcW w:w="1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5,379</w:t>
            </w:r>
          </w:p>
        </w:tc>
        <w:tc>
          <w:tcPr>
            <w:tcW w:w="12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3,738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80" w:type="dxa"/>
            <w:vAlign w:val="bottom"/>
            <w:shd w:val="clear" w:color="auto" w:fill="CCEEFF"/>
          </w:tcPr>
          <w:p>
            <w:pPr>
              <w:ind w:left="320"/>
              <w:spacing w:after="0" w:line="142" w:lineRule="exact"/>
              <w:rPr>
                <w:sz w:val="20"/>
                <w:szCs w:val="20"/>
                <w:color w:val="auto"/>
              </w:rPr>
            </w:pPr>
            <w:r>
              <w:rPr>
                <w:rFonts w:ascii="Times New Roman" w:cs="Times New Roman" w:eastAsia="Times New Roman" w:hAnsi="Times New Roman"/>
                <w:sz w:val="14"/>
                <w:szCs w:val="14"/>
                <w:color w:val="auto"/>
              </w:rPr>
              <w:t>Total current assets</w:t>
            </w: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52,520</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69,019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1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Property and equipment, net</w:t>
            </w:r>
          </w:p>
        </w:tc>
        <w:tc>
          <w:tcPr>
            <w:tcW w:w="16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4,712</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4,391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Goodwill</w:t>
            </w: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35,430</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35,430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1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Tradename</w:t>
            </w:r>
          </w:p>
        </w:tc>
        <w:tc>
          <w:tcPr>
            <w:tcW w:w="16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18,509</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18,509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1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Intangible assets, net</w:t>
            </w: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3,263</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3,090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1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Lease right-of-use assets</w:t>
            </w:r>
          </w:p>
        </w:tc>
        <w:tc>
          <w:tcPr>
            <w:tcW w:w="16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29,516</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32,514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1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 noncurrent assets</w:t>
            </w:r>
          </w:p>
        </w:tc>
        <w:tc>
          <w:tcPr>
            <w:tcW w:w="16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5,495</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4,251</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180" w:type="dxa"/>
            <w:vAlign w:val="bottom"/>
            <w:tcBorders>
              <w:bottom w:val="single" w:sz="8" w:color="CCEEFF"/>
            </w:tcBorders>
          </w:tcPr>
          <w:p>
            <w:pPr>
              <w:ind w:left="200"/>
              <w:spacing w:after="0" w:line="142" w:lineRule="exact"/>
              <w:rPr>
                <w:sz w:val="20"/>
                <w:szCs w:val="20"/>
                <w:color w:val="auto"/>
              </w:rPr>
            </w:pPr>
            <w:r>
              <w:rPr>
                <w:rFonts w:ascii="Times New Roman" w:cs="Times New Roman" w:eastAsia="Times New Roman" w:hAnsi="Times New Roman"/>
                <w:sz w:val="14"/>
                <w:szCs w:val="14"/>
                <w:color w:val="auto"/>
              </w:rPr>
              <w:t>Total assets</w:t>
            </w:r>
          </w:p>
        </w:tc>
        <w:tc>
          <w:tcPr>
            <w:tcW w:w="160" w:type="dxa"/>
            <w:vAlign w:val="bottom"/>
            <w:tcBorders>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149,445</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167,204</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7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18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1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Current liabilities:</w:t>
            </w: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18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1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8,900</w:t>
            </w:r>
          </w:p>
        </w:tc>
        <w:tc>
          <w:tcPr>
            <w:tcW w:w="120" w:type="dxa"/>
            <w:vAlign w:val="bottom"/>
          </w:tcPr>
          <w:p>
            <w:pPr>
              <w:spacing w:after="0"/>
              <w:rPr>
                <w:sz w:val="12"/>
                <w:szCs w:val="12"/>
                <w:color w:val="auto"/>
              </w:rPr>
            </w:pPr>
          </w:p>
        </w:tc>
        <w:tc>
          <w:tcPr>
            <w:tcW w:w="340" w:type="dxa"/>
            <w:vAlign w:val="bottom"/>
            <w:gridSpan w:val="2"/>
          </w:tcPr>
          <w:p>
            <w:pPr>
              <w:jc w:val="right"/>
              <w:ind w:right="83"/>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5,320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18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18,343</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17,976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18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Returns reserve</w:t>
            </w:r>
          </w:p>
        </w:tc>
        <w:tc>
          <w:tcPr>
            <w:tcW w:w="16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7,854</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9,066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Stored-value card liability</w:t>
            </w: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13,142</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10,828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18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Revolving line of credit</w:t>
            </w:r>
          </w:p>
        </w:tc>
        <w:tc>
          <w:tcPr>
            <w:tcW w:w="16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8,000</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18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Lease liabilities, current</w:t>
            </w:r>
          </w:p>
        </w:tc>
        <w:tc>
          <w:tcPr>
            <w:tcW w:w="16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5,648</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4,456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80" w:type="dxa"/>
            <w:vAlign w:val="bottom"/>
          </w:tcPr>
          <w:p>
            <w:pPr>
              <w:ind w:left="320"/>
              <w:spacing w:after="0" w:line="142" w:lineRule="exact"/>
              <w:rPr>
                <w:sz w:val="20"/>
                <w:szCs w:val="20"/>
                <w:color w:val="auto"/>
              </w:rPr>
            </w:pPr>
            <w:r>
              <w:rPr>
                <w:rFonts w:ascii="Times New Roman" w:cs="Times New Roman" w:eastAsia="Times New Roman" w:hAnsi="Times New Roman"/>
                <w:sz w:val="14"/>
                <w:szCs w:val="14"/>
                <w:color w:val="auto"/>
              </w:rPr>
              <w:t>Total current liabilities</w:t>
            </w:r>
          </w:p>
        </w:tc>
        <w:tc>
          <w:tcPr>
            <w:tcW w:w="160" w:type="dxa"/>
            <w:vAlign w:val="bottom"/>
          </w:tcPr>
          <w:p>
            <w:pPr>
              <w:spacing w:after="0"/>
              <w:rPr>
                <w:sz w:val="12"/>
                <w:szCs w:val="12"/>
                <w:color w:val="auto"/>
              </w:rPr>
            </w:pPr>
          </w:p>
        </w:tc>
        <w:tc>
          <w:tcPr>
            <w:tcW w:w="10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61,887</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47,646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Revolving line of credit, noncurrent</w:t>
            </w: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25,000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1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Lease liabilities, noncurrent</w:t>
            </w:r>
          </w:p>
        </w:tc>
        <w:tc>
          <w:tcPr>
            <w:tcW w:w="16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25,427</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29,042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 noncurrent liabilities</w:t>
            </w:r>
          </w:p>
        </w:tc>
        <w:tc>
          <w:tcPr>
            <w:tcW w:w="16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1,179</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623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80" w:type="dxa"/>
            <w:vAlign w:val="bottom"/>
            <w:tcBorders>
              <w:bottom w:val="single" w:sz="8" w:color="CCEEFF"/>
            </w:tcBorders>
          </w:tcPr>
          <w:p>
            <w:pPr>
              <w:ind w:left="200"/>
              <w:spacing w:after="0" w:line="142" w:lineRule="exact"/>
              <w:rPr>
                <w:sz w:val="20"/>
                <w:szCs w:val="20"/>
                <w:color w:val="auto"/>
              </w:rPr>
            </w:pPr>
            <w:r>
              <w:rPr>
                <w:rFonts w:ascii="Times New Roman" w:cs="Times New Roman" w:eastAsia="Times New Roman" w:hAnsi="Times New Roman"/>
                <w:sz w:val="14"/>
                <w:szCs w:val="14"/>
                <w:color w:val="auto"/>
              </w:rPr>
              <w:t>Total liabilities</w:t>
            </w:r>
          </w:p>
        </w:tc>
        <w:tc>
          <w:tcPr>
            <w:tcW w:w="1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88,493</w:t>
            </w:r>
          </w:p>
        </w:tc>
        <w:tc>
          <w:tcPr>
            <w:tcW w:w="12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102,311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8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Commitments and Contingencies (Note 7)</w:t>
            </w: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7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71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Stockholders' equity:</w:t>
            </w: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Preferred stock: $0.001 par value, 10,000,000 shares authorized, and no shares issued or outstanding</w:t>
            </w:r>
          </w:p>
        </w:tc>
        <w:tc>
          <w:tcPr>
            <w:tcW w:w="160" w:type="dxa"/>
            <w:vAlign w:val="bottom"/>
          </w:tcPr>
          <w:p>
            <w:pPr>
              <w:spacing w:after="0"/>
              <w:rPr>
                <w:sz w:val="12"/>
                <w:szCs w:val="12"/>
                <w:color w:val="auto"/>
              </w:rPr>
            </w:pPr>
          </w:p>
        </w:tc>
        <w:tc>
          <w:tcPr>
            <w:tcW w:w="11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180" w:type="dxa"/>
            <w:vAlign w:val="bottom"/>
            <w:shd w:val="clear" w:color="auto" w:fill="CCEEFF"/>
          </w:tcPr>
          <w:p>
            <w:pPr>
              <w:ind w:left="100"/>
              <w:spacing w:after="0" w:line="126" w:lineRule="exact"/>
              <w:rPr>
                <w:sz w:val="20"/>
                <w:szCs w:val="20"/>
                <w:color w:val="auto"/>
              </w:rPr>
            </w:pPr>
            <w:r>
              <w:rPr>
                <w:rFonts w:ascii="Times New Roman" w:cs="Times New Roman" w:eastAsia="Times New Roman" w:hAnsi="Times New Roman"/>
                <w:sz w:val="14"/>
                <w:szCs w:val="14"/>
                <w:color w:val="auto"/>
              </w:rPr>
              <w:t>Common stock: $0.001 par value, 250,000,000 shares authorized; and 40,618,206 and 39,259,328 shares issued and</w:t>
            </w:r>
          </w:p>
        </w:tc>
        <w:tc>
          <w:tcPr>
            <w:tcW w:w="160" w:type="dxa"/>
            <w:vAlign w:val="bottom"/>
            <w:shd w:val="clear" w:color="auto" w:fill="CCEEFF"/>
          </w:tcPr>
          <w:p>
            <w:pPr>
              <w:spacing w:after="0"/>
              <w:rPr>
                <w:sz w:val="10"/>
                <w:szCs w:val="10"/>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outstanding as of December 31, 2023 and January 1, 2023, respectively</w:t>
            </w:r>
          </w:p>
        </w:tc>
        <w:tc>
          <w:tcPr>
            <w:tcW w:w="160" w:type="dxa"/>
            <w:vAlign w:val="bottom"/>
            <w:shd w:val="clear" w:color="auto" w:fill="CCEEFF"/>
          </w:tcPr>
          <w:p>
            <w:pPr>
              <w:spacing w:after="0"/>
              <w:rPr>
                <w:sz w:val="14"/>
                <w:szCs w:val="14"/>
                <w:color w:val="auto"/>
              </w:rPr>
            </w:pPr>
          </w:p>
        </w:tc>
        <w:tc>
          <w:tcPr>
            <w:tcW w:w="106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Additional paid-in capital</w:t>
            </w:r>
          </w:p>
        </w:tc>
        <w:tc>
          <w:tcPr>
            <w:tcW w:w="16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254,116</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238,725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18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Accumulated deficit</w:t>
            </w: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(193,205)</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(173,871)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80" w:type="dxa"/>
            <w:vAlign w:val="bottom"/>
            <w:tcBorders>
              <w:bottom w:val="single" w:sz="8" w:color="CCEEFF"/>
            </w:tcBorders>
          </w:tcPr>
          <w:p>
            <w:pPr>
              <w:ind w:left="200"/>
              <w:spacing w:after="0" w:line="142" w:lineRule="exact"/>
              <w:rPr>
                <w:sz w:val="20"/>
                <w:szCs w:val="20"/>
                <w:color w:val="auto"/>
              </w:rPr>
            </w:pPr>
            <w:r>
              <w:rPr>
                <w:rFonts w:ascii="Times New Roman" w:cs="Times New Roman" w:eastAsia="Times New Roman" w:hAnsi="Times New Roman"/>
                <w:sz w:val="14"/>
                <w:szCs w:val="14"/>
                <w:color w:val="auto"/>
              </w:rPr>
              <w:t>Total stockholders' equity</w:t>
            </w:r>
          </w:p>
        </w:tc>
        <w:tc>
          <w:tcPr>
            <w:tcW w:w="16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60,952</w:t>
            </w:r>
          </w:p>
        </w:tc>
        <w:tc>
          <w:tcPr>
            <w:tcW w:w="12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64,893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80" w:type="dxa"/>
            <w:vAlign w:val="bottom"/>
            <w:tcBorders>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Total liabilities and stockholders' equity</w:t>
            </w:r>
          </w:p>
        </w:tc>
        <w:tc>
          <w:tcPr>
            <w:tcW w:w="160" w:type="dxa"/>
            <w:vAlign w:val="bottom"/>
            <w:tcBorders>
              <w:bottom w:val="single" w:sz="8" w:color="auto"/>
            </w:tcBorders>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149,445</w:t>
            </w:r>
          </w:p>
        </w:tc>
        <w:tc>
          <w:tcPr>
            <w:tcW w:w="1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167,204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8"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LULU’S FASHION LOUNGE HOLDINGS,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Income (Loss)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7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Fiscal Years Ended</w:t>
            </w: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gridSpan w:val="2"/>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20" w:type="dxa"/>
            <w:vAlign w:val="bottom"/>
            <w:gridSpan w:val="2"/>
          </w:tcPr>
          <w:p>
            <w:pPr>
              <w:jc w:val="center"/>
              <w:ind w:right="380"/>
              <w:spacing w:after="0" w:line="118" w:lineRule="exact"/>
              <w:rPr>
                <w:sz w:val="20"/>
                <w:szCs w:val="20"/>
                <w:color w:val="auto"/>
              </w:rPr>
            </w:pPr>
            <w:r>
              <w:rPr>
                <w:rFonts w:ascii="Times New Roman" w:cs="Times New Roman" w:eastAsia="Times New Roman" w:hAnsi="Times New Roman"/>
                <w:sz w:val="13"/>
                <w:szCs w:val="13"/>
                <w:b w:val="1"/>
                <w:bCs w:val="1"/>
                <w:color w:val="auto"/>
              </w:rPr>
              <w:t>January 1,</w:t>
            </w:r>
          </w:p>
        </w:tc>
        <w:tc>
          <w:tcPr>
            <w:tcW w:w="160" w:type="dxa"/>
            <w:vAlign w:val="bottom"/>
          </w:tcPr>
          <w:p>
            <w:pPr>
              <w:spacing w:after="0"/>
              <w:rPr>
                <w:sz w:val="10"/>
                <w:szCs w:val="10"/>
                <w:color w:val="auto"/>
              </w:rPr>
            </w:pPr>
          </w:p>
        </w:tc>
        <w:tc>
          <w:tcPr>
            <w:tcW w:w="1100" w:type="dxa"/>
            <w:vAlign w:val="bottom"/>
          </w:tcPr>
          <w:p>
            <w:pPr>
              <w:jc w:val="center"/>
              <w:ind w:right="73"/>
              <w:spacing w:after="0" w:line="118" w:lineRule="exact"/>
              <w:rPr>
                <w:sz w:val="20"/>
                <w:szCs w:val="20"/>
                <w:color w:val="auto"/>
              </w:rPr>
            </w:pPr>
            <w:r>
              <w:rPr>
                <w:rFonts w:ascii="Times New Roman" w:cs="Times New Roman" w:eastAsia="Times New Roman" w:hAnsi="Times New Roman"/>
                <w:sz w:val="13"/>
                <w:szCs w:val="13"/>
                <w:b w:val="1"/>
                <w:bCs w:val="1"/>
                <w:color w:val="auto"/>
              </w:rPr>
              <w:t>January 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jc w:val="center"/>
              <w:ind w:right="53"/>
              <w:spacing w:after="0" w:line="149"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jc w:val="center"/>
              <w:ind w:right="73"/>
              <w:spacing w:after="0" w:line="149"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center"/>
              <w:ind w:right="73"/>
              <w:spacing w:after="0" w:line="149" w:lineRule="exact"/>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(52 weeks)</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(52 weeks)</w:t>
            </w:r>
          </w:p>
        </w:tc>
        <w:tc>
          <w:tcPr>
            <w:tcW w:w="160" w:type="dxa"/>
            <w:vAlign w:val="bottom"/>
          </w:tcPr>
          <w:p>
            <w:pPr>
              <w:spacing w:after="0"/>
              <w:rPr>
                <w:sz w:val="15"/>
                <w:szCs w:val="15"/>
                <w:color w:val="auto"/>
              </w:rPr>
            </w:pP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(52 weeks)</w:t>
            </w:r>
          </w:p>
        </w:tc>
        <w:tc>
          <w:tcPr>
            <w:tcW w:w="0" w:type="dxa"/>
            <w:vAlign w:val="bottom"/>
          </w:tcPr>
          <w:p>
            <w:pPr>
              <w:spacing w:after="0"/>
              <w:rPr>
                <w:sz w:val="1"/>
                <w:szCs w:val="1"/>
                <w:color w:val="auto"/>
              </w:rPr>
            </w:pPr>
          </w:p>
        </w:tc>
      </w:tr>
      <w:tr>
        <w:trPr>
          <w:trHeight w:val="210"/>
        </w:trPr>
        <w:tc>
          <w:tcPr>
            <w:tcW w:w="5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355,175</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439,652</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375,625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206,949</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248,206</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198,893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Gross profit</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148,226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191,446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176,732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76,312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83,559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92,129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99,148</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(20,215)</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8,739</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4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income, net</w:t>
            </w:r>
          </w:p>
        </w:tc>
        <w:tc>
          <w:tcPr>
            <w:tcW w:w="14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Income (loss) before provision (benefit) for income taxes</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(21,010)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(1,676)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and comprehensive income (loss)</w:t>
            </w: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(19,334)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3,725</w:t>
            </w: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Deemed dividend to preferred stockholders</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Stock dividend issued to LP</w:t>
            </w:r>
          </w:p>
        </w:tc>
        <w:tc>
          <w:tcPr>
            <w:tcW w:w="14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Deemed contribution from redemption of redeemable preferred stock</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7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income (loss) attributable to common stockholders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(19,334)</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3,725</w:t>
            </w:r>
          </w:p>
        </w:tc>
        <w:tc>
          <w:tcPr>
            <w:tcW w:w="2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(122,948)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5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Basic earnings (loss) per share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(0.48)</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2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5720" w:type="dxa"/>
            <w:vAlign w:val="bottom"/>
            <w:tcBorders>
              <w:top w:val="single" w:sz="8" w:color="CCEEFF"/>
              <w:bottom w:val="single" w:sz="8" w:color="CCEEFF"/>
            </w:tcBorders>
            <w:shd w:val="clear" w:color="auto" w:fill="CCEEFF"/>
          </w:tcPr>
          <w:p>
            <w:pPr>
              <w:ind w:left="60"/>
              <w:spacing w:after="0" w:line="196" w:lineRule="exact"/>
              <w:rPr>
                <w:sz w:val="20"/>
                <w:szCs w:val="20"/>
                <w:color w:val="auto"/>
              </w:rPr>
            </w:pPr>
            <w:r>
              <w:rPr>
                <w:rFonts w:ascii="Times New Roman" w:cs="Times New Roman" w:eastAsia="Times New Roman" w:hAnsi="Times New Roman"/>
                <w:sz w:val="18"/>
                <w:szCs w:val="18"/>
                <w:color w:val="auto"/>
              </w:rPr>
              <w:t>Diluted earnings (loss) per share</w:t>
            </w: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(0.48)</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0.10</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(6.08)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7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Basic weighted-average shares outstanding</w:t>
            </w: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72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39,879,121</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38,583,854</w:t>
            </w:r>
          </w:p>
        </w:tc>
        <w:tc>
          <w:tcPr>
            <w:tcW w:w="2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20,229,675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5720" w:type="dxa"/>
            <w:vAlign w:val="bottom"/>
            <w:tcBorders>
              <w:bottom w:val="single" w:sz="8" w:color="CCEEFF"/>
            </w:tcBorders>
            <w:shd w:val="clear" w:color="auto" w:fill="CCEEFF"/>
          </w:tcPr>
          <w:p>
            <w:pPr>
              <w:ind w:left="60"/>
              <w:spacing w:after="0" w:line="196" w:lineRule="exact"/>
              <w:rPr>
                <w:sz w:val="20"/>
                <w:szCs w:val="20"/>
                <w:color w:val="auto"/>
              </w:rPr>
            </w:pPr>
            <w:r>
              <w:rPr>
                <w:rFonts w:ascii="Times New Roman" w:cs="Times New Roman" w:eastAsia="Times New Roman" w:hAnsi="Times New Roman"/>
                <w:sz w:val="18"/>
                <w:szCs w:val="18"/>
                <w:color w:val="auto"/>
              </w:rPr>
              <w:t>Diluted weighted-average shares outstanding</w:t>
            </w:r>
          </w:p>
        </w:tc>
        <w:tc>
          <w:tcPr>
            <w:tcW w:w="1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39,879,121</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38,853,393</w:t>
            </w:r>
          </w:p>
        </w:tc>
        <w:tc>
          <w:tcPr>
            <w:tcW w:w="2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20,229,675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86"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b w:val="1"/>
          <w:bCs w:val="1"/>
          <w:color w:val="auto"/>
        </w:rPr>
        <w:t>LULU’S FASHION LOUNGE HOLDINGS, INC.</w:t>
      </w:r>
    </w:p>
    <w:p>
      <w:pPr>
        <w:spacing w:after="0" w:line="90"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b w:val="1"/>
          <w:bCs w:val="1"/>
          <w:color w:val="auto"/>
        </w:rPr>
        <w:t>Consolidated Statements of Redeemable Preferred Stock, Convertible Preferred Stock and Stockholders’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Equity (Deficit)</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49"/>
        </w:trPr>
        <w:tc>
          <w:tcPr>
            <w:tcW w:w="2400" w:type="dxa"/>
            <w:vAlign w:val="bottom"/>
          </w:tcPr>
          <w:p>
            <w:pPr>
              <w:spacing w:after="0"/>
              <w:rPr>
                <w:sz w:val="12"/>
                <w:szCs w:val="12"/>
                <w:color w:val="auto"/>
              </w:rPr>
            </w:pPr>
          </w:p>
        </w:tc>
        <w:tc>
          <w:tcPr>
            <w:tcW w:w="1720" w:type="dxa"/>
            <w:vAlign w:val="bottom"/>
            <w:gridSpan w:val="5"/>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Redeemable Preferred Stock</w:t>
            </w:r>
          </w:p>
        </w:tc>
        <w:tc>
          <w:tcPr>
            <w:tcW w:w="1780" w:type="dxa"/>
            <w:vAlign w:val="bottom"/>
            <w:tcBorders>
              <w:right w:val="single" w:sz="8" w:color="auto"/>
            </w:tcBorders>
            <w:gridSpan w:val="7"/>
          </w:tcPr>
          <w:p>
            <w:pPr>
              <w:ind w:left="60"/>
              <w:spacing w:after="0"/>
              <w:rPr>
                <w:sz w:val="20"/>
                <w:szCs w:val="20"/>
                <w:color w:val="auto"/>
              </w:rPr>
            </w:pPr>
            <w:r>
              <w:rPr>
                <w:rFonts w:ascii="Times New Roman" w:cs="Times New Roman" w:eastAsia="Times New Roman" w:hAnsi="Times New Roman"/>
                <w:sz w:val="13"/>
                <w:szCs w:val="13"/>
                <w:b w:val="1"/>
                <w:bCs w:val="1"/>
                <w:color w:val="auto"/>
              </w:rPr>
              <w:t>Convertible Preferred Stock</w:t>
            </w:r>
          </w:p>
        </w:tc>
        <w:tc>
          <w:tcPr>
            <w:tcW w:w="80" w:type="dxa"/>
            <w:vAlign w:val="bottom"/>
          </w:tcPr>
          <w:p>
            <w:pPr>
              <w:spacing w:after="0"/>
              <w:rPr>
                <w:sz w:val="12"/>
                <w:szCs w:val="12"/>
                <w:color w:val="auto"/>
              </w:rPr>
            </w:pPr>
          </w:p>
        </w:tc>
        <w:tc>
          <w:tcPr>
            <w:tcW w:w="1440" w:type="dxa"/>
            <w:vAlign w:val="bottom"/>
            <w:gridSpan w:val="4"/>
          </w:tcPr>
          <w:p>
            <w:pPr>
              <w:jc w:val="right"/>
              <w:ind w:right="213"/>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980" w:type="dxa"/>
            <w:vAlign w:val="bottom"/>
            <w:gridSpan w:val="4"/>
          </w:tcPr>
          <w:p>
            <w:pPr>
              <w:ind w:left="8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90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Stockholders'</w:t>
            </w:r>
          </w:p>
        </w:tc>
      </w:tr>
      <w:tr>
        <w:trPr>
          <w:trHeight w:val="142"/>
        </w:trPr>
        <w:tc>
          <w:tcPr>
            <w:tcW w:w="2400" w:type="dxa"/>
            <w:vAlign w:val="bottom"/>
          </w:tcPr>
          <w:p>
            <w:pPr>
              <w:spacing w:after="0"/>
              <w:rPr>
                <w:sz w:val="12"/>
                <w:szCs w:val="12"/>
                <w:color w:val="auto"/>
              </w:rPr>
            </w:pPr>
          </w:p>
        </w:tc>
        <w:tc>
          <w:tcPr>
            <w:tcW w:w="840" w:type="dxa"/>
            <w:vAlign w:val="bottom"/>
            <w:tcBorders>
              <w:top w:val="single" w:sz="8" w:color="auto"/>
            </w:tcBorders>
            <w:gridSpan w:val="2"/>
          </w:tcPr>
          <w:p>
            <w:pPr>
              <w:ind w:left="140"/>
              <w:spacing w:after="0" w:line="142" w:lineRule="exact"/>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93"/>
              <w:spacing w:after="0" w:line="142" w:lineRule="exact"/>
              <w:rPr>
                <w:sz w:val="20"/>
                <w:szCs w:val="20"/>
                <w:color w:val="auto"/>
              </w:rPr>
            </w:pPr>
            <w:r>
              <w:rPr>
                <w:rFonts w:ascii="Times New Roman" w:cs="Times New Roman" w:eastAsia="Times New Roman" w:hAnsi="Times New Roman"/>
                <w:sz w:val="13"/>
                <w:szCs w:val="13"/>
                <w:b w:val="1"/>
                <w:bCs w:val="1"/>
                <w:color w:val="auto"/>
              </w:rPr>
              <w:t>Amount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Borders>
              <w:top w:val="single" w:sz="8" w:color="auto"/>
            </w:tcBorders>
            <w:gridSpan w:val="2"/>
          </w:tcPr>
          <w:p>
            <w:pPr>
              <w:jc w:val="right"/>
              <w:ind w:right="220"/>
              <w:spacing w:after="0" w:line="142" w:lineRule="exact"/>
              <w:rPr>
                <w:sz w:val="20"/>
                <w:szCs w:val="20"/>
                <w:color w:val="auto"/>
              </w:rPr>
            </w:pPr>
            <w:r>
              <w:rPr>
                <w:rFonts w:ascii="Times New Roman" w:cs="Times New Roman" w:eastAsia="Times New Roman" w:hAnsi="Times New Roman"/>
                <w:sz w:val="13"/>
                <w:szCs w:val="13"/>
                <w:b w:val="1"/>
                <w:bCs w:val="1"/>
                <w:color w:val="auto"/>
              </w:rPr>
              <w:t>Shares</w:t>
            </w: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93"/>
              <w:spacing w:after="0" w:line="142" w:lineRule="exact"/>
              <w:rPr>
                <w:sz w:val="20"/>
                <w:szCs w:val="20"/>
                <w:color w:val="auto"/>
              </w:rPr>
            </w:pPr>
            <w:r>
              <w:rPr>
                <w:rFonts w:ascii="Times New Roman" w:cs="Times New Roman" w:eastAsia="Times New Roman" w:hAnsi="Times New Roman"/>
                <w:sz w:val="13"/>
                <w:szCs w:val="13"/>
                <w:b w:val="1"/>
                <w:bCs w:val="1"/>
                <w:color w:val="auto"/>
              </w:rPr>
              <w:t>Amount</w:t>
            </w: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Borders>
              <w:top w:val="single" w:sz="8" w:color="auto"/>
            </w:tcBorders>
            <w:gridSpan w:val="2"/>
          </w:tcPr>
          <w:p>
            <w:pPr>
              <w:jc w:val="right"/>
              <w:ind w:right="280"/>
              <w:spacing w:after="0" w:line="142" w:lineRule="exact"/>
              <w:rPr>
                <w:sz w:val="20"/>
                <w:szCs w:val="20"/>
                <w:color w:val="auto"/>
              </w:rPr>
            </w:pPr>
            <w:r>
              <w:rPr>
                <w:rFonts w:ascii="Times New Roman" w:cs="Times New Roman" w:eastAsia="Times New Roman" w:hAnsi="Times New Roman"/>
                <w:sz w:val="13"/>
                <w:szCs w:val="13"/>
                <w:b w:val="1"/>
                <w:bCs w:val="1"/>
                <w:color w:val="auto"/>
              </w:rPr>
              <w:t>Shares</w:t>
            </w:r>
          </w:p>
        </w:tc>
        <w:tc>
          <w:tcPr>
            <w:tcW w:w="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3"/>
              <w:spacing w:after="0" w:line="142" w:lineRule="exact"/>
              <w:rPr>
                <w:sz w:val="20"/>
                <w:szCs w:val="20"/>
                <w:color w:val="auto"/>
              </w:rPr>
            </w:pPr>
            <w:r>
              <w:rPr>
                <w:rFonts w:ascii="Times New Roman" w:cs="Times New Roman" w:eastAsia="Times New Roman" w:hAnsi="Times New Roman"/>
                <w:sz w:val="13"/>
                <w:szCs w:val="13"/>
                <w:b w:val="1"/>
                <w:bCs w:val="1"/>
                <w:color w:val="auto"/>
              </w:rPr>
              <w:t>Amount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200"/>
              <w:spacing w:after="0" w:line="142" w:lineRule="exact"/>
              <w:rPr>
                <w:sz w:val="20"/>
                <w:szCs w:val="20"/>
                <w:color w:val="auto"/>
              </w:rPr>
            </w:pPr>
            <w:r>
              <w:rPr>
                <w:rFonts w:ascii="Times New Roman" w:cs="Times New Roman" w:eastAsia="Times New Roman" w:hAnsi="Times New Roman"/>
                <w:sz w:val="13"/>
                <w:szCs w:val="13"/>
                <w:b w:val="1"/>
                <w:bCs w:val="1"/>
                <w:color w:val="auto"/>
              </w:rPr>
              <w:t>Capital</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340"/>
              <w:spacing w:after="0" w:line="142" w:lineRule="exact"/>
              <w:rPr>
                <w:sz w:val="20"/>
                <w:szCs w:val="20"/>
                <w:color w:val="auto"/>
              </w:rPr>
            </w:pPr>
            <w:r>
              <w:rPr>
                <w:rFonts w:ascii="Times New Roman" w:cs="Times New Roman" w:eastAsia="Times New Roman" w:hAnsi="Times New Roman"/>
                <w:sz w:val="13"/>
                <w:szCs w:val="13"/>
                <w:b w:val="1"/>
                <w:bCs w:val="1"/>
                <w:color w:val="auto"/>
              </w:rPr>
              <w:t>Deficit</w:t>
            </w:r>
          </w:p>
        </w:tc>
        <w:tc>
          <w:tcPr>
            <w:tcW w:w="900" w:type="dxa"/>
            <w:vAlign w:val="bottom"/>
            <w:gridSpan w:val="3"/>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Equity (Deficit)</w:t>
            </w:r>
          </w:p>
        </w:tc>
      </w:tr>
      <w:tr>
        <w:trPr>
          <w:trHeight w:val="142"/>
        </w:trPr>
        <w:tc>
          <w:tcPr>
            <w:tcW w:w="240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auto"/>
              </w:rPr>
              <w:t>Balance as of January 3, 2021</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7,500,001</w:t>
            </w: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16,412</w:t>
            </w:r>
          </w:p>
        </w:tc>
        <w:tc>
          <w:tcPr>
            <w:tcW w:w="1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3,129,634</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117,038</w:t>
            </w:r>
          </w:p>
        </w:tc>
        <w:tc>
          <w:tcPr>
            <w:tcW w:w="100" w:type="dxa"/>
            <w:vAlign w:val="bottom"/>
            <w:tcBorders>
              <w:top w:val="single" w:sz="8" w:color="CCEEFF"/>
              <w:right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w w:val="99"/>
              </w:rPr>
              <w:t>17,462,283</w:t>
            </w: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18</w:t>
            </w: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10,622</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(179,641)</w:t>
            </w:r>
          </w:p>
        </w:tc>
        <w:tc>
          <w:tcPr>
            <w:tcW w:w="1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(169,001)</w:t>
            </w:r>
          </w:p>
        </w:tc>
        <w:tc>
          <w:tcPr>
            <w:tcW w:w="20" w:type="dxa"/>
            <w:vAlign w:val="bottom"/>
          </w:tcPr>
          <w:p>
            <w:pPr>
              <w:spacing w:after="0"/>
              <w:rPr>
                <w:sz w:val="12"/>
                <w:szCs w:val="12"/>
                <w:color w:val="auto"/>
              </w:rPr>
            </w:pPr>
          </w:p>
        </w:tc>
      </w:tr>
      <w:tr>
        <w:trPr>
          <w:trHeight w:val="136"/>
        </w:trPr>
        <w:tc>
          <w:tcPr>
            <w:tcW w:w="2400" w:type="dxa"/>
            <w:vAlign w:val="bottom"/>
          </w:tcPr>
          <w:p>
            <w:pPr>
              <w:ind w:left="100"/>
              <w:spacing w:after="0" w:line="136" w:lineRule="exact"/>
              <w:rPr>
                <w:sz w:val="20"/>
                <w:szCs w:val="20"/>
                <w:color w:val="auto"/>
              </w:rPr>
            </w:pPr>
            <w:r>
              <w:rPr>
                <w:rFonts w:ascii="Times New Roman" w:cs="Times New Roman" w:eastAsia="Times New Roman" w:hAnsi="Times New Roman"/>
                <w:sz w:val="13"/>
                <w:szCs w:val="13"/>
                <w:color w:val="auto"/>
              </w:rPr>
              <w:t>Series B-1 redeemable preferred stock</w:t>
            </w: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61"/>
        </w:trPr>
        <w:tc>
          <w:tcPr>
            <w:tcW w:w="24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issuance, net of issuance costs of $23</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1,450,000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2,908</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r>
      <w:tr>
        <w:trPr>
          <w:trHeight w:val="136"/>
        </w:trPr>
        <w:tc>
          <w:tcPr>
            <w:tcW w:w="2400" w:type="dxa"/>
            <w:vAlign w:val="bottom"/>
            <w:shd w:val="clear" w:color="auto" w:fill="CCEEFF"/>
          </w:tcPr>
          <w:p>
            <w:pPr>
              <w:ind w:left="100"/>
              <w:spacing w:after="0" w:line="136" w:lineRule="exact"/>
              <w:rPr>
                <w:sz w:val="20"/>
                <w:szCs w:val="20"/>
                <w:color w:val="auto"/>
              </w:rPr>
            </w:pPr>
            <w:r>
              <w:rPr>
                <w:rFonts w:ascii="Times New Roman" w:cs="Times New Roman" w:eastAsia="Times New Roman" w:hAnsi="Times New Roman"/>
                <w:sz w:val="13"/>
                <w:szCs w:val="13"/>
                <w:color w:val="auto"/>
              </w:rPr>
              <w:t>Issuance of common stock upon initial</w:t>
            </w: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48"/>
        </w:trPr>
        <w:tc>
          <w:tcPr>
            <w:tcW w:w="2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public offering (IPO), net of</w:t>
            </w: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2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underwriting discounts and</w:t>
            </w: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2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commissions and issuance costs of</w:t>
            </w: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61"/>
        </w:trPr>
        <w:tc>
          <w:tcPr>
            <w:tcW w:w="2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$10,016</w:t>
            </w: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5,750,000</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81,983</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81,988</w:t>
            </w:r>
          </w:p>
        </w:tc>
        <w:tc>
          <w:tcPr>
            <w:tcW w:w="20" w:type="dxa"/>
            <w:vAlign w:val="bottom"/>
          </w:tcPr>
          <w:p>
            <w:pPr>
              <w:spacing w:after="0"/>
              <w:rPr>
                <w:sz w:val="14"/>
                <w:szCs w:val="14"/>
                <w:color w:val="auto"/>
              </w:rPr>
            </w:pPr>
          </w:p>
        </w:tc>
      </w:tr>
      <w:tr>
        <w:trPr>
          <w:trHeight w:val="136"/>
        </w:trPr>
        <w:tc>
          <w:tcPr>
            <w:tcW w:w="2400" w:type="dxa"/>
            <w:vAlign w:val="bottom"/>
          </w:tcPr>
          <w:p>
            <w:pPr>
              <w:ind w:left="100"/>
              <w:spacing w:after="0" w:line="136" w:lineRule="exact"/>
              <w:rPr>
                <w:sz w:val="20"/>
                <w:szCs w:val="20"/>
                <w:color w:val="auto"/>
              </w:rPr>
            </w:pPr>
            <w:r>
              <w:rPr>
                <w:rFonts w:ascii="Times New Roman" w:cs="Times New Roman" w:eastAsia="Times New Roman" w:hAnsi="Times New Roman"/>
                <w:sz w:val="13"/>
                <w:szCs w:val="13"/>
                <w:color w:val="auto"/>
              </w:rPr>
              <w:t>Deemed dividend to convertible</w:t>
            </w: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61"/>
        </w:trPr>
        <w:tc>
          <w:tcPr>
            <w:tcW w:w="24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preferred stockholders upon the IPO</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122,962</w:t>
            </w: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(122,962)</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(122,962)</w:t>
            </w:r>
          </w:p>
        </w:tc>
      </w:tr>
      <w:tr>
        <w:trPr>
          <w:trHeight w:val="136"/>
        </w:trPr>
        <w:tc>
          <w:tcPr>
            <w:tcW w:w="2400" w:type="dxa"/>
            <w:vAlign w:val="bottom"/>
            <w:shd w:val="clear" w:color="auto" w:fill="CCEEFF"/>
          </w:tcPr>
          <w:p>
            <w:pPr>
              <w:ind w:left="100"/>
              <w:spacing w:after="0" w:line="136" w:lineRule="exact"/>
              <w:rPr>
                <w:sz w:val="20"/>
                <w:szCs w:val="20"/>
                <w:color w:val="auto"/>
              </w:rPr>
            </w:pPr>
            <w:r>
              <w:rPr>
                <w:rFonts w:ascii="Times New Roman" w:cs="Times New Roman" w:eastAsia="Times New Roman" w:hAnsi="Times New Roman"/>
                <w:sz w:val="13"/>
                <w:szCs w:val="13"/>
                <w:color w:val="auto"/>
              </w:rPr>
              <w:t>Conversion of convertible preferred</w:t>
            </w: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61"/>
        </w:trPr>
        <w:tc>
          <w:tcPr>
            <w:tcW w:w="2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stock to common stock upon the IPO</w:t>
            </w: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(3,129,634)</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tcBorders>
              <w:right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(240,000)</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15,000,000</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239,985</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240,000</w:t>
            </w:r>
          </w:p>
        </w:tc>
        <w:tc>
          <w:tcPr>
            <w:tcW w:w="20" w:type="dxa"/>
            <w:vAlign w:val="bottom"/>
          </w:tcPr>
          <w:p>
            <w:pPr>
              <w:spacing w:after="0"/>
              <w:rPr>
                <w:sz w:val="14"/>
                <w:szCs w:val="14"/>
                <w:color w:val="auto"/>
              </w:rPr>
            </w:pPr>
          </w:p>
        </w:tc>
      </w:tr>
      <w:tr>
        <w:trPr>
          <w:trHeight w:val="136"/>
        </w:trPr>
        <w:tc>
          <w:tcPr>
            <w:tcW w:w="2400" w:type="dxa"/>
            <w:vAlign w:val="bottom"/>
          </w:tcPr>
          <w:p>
            <w:pPr>
              <w:ind w:left="100"/>
              <w:spacing w:after="0" w:line="136" w:lineRule="exact"/>
              <w:rPr>
                <w:sz w:val="20"/>
                <w:szCs w:val="20"/>
                <w:color w:val="auto"/>
              </w:rPr>
            </w:pPr>
            <w:r>
              <w:rPr>
                <w:rFonts w:ascii="Times New Roman" w:cs="Times New Roman" w:eastAsia="Times New Roman" w:hAnsi="Times New Roman"/>
                <w:sz w:val="13"/>
                <w:szCs w:val="13"/>
                <w:color w:val="auto"/>
              </w:rPr>
              <w:t>Redemption of redeemable preferred</w:t>
            </w: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61"/>
        </w:trPr>
        <w:tc>
          <w:tcPr>
            <w:tcW w:w="24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stock upon the IPO</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(8,950,001)</w:t>
            </w:r>
          </w:p>
        </w:tc>
        <w:tc>
          <w:tcPr>
            <w:tcW w:w="12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(19,320)</w:t>
            </w:r>
          </w:p>
        </w:tc>
        <w:tc>
          <w:tcPr>
            <w:tcW w:w="60" w:type="dxa"/>
            <w:vAlign w:val="bottom"/>
          </w:tcPr>
          <w:p>
            <w:pPr>
              <w:spacing w:after="0"/>
              <w:rPr>
                <w:sz w:val="14"/>
                <w:szCs w:val="14"/>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1,420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1,420</w:t>
            </w:r>
          </w:p>
        </w:tc>
        <w:tc>
          <w:tcPr>
            <w:tcW w:w="20" w:type="dxa"/>
            <w:vAlign w:val="bottom"/>
          </w:tcPr>
          <w:p>
            <w:pPr>
              <w:spacing w:after="0"/>
              <w:rPr>
                <w:sz w:val="14"/>
                <w:szCs w:val="14"/>
                <w:color w:val="auto"/>
              </w:rPr>
            </w:pPr>
          </w:p>
        </w:tc>
      </w:tr>
      <w:tr>
        <w:trPr>
          <w:trHeight w:val="136"/>
        </w:trPr>
        <w:tc>
          <w:tcPr>
            <w:tcW w:w="2400" w:type="dxa"/>
            <w:vAlign w:val="bottom"/>
            <w:shd w:val="clear" w:color="auto" w:fill="CCEEFF"/>
          </w:tcPr>
          <w:p>
            <w:pPr>
              <w:ind w:left="100"/>
              <w:spacing w:after="0" w:line="136" w:lineRule="exact"/>
              <w:rPr>
                <w:sz w:val="20"/>
                <w:szCs w:val="20"/>
                <w:color w:val="auto"/>
              </w:rPr>
            </w:pPr>
            <w:r>
              <w:rPr>
                <w:rFonts w:ascii="Times New Roman" w:cs="Times New Roman" w:eastAsia="Times New Roman" w:hAnsi="Times New Roman"/>
                <w:sz w:val="13"/>
                <w:szCs w:val="13"/>
                <w:color w:val="auto"/>
              </w:rPr>
              <w:t>Stock dividend for issuance of</w:t>
            </w: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61"/>
        </w:trPr>
        <w:tc>
          <w:tcPr>
            <w:tcW w:w="2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common stock to LP upon the IPO</w:t>
            </w: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215,702</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r>
      <w:tr>
        <w:trPr>
          <w:trHeight w:val="136"/>
        </w:trPr>
        <w:tc>
          <w:tcPr>
            <w:tcW w:w="2400" w:type="dxa"/>
            <w:vAlign w:val="bottom"/>
          </w:tcPr>
          <w:p>
            <w:pPr>
              <w:ind w:left="100"/>
              <w:spacing w:after="0" w:line="136" w:lineRule="exact"/>
              <w:rPr>
                <w:sz w:val="20"/>
                <w:szCs w:val="20"/>
                <w:color w:val="auto"/>
              </w:rPr>
            </w:pPr>
            <w:r>
              <w:rPr>
                <w:rFonts w:ascii="Times New Roman" w:cs="Times New Roman" w:eastAsia="Times New Roman" w:hAnsi="Times New Roman"/>
                <w:sz w:val="13"/>
                <w:szCs w:val="13"/>
                <w:color w:val="auto"/>
              </w:rPr>
              <w:t>Reclassification of liability-classified</w:t>
            </w: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61"/>
        </w:trPr>
        <w:tc>
          <w:tcPr>
            <w:tcW w:w="24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CEO award to equity-classified award</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2,887</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2,887</w:t>
            </w:r>
          </w:p>
        </w:tc>
        <w:tc>
          <w:tcPr>
            <w:tcW w:w="20" w:type="dxa"/>
            <w:vAlign w:val="bottom"/>
          </w:tcPr>
          <w:p>
            <w:pPr>
              <w:spacing w:after="0"/>
              <w:rPr>
                <w:sz w:val="14"/>
                <w:szCs w:val="14"/>
                <w:color w:val="auto"/>
              </w:rPr>
            </w:pPr>
          </w:p>
        </w:tc>
      </w:tr>
      <w:tr>
        <w:trPr>
          <w:trHeight w:val="148"/>
        </w:trPr>
        <w:tc>
          <w:tcPr>
            <w:tcW w:w="2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Forfeiture of unvested restricted stock</w:t>
            </w: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(6,861)</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r>
      <w:tr>
        <w:trPr>
          <w:trHeight w:val="148"/>
        </w:trPr>
        <w:tc>
          <w:tcPr>
            <w:tcW w:w="24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Equity-based compensation</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2"/>
                <w:szCs w:val="12"/>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8,145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8,145</w:t>
            </w:r>
          </w:p>
        </w:tc>
        <w:tc>
          <w:tcPr>
            <w:tcW w:w="20" w:type="dxa"/>
            <w:vAlign w:val="bottom"/>
          </w:tcPr>
          <w:p>
            <w:pPr>
              <w:spacing w:after="0"/>
              <w:rPr>
                <w:sz w:val="12"/>
                <w:szCs w:val="12"/>
                <w:color w:val="auto"/>
              </w:rPr>
            </w:pPr>
          </w:p>
        </w:tc>
      </w:tr>
      <w:tr>
        <w:trPr>
          <w:trHeight w:val="148"/>
        </w:trPr>
        <w:tc>
          <w:tcPr>
            <w:tcW w:w="2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Net income and comprehensive income</w:t>
            </w: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2,045</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2,045</w:t>
            </w:r>
          </w:p>
        </w:tc>
        <w:tc>
          <w:tcPr>
            <w:tcW w:w="20" w:type="dxa"/>
            <w:vAlign w:val="bottom"/>
          </w:tcPr>
          <w:p>
            <w:pPr>
              <w:spacing w:after="0"/>
              <w:rPr>
                <w:sz w:val="12"/>
                <w:szCs w:val="12"/>
                <w:color w:val="auto"/>
              </w:rPr>
            </w:pPr>
          </w:p>
        </w:tc>
      </w:tr>
      <w:tr>
        <w:trPr>
          <w:trHeight w:val="142"/>
        </w:trPr>
        <w:tc>
          <w:tcPr>
            <w:tcW w:w="2400" w:type="dxa"/>
            <w:vAlign w:val="bottom"/>
          </w:tcPr>
          <w:p>
            <w:pPr>
              <w:spacing w:after="0" w:line="142" w:lineRule="exact"/>
              <w:rPr>
                <w:sz w:val="20"/>
                <w:szCs w:val="20"/>
                <w:color w:val="auto"/>
              </w:rPr>
            </w:pPr>
            <w:r>
              <w:rPr>
                <w:rFonts w:ascii="Times New Roman" w:cs="Times New Roman" w:eastAsia="Times New Roman" w:hAnsi="Times New Roman"/>
                <w:sz w:val="13"/>
                <w:szCs w:val="13"/>
                <w:color w:val="auto"/>
              </w:rPr>
              <w:t>Balance as of January 2, 2022</w:t>
            </w:r>
          </w:p>
        </w:tc>
        <w:tc>
          <w:tcPr>
            <w:tcW w:w="6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w w:val="99"/>
              </w:rPr>
              <w:t>38,421,124</w:t>
            </w: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38</w:t>
            </w: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222,080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(177,596)</w:t>
            </w:r>
          </w:p>
        </w:tc>
        <w:tc>
          <w:tcPr>
            <w:tcW w:w="1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44,522</w:t>
            </w:r>
          </w:p>
        </w:tc>
        <w:tc>
          <w:tcPr>
            <w:tcW w:w="20" w:type="dxa"/>
            <w:vAlign w:val="bottom"/>
          </w:tcPr>
          <w:p>
            <w:pPr>
              <w:spacing w:after="0"/>
              <w:rPr>
                <w:sz w:val="12"/>
                <w:szCs w:val="12"/>
                <w:color w:val="auto"/>
              </w:rPr>
            </w:pPr>
          </w:p>
        </w:tc>
      </w:tr>
      <w:tr>
        <w:trPr>
          <w:trHeight w:val="136"/>
        </w:trPr>
        <w:tc>
          <w:tcPr>
            <w:tcW w:w="2400" w:type="dxa"/>
            <w:vAlign w:val="bottom"/>
            <w:shd w:val="clear" w:color="auto" w:fill="CCEEFF"/>
          </w:tcPr>
          <w:p>
            <w:pPr>
              <w:ind w:left="100"/>
              <w:spacing w:after="0" w:line="136" w:lineRule="exact"/>
              <w:rPr>
                <w:sz w:val="20"/>
                <w:szCs w:val="20"/>
                <w:color w:val="auto"/>
              </w:rPr>
            </w:pPr>
            <w:r>
              <w:rPr>
                <w:rFonts w:ascii="Times New Roman" w:cs="Times New Roman" w:eastAsia="Times New Roman" w:hAnsi="Times New Roman"/>
                <w:sz w:val="13"/>
                <w:szCs w:val="13"/>
                <w:color w:val="auto"/>
              </w:rPr>
              <w:t>Issuance of common stock for vesting</w:t>
            </w: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61"/>
        </w:trPr>
        <w:tc>
          <w:tcPr>
            <w:tcW w:w="2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of RSUs</w:t>
            </w: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791,064</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r>
      <w:tr>
        <w:trPr>
          <w:trHeight w:val="136"/>
        </w:trPr>
        <w:tc>
          <w:tcPr>
            <w:tcW w:w="2400" w:type="dxa"/>
            <w:vAlign w:val="bottom"/>
          </w:tcPr>
          <w:p>
            <w:pPr>
              <w:ind w:left="100"/>
              <w:spacing w:after="0" w:line="136" w:lineRule="exact"/>
              <w:rPr>
                <w:sz w:val="20"/>
                <w:szCs w:val="20"/>
                <w:color w:val="auto"/>
              </w:rPr>
            </w:pPr>
            <w:r>
              <w:rPr>
                <w:rFonts w:ascii="Times New Roman" w:cs="Times New Roman" w:eastAsia="Times New Roman" w:hAnsi="Times New Roman"/>
                <w:sz w:val="13"/>
                <w:szCs w:val="13"/>
                <w:color w:val="auto"/>
              </w:rPr>
              <w:t>Issuance of common stock for special</w:t>
            </w: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61"/>
        </w:trPr>
        <w:tc>
          <w:tcPr>
            <w:tcW w:w="24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compensation award</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208,914</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r>
      <w:tr>
        <w:trPr>
          <w:trHeight w:val="136"/>
        </w:trPr>
        <w:tc>
          <w:tcPr>
            <w:tcW w:w="2400" w:type="dxa"/>
            <w:vAlign w:val="bottom"/>
            <w:shd w:val="clear" w:color="auto" w:fill="CCEEFF"/>
          </w:tcPr>
          <w:p>
            <w:pPr>
              <w:ind w:left="100"/>
              <w:spacing w:after="0" w:line="136" w:lineRule="exact"/>
              <w:rPr>
                <w:sz w:val="20"/>
                <w:szCs w:val="20"/>
                <w:color w:val="auto"/>
              </w:rPr>
            </w:pPr>
            <w:r>
              <w:rPr>
                <w:rFonts w:ascii="Times New Roman" w:cs="Times New Roman" w:eastAsia="Times New Roman" w:hAnsi="Times New Roman"/>
                <w:sz w:val="13"/>
                <w:szCs w:val="13"/>
                <w:color w:val="auto"/>
              </w:rPr>
              <w:t>Shares withheld for withholding tax on</w:t>
            </w: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61"/>
        </w:trPr>
        <w:tc>
          <w:tcPr>
            <w:tcW w:w="2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RSUs</w:t>
            </w: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(139,081)</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(1,200)</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(1,200)</w:t>
            </w:r>
          </w:p>
        </w:tc>
        <w:tc>
          <w:tcPr>
            <w:tcW w:w="20" w:type="dxa"/>
            <w:vAlign w:val="bottom"/>
          </w:tcPr>
          <w:p>
            <w:pPr>
              <w:spacing w:after="0"/>
              <w:rPr>
                <w:sz w:val="14"/>
                <w:szCs w:val="14"/>
                <w:color w:val="auto"/>
              </w:rPr>
            </w:pPr>
          </w:p>
        </w:tc>
      </w:tr>
      <w:tr>
        <w:trPr>
          <w:trHeight w:val="149"/>
        </w:trPr>
        <w:tc>
          <w:tcPr>
            <w:tcW w:w="24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Offering costs related to IPO</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2"/>
                <w:szCs w:val="12"/>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(290)</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(290)</w:t>
            </w:r>
          </w:p>
        </w:tc>
        <w:tc>
          <w:tcPr>
            <w:tcW w:w="20" w:type="dxa"/>
            <w:vAlign w:val="bottom"/>
          </w:tcPr>
          <w:p>
            <w:pPr>
              <w:spacing w:after="0"/>
              <w:rPr>
                <w:sz w:val="12"/>
                <w:szCs w:val="12"/>
                <w:color w:val="auto"/>
              </w:rPr>
            </w:pPr>
          </w:p>
        </w:tc>
      </w:tr>
      <w:tr>
        <w:trPr>
          <w:trHeight w:val="136"/>
        </w:trPr>
        <w:tc>
          <w:tcPr>
            <w:tcW w:w="2400" w:type="dxa"/>
            <w:vAlign w:val="bottom"/>
            <w:shd w:val="clear" w:color="auto" w:fill="CCEEFF"/>
          </w:tcPr>
          <w:p>
            <w:pPr>
              <w:ind w:left="100"/>
              <w:spacing w:after="0" w:line="136" w:lineRule="exact"/>
              <w:rPr>
                <w:sz w:val="20"/>
                <w:szCs w:val="20"/>
                <w:color w:val="auto"/>
              </w:rPr>
            </w:pPr>
            <w:r>
              <w:rPr>
                <w:rFonts w:ascii="Times New Roman" w:cs="Times New Roman" w:eastAsia="Times New Roman" w:hAnsi="Times New Roman"/>
                <w:sz w:val="13"/>
                <w:szCs w:val="13"/>
                <w:color w:val="auto"/>
              </w:rPr>
              <w:t>Settlement of distributions payable to</w:t>
            </w: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61"/>
        </w:trPr>
        <w:tc>
          <w:tcPr>
            <w:tcW w:w="2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former Class P unit holders</w:t>
            </w: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2,648</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2,648</w:t>
            </w:r>
          </w:p>
        </w:tc>
        <w:tc>
          <w:tcPr>
            <w:tcW w:w="20" w:type="dxa"/>
            <w:vAlign w:val="bottom"/>
          </w:tcPr>
          <w:p>
            <w:pPr>
              <w:spacing w:after="0"/>
              <w:rPr>
                <w:sz w:val="14"/>
                <w:szCs w:val="14"/>
                <w:color w:val="auto"/>
              </w:rPr>
            </w:pPr>
          </w:p>
        </w:tc>
      </w:tr>
      <w:tr>
        <w:trPr>
          <w:trHeight w:val="149"/>
        </w:trPr>
        <w:tc>
          <w:tcPr>
            <w:tcW w:w="24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Forfeited shares of restricted stock</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2"/>
                <w:szCs w:val="12"/>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(22,693)</w:t>
            </w: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r>
      <w:tr>
        <w:trPr>
          <w:trHeight w:val="148"/>
        </w:trPr>
        <w:tc>
          <w:tcPr>
            <w:tcW w:w="2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Equity-based compensation expense</w:t>
            </w: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15,488</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15,488</w:t>
            </w:r>
          </w:p>
        </w:tc>
        <w:tc>
          <w:tcPr>
            <w:tcW w:w="20" w:type="dxa"/>
            <w:vAlign w:val="bottom"/>
          </w:tcPr>
          <w:p>
            <w:pPr>
              <w:spacing w:after="0"/>
              <w:rPr>
                <w:sz w:val="12"/>
                <w:szCs w:val="12"/>
                <w:color w:val="auto"/>
              </w:rPr>
            </w:pPr>
          </w:p>
        </w:tc>
      </w:tr>
      <w:tr>
        <w:trPr>
          <w:trHeight w:val="148"/>
        </w:trPr>
        <w:tc>
          <w:tcPr>
            <w:tcW w:w="24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Net income and comprehensive income</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2"/>
                <w:szCs w:val="12"/>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3,725</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3,725</w:t>
            </w:r>
          </w:p>
        </w:tc>
        <w:tc>
          <w:tcPr>
            <w:tcW w:w="20" w:type="dxa"/>
            <w:vAlign w:val="bottom"/>
          </w:tcPr>
          <w:p>
            <w:pPr>
              <w:spacing w:after="0"/>
              <w:rPr>
                <w:sz w:val="12"/>
                <w:szCs w:val="12"/>
                <w:color w:val="auto"/>
              </w:rPr>
            </w:pPr>
          </w:p>
        </w:tc>
      </w:tr>
      <w:tr>
        <w:trPr>
          <w:trHeight w:val="142"/>
        </w:trPr>
        <w:tc>
          <w:tcPr>
            <w:tcW w:w="240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auto"/>
              </w:rPr>
              <w:t>Balance as of January 1, 2023</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right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w w:val="99"/>
              </w:rPr>
              <w:t>39,259,328</w:t>
            </w: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39</w:t>
            </w: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238,725</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(173,871)</w:t>
            </w:r>
          </w:p>
        </w:tc>
        <w:tc>
          <w:tcPr>
            <w:tcW w:w="1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64,893</w:t>
            </w:r>
          </w:p>
        </w:tc>
        <w:tc>
          <w:tcPr>
            <w:tcW w:w="20" w:type="dxa"/>
            <w:vAlign w:val="bottom"/>
          </w:tcPr>
          <w:p>
            <w:pPr>
              <w:spacing w:after="0"/>
              <w:rPr>
                <w:sz w:val="12"/>
                <w:szCs w:val="12"/>
                <w:color w:val="auto"/>
              </w:rPr>
            </w:pPr>
          </w:p>
        </w:tc>
      </w:tr>
      <w:tr>
        <w:trPr>
          <w:trHeight w:val="136"/>
        </w:trPr>
        <w:tc>
          <w:tcPr>
            <w:tcW w:w="2400" w:type="dxa"/>
            <w:vAlign w:val="bottom"/>
          </w:tcPr>
          <w:p>
            <w:pPr>
              <w:ind w:left="100"/>
              <w:spacing w:after="0" w:line="136" w:lineRule="exact"/>
              <w:rPr>
                <w:sz w:val="20"/>
                <w:szCs w:val="20"/>
                <w:color w:val="auto"/>
              </w:rPr>
            </w:pPr>
            <w:r>
              <w:rPr>
                <w:rFonts w:ascii="Times New Roman" w:cs="Times New Roman" w:eastAsia="Times New Roman" w:hAnsi="Times New Roman"/>
                <w:sz w:val="13"/>
                <w:szCs w:val="13"/>
                <w:color w:val="auto"/>
              </w:rPr>
              <w:t>Issuance of common stock for vesting</w:t>
            </w: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61"/>
        </w:trPr>
        <w:tc>
          <w:tcPr>
            <w:tcW w:w="24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of RSUs</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1,932,500</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20" w:type="dxa"/>
            <w:vAlign w:val="bottom"/>
          </w:tcPr>
          <w:p>
            <w:pPr>
              <w:spacing w:after="0"/>
              <w:rPr>
                <w:sz w:val="14"/>
                <w:szCs w:val="14"/>
                <w:color w:val="auto"/>
              </w:rPr>
            </w:pPr>
          </w:p>
        </w:tc>
      </w:tr>
      <w:tr>
        <w:trPr>
          <w:trHeight w:val="136"/>
        </w:trPr>
        <w:tc>
          <w:tcPr>
            <w:tcW w:w="2400" w:type="dxa"/>
            <w:vAlign w:val="bottom"/>
            <w:shd w:val="clear" w:color="auto" w:fill="CCEEFF"/>
          </w:tcPr>
          <w:p>
            <w:pPr>
              <w:ind w:left="100"/>
              <w:spacing w:after="0" w:line="136" w:lineRule="exact"/>
              <w:rPr>
                <w:sz w:val="20"/>
                <w:szCs w:val="20"/>
                <w:color w:val="auto"/>
              </w:rPr>
            </w:pPr>
            <w:r>
              <w:rPr>
                <w:rFonts w:ascii="Times New Roman" w:cs="Times New Roman" w:eastAsia="Times New Roman" w:hAnsi="Times New Roman"/>
                <w:sz w:val="13"/>
                <w:szCs w:val="13"/>
                <w:color w:val="auto"/>
              </w:rPr>
              <w:t>Issuance of common stock for special</w:t>
            </w: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61"/>
        </w:trPr>
        <w:tc>
          <w:tcPr>
            <w:tcW w:w="2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compensation award</w:t>
            </w: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208,914</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376</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376</w:t>
            </w:r>
          </w:p>
        </w:tc>
        <w:tc>
          <w:tcPr>
            <w:tcW w:w="20" w:type="dxa"/>
            <w:vAlign w:val="bottom"/>
          </w:tcPr>
          <w:p>
            <w:pPr>
              <w:spacing w:after="0"/>
              <w:rPr>
                <w:sz w:val="14"/>
                <w:szCs w:val="14"/>
                <w:color w:val="auto"/>
              </w:rPr>
            </w:pPr>
          </w:p>
        </w:tc>
      </w:tr>
      <w:tr>
        <w:trPr>
          <w:trHeight w:val="136"/>
        </w:trPr>
        <w:tc>
          <w:tcPr>
            <w:tcW w:w="2400" w:type="dxa"/>
            <w:vAlign w:val="bottom"/>
          </w:tcPr>
          <w:p>
            <w:pPr>
              <w:ind w:left="100"/>
              <w:spacing w:after="0" w:line="136" w:lineRule="exact"/>
              <w:rPr>
                <w:sz w:val="20"/>
                <w:szCs w:val="20"/>
                <w:color w:val="auto"/>
              </w:rPr>
            </w:pPr>
            <w:r>
              <w:rPr>
                <w:rFonts w:ascii="Times New Roman" w:cs="Times New Roman" w:eastAsia="Times New Roman" w:hAnsi="Times New Roman"/>
                <w:sz w:val="13"/>
                <w:szCs w:val="13"/>
                <w:color w:val="auto"/>
              </w:rPr>
              <w:t>Issuance of common stock for</w:t>
            </w: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61"/>
        </w:trPr>
        <w:tc>
          <w:tcPr>
            <w:tcW w:w="24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employee stock purchase plan (ESPP)</w:t>
            </w: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100,277</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487</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487</w:t>
            </w:r>
          </w:p>
        </w:tc>
        <w:tc>
          <w:tcPr>
            <w:tcW w:w="20" w:type="dxa"/>
            <w:vAlign w:val="bottom"/>
          </w:tcPr>
          <w:p>
            <w:pPr>
              <w:spacing w:after="0"/>
              <w:rPr>
                <w:sz w:val="14"/>
                <w:szCs w:val="14"/>
                <w:color w:val="auto"/>
              </w:rPr>
            </w:pPr>
          </w:p>
        </w:tc>
      </w:tr>
      <w:tr>
        <w:trPr>
          <w:trHeight w:val="136"/>
        </w:trPr>
        <w:tc>
          <w:tcPr>
            <w:tcW w:w="2400" w:type="dxa"/>
            <w:vAlign w:val="bottom"/>
            <w:shd w:val="clear" w:color="auto" w:fill="CCEEFF"/>
          </w:tcPr>
          <w:p>
            <w:pPr>
              <w:ind w:left="100"/>
              <w:spacing w:after="0" w:line="136" w:lineRule="exact"/>
              <w:rPr>
                <w:sz w:val="20"/>
                <w:szCs w:val="20"/>
                <w:color w:val="auto"/>
              </w:rPr>
            </w:pPr>
            <w:r>
              <w:rPr>
                <w:rFonts w:ascii="Times New Roman" w:cs="Times New Roman" w:eastAsia="Times New Roman" w:hAnsi="Times New Roman"/>
                <w:sz w:val="13"/>
                <w:szCs w:val="13"/>
                <w:color w:val="auto"/>
              </w:rPr>
              <w:t>Shares withheld for withholding tax on</w:t>
            </w: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61"/>
        </w:trPr>
        <w:tc>
          <w:tcPr>
            <w:tcW w:w="2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RSUs</w:t>
            </w: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(878,183)</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(1,961)</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(1,961)</w:t>
            </w:r>
          </w:p>
        </w:tc>
        <w:tc>
          <w:tcPr>
            <w:tcW w:w="20" w:type="dxa"/>
            <w:vAlign w:val="bottom"/>
          </w:tcPr>
          <w:p>
            <w:pPr>
              <w:spacing w:after="0"/>
              <w:rPr>
                <w:sz w:val="14"/>
                <w:szCs w:val="14"/>
                <w:color w:val="auto"/>
              </w:rPr>
            </w:pPr>
          </w:p>
        </w:tc>
      </w:tr>
      <w:tr>
        <w:trPr>
          <w:trHeight w:val="149"/>
        </w:trPr>
        <w:tc>
          <w:tcPr>
            <w:tcW w:w="24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Forfeited shares of restricted stock</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2"/>
                <w:szCs w:val="12"/>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(4,630)</w:t>
            </w: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r>
      <w:tr>
        <w:trPr>
          <w:trHeight w:val="148"/>
        </w:trPr>
        <w:tc>
          <w:tcPr>
            <w:tcW w:w="2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Equity-based compensation expense</w:t>
            </w: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16,489</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16,489</w:t>
            </w:r>
          </w:p>
        </w:tc>
        <w:tc>
          <w:tcPr>
            <w:tcW w:w="20" w:type="dxa"/>
            <w:vAlign w:val="bottom"/>
          </w:tcPr>
          <w:p>
            <w:pPr>
              <w:spacing w:after="0"/>
              <w:rPr>
                <w:sz w:val="12"/>
                <w:szCs w:val="12"/>
                <w:color w:val="auto"/>
              </w:rPr>
            </w:pPr>
          </w:p>
        </w:tc>
      </w:tr>
      <w:tr>
        <w:trPr>
          <w:trHeight w:val="148"/>
        </w:trPr>
        <w:tc>
          <w:tcPr>
            <w:tcW w:w="24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Net (loss) and comprehensive (loss)</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2"/>
                <w:szCs w:val="12"/>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(19,334)</w:t>
            </w:r>
          </w:p>
        </w:tc>
        <w:tc>
          <w:tcPr>
            <w:tcW w:w="1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(19,334)</w:t>
            </w:r>
          </w:p>
        </w:tc>
        <w:tc>
          <w:tcPr>
            <w:tcW w:w="20" w:type="dxa"/>
            <w:vAlign w:val="bottom"/>
          </w:tcPr>
          <w:p>
            <w:pPr>
              <w:spacing w:after="0"/>
              <w:rPr>
                <w:sz w:val="12"/>
                <w:szCs w:val="12"/>
                <w:color w:val="auto"/>
              </w:rPr>
            </w:pPr>
          </w:p>
        </w:tc>
      </w:tr>
      <w:tr>
        <w:trPr>
          <w:trHeight w:val="142"/>
        </w:trPr>
        <w:tc>
          <w:tcPr>
            <w:tcW w:w="240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auto"/>
              </w:rPr>
              <w:t>Balance as of December 31, 2023</w:t>
            </w: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bottom w:val="single" w:sz="8" w:color="CCEEFF"/>
              <w:right w:val="single" w:sz="8" w:color="auto"/>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w w:val="99"/>
              </w:rPr>
              <w:t>40,618,206</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41</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254,116</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(193,205)</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60,952</w:t>
            </w:r>
          </w:p>
        </w:tc>
        <w:tc>
          <w:tcPr>
            <w:tcW w:w="20" w:type="dxa"/>
            <w:vAlign w:val="bottom"/>
          </w:tcPr>
          <w:p>
            <w:pPr>
              <w:spacing w:after="0"/>
              <w:rPr>
                <w:sz w:val="12"/>
                <w:szCs w:val="12"/>
                <w:color w:val="auto"/>
              </w:rPr>
            </w:pPr>
          </w:p>
        </w:tc>
      </w:tr>
      <w:tr>
        <w:trPr>
          <w:trHeight w:val="20"/>
        </w:trPr>
        <w:tc>
          <w:tcPr>
            <w:tcW w:w="24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29"/>
        </w:trPr>
        <w:tc>
          <w:tcPr>
            <w:tcW w:w="2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r>
    </w:tbl>
    <w:p>
      <w:pPr>
        <w:ind w:left="218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consolidated financial statements</w:t>
      </w:r>
    </w:p>
    <w:p>
      <w:pPr>
        <w:spacing w:after="0"/>
        <w:rPr>
          <w:sz w:val="20"/>
          <w:szCs w:val="20"/>
          <w:color w:val="auto"/>
        </w:rPr>
      </w:pPr>
      <w:r>
        <w:rPr>
          <w:rFonts w:ascii="Times New Roman" w:cs="Times New Roman" w:eastAsia="Times New Roman" w:hAnsi="Times New Roman"/>
          <w:sz w:val="4"/>
          <w:szCs w:val="4"/>
          <w:i w:val="1"/>
          <w:iCs w:val="1"/>
          <w:color w:val="auto"/>
        </w:rPr>
        <w:t>.</w:t>
      </w:r>
    </w:p>
    <w:p>
      <w:pPr>
        <w:spacing w:after="0" w:line="200" w:lineRule="exact"/>
        <w:rPr>
          <w:sz w:val="20"/>
          <w:szCs w:val="20"/>
          <w:color w:val="auto"/>
        </w:rPr>
      </w:pPr>
    </w:p>
    <w:p>
      <w:pPr>
        <w:spacing w:after="0" w:line="2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6480810"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480810" cy="25400"/>
                    </a:xfrm>
                    <a:prstGeom prst="rect">
                      <a:avLst/>
                    </a:prstGeom>
                    <a:noFill/>
                  </pic:spPr>
                </pic:pic>
              </a:graphicData>
            </a:graphic>
          </wp:anchor>
        </w:drawing>
      </w:r>
    </w:p>
    <w:p>
      <w:pPr>
        <w:sectPr>
          <w:pgSz w:w="11900" w:h="16838" w:orient="portrait"/>
          <w:cols w:equalWidth="0" w:num="1">
            <w:col w:w="10220"/>
          </w:cols>
          <w:pgMar w:left="840" w:top="513" w:right="8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LULU’S FASHION LOUNGE HOLDINGS,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Fiscal Years Ended</w:t>
            </w: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6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gridSpan w:val="3"/>
          </w:tcPr>
          <w:p>
            <w:pPr>
              <w:jc w:val="center"/>
              <w:ind w:right="60"/>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2"/>
          </w:tcPr>
          <w:p>
            <w:pPr>
              <w:jc w:val="center"/>
              <w:ind w:right="300"/>
              <w:spacing w:after="0" w:line="118" w:lineRule="exact"/>
              <w:rPr>
                <w:sz w:val="20"/>
                <w:szCs w:val="20"/>
                <w:color w:val="auto"/>
              </w:rPr>
            </w:pPr>
            <w:r>
              <w:rPr>
                <w:rFonts w:ascii="Times New Roman" w:cs="Times New Roman" w:eastAsia="Times New Roman" w:hAnsi="Times New Roman"/>
                <w:sz w:val="13"/>
                <w:szCs w:val="13"/>
                <w:b w:val="1"/>
                <w:bCs w:val="1"/>
                <w:color w:val="auto"/>
              </w:rPr>
              <w:t>January 1,</w:t>
            </w:r>
          </w:p>
        </w:tc>
        <w:tc>
          <w:tcPr>
            <w:tcW w:w="120" w:type="dxa"/>
            <w:vAlign w:val="bottom"/>
          </w:tcPr>
          <w:p>
            <w:pPr>
              <w:spacing w:after="0"/>
              <w:rPr>
                <w:sz w:val="10"/>
                <w:szCs w:val="10"/>
                <w:color w:val="auto"/>
              </w:rPr>
            </w:pPr>
          </w:p>
        </w:tc>
        <w:tc>
          <w:tcPr>
            <w:tcW w:w="860" w:type="dxa"/>
            <w:vAlign w:val="bottom"/>
          </w:tcPr>
          <w:p>
            <w:pPr>
              <w:jc w:val="center"/>
              <w:ind w:right="48"/>
              <w:spacing w:after="0" w:line="118" w:lineRule="exact"/>
              <w:rPr>
                <w:sz w:val="20"/>
                <w:szCs w:val="20"/>
                <w:color w:val="auto"/>
              </w:rPr>
            </w:pPr>
            <w:r>
              <w:rPr>
                <w:rFonts w:ascii="Times New Roman" w:cs="Times New Roman" w:eastAsia="Times New Roman" w:hAnsi="Times New Roman"/>
                <w:sz w:val="13"/>
                <w:szCs w:val="13"/>
                <w:b w:val="1"/>
                <w:bCs w:val="1"/>
                <w:color w:val="auto"/>
              </w:rPr>
              <w:t>January 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w w:val="99"/>
              </w:rPr>
              <w:t>2022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(52 weeks)</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(52 weeks)</w:t>
            </w:r>
          </w:p>
        </w:tc>
        <w:tc>
          <w:tcPr>
            <w:tcW w:w="120" w:type="dxa"/>
            <w:vAlign w:val="bottom"/>
          </w:tcPr>
          <w:p>
            <w:pPr>
              <w:spacing w:after="0"/>
              <w:rPr>
                <w:sz w:val="15"/>
                <w:szCs w:val="15"/>
                <w:color w:val="auto"/>
              </w:rPr>
            </w:pPr>
          </w:p>
        </w:tc>
        <w:tc>
          <w:tcPr>
            <w:tcW w:w="8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(52 weeks)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0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2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income (loss)</w:t>
            </w:r>
          </w:p>
        </w:tc>
        <w:tc>
          <w:tcPr>
            <w:tcW w:w="3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(19,334)</w:t>
            </w:r>
          </w:p>
        </w:tc>
        <w:tc>
          <w:tcPr>
            <w:tcW w:w="2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3,725</w:t>
            </w:r>
          </w:p>
        </w:tc>
        <w:tc>
          <w:tcPr>
            <w:tcW w:w="200" w:type="dxa"/>
            <w:vAlign w:val="bottom"/>
          </w:tcPr>
          <w:p>
            <w:pPr>
              <w:spacing w:after="0"/>
              <w:rPr>
                <w:sz w:val="12"/>
                <w:szCs w:val="12"/>
                <w:color w:val="auto"/>
              </w:rPr>
            </w:pP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2,045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Adjustments to reconcile net income (loss) to net cash provided by operating activities:</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0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4,819</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4,134</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2,828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0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Noncash lease expense</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3,663</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3,257</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0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Loss on debt extinguishment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1,392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Amortization of debt discount and debt issuance costs</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156</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157</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2,283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0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Interest expense capitalized to principal of long-term debt and revolving line of credit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2,074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0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Payment of interest capitalized to principal of long-term debt and revolving line of credit</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(3,821)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0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Loss on disposal of property and equipment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0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Equity-based compensation expense</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17,694</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16,087</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13,664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0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Equity-based compensation expense related to redeemable preferred stock issuance</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1,481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Deferred income taxes</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(2,539)</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1,658</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(1,663)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0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Accounts receivable</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366</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1,740</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(1,816)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0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Inventories</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7,714</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(21,010)</w:t>
            </w:r>
          </w:p>
        </w:tc>
        <w:tc>
          <w:tcPr>
            <w:tcW w:w="1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(5,281)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0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Assets for recovery</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779</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(136)</w:t>
            </w: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(2,650)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Income taxes (receivable) payable</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2,752</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(4,364)</w:t>
            </w:r>
          </w:p>
        </w:tc>
        <w:tc>
          <w:tcPr>
            <w:tcW w:w="1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2,094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0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Prepaid and other current assets</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(1,803)</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694</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0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3,580</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1,148</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(2,895)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0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918</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1,691</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21,263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0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Operating lease liabilities</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(3,317)</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(2,608)</w:t>
            </w:r>
          </w:p>
        </w:tc>
        <w:tc>
          <w:tcPr>
            <w:tcW w:w="1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Other noncurrent liabilities</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(46)</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(1,390)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00" w:type="dxa"/>
            <w:vAlign w:val="bottom"/>
            <w:tcBorders>
              <w:bottom w:val="single" w:sz="8" w:color="CCEEFF"/>
            </w:tcBorders>
          </w:tcPr>
          <w:p>
            <w:pPr>
              <w:ind w:left="200"/>
              <w:spacing w:after="0" w:line="142" w:lineRule="exact"/>
              <w:rPr>
                <w:sz w:val="20"/>
                <w:szCs w:val="20"/>
                <w:color w:val="auto"/>
              </w:rPr>
            </w:pPr>
            <w:r>
              <w:rPr>
                <w:rFonts w:ascii="Times New Roman" w:cs="Times New Roman" w:eastAsia="Times New Roman" w:hAnsi="Times New Roman"/>
                <w:sz w:val="14"/>
                <w:szCs w:val="14"/>
                <w:b w:val="1"/>
                <w:bCs w:val="1"/>
                <w:color w:val="auto"/>
              </w:rPr>
              <w:t>Net cash provided by operating activities</w:t>
            </w:r>
          </w:p>
        </w:tc>
        <w:tc>
          <w:tcPr>
            <w:tcW w:w="2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15,421</w:t>
            </w:r>
          </w:p>
        </w:tc>
        <w:tc>
          <w:tcPr>
            <w:tcW w:w="6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6,199</w:t>
            </w:r>
          </w:p>
        </w:tc>
        <w:tc>
          <w:tcPr>
            <w:tcW w:w="2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26,896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0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Capitalized software development costs</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(2,055)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(2,500)</w:t>
            </w:r>
          </w:p>
        </w:tc>
        <w:tc>
          <w:tcPr>
            <w:tcW w:w="1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(1,522)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0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Purchases of property and equipment</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(1,880)</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(2,511)</w:t>
            </w: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(1,447)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(68)</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(112)</w:t>
            </w:r>
          </w:p>
        </w:tc>
        <w:tc>
          <w:tcPr>
            <w:tcW w:w="1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00" w:type="dxa"/>
            <w:vAlign w:val="bottom"/>
            <w:tcBorders>
              <w:top w:val="single" w:sz="8" w:color="CCEEFF"/>
            </w:tcBorders>
            <w:shd w:val="clear" w:color="auto" w:fill="CCEEFF"/>
          </w:tcPr>
          <w:p>
            <w:pPr>
              <w:ind w:left="200"/>
              <w:spacing w:after="0" w:line="142" w:lineRule="exact"/>
              <w:rPr>
                <w:sz w:val="20"/>
                <w:szCs w:val="20"/>
                <w:color w:val="auto"/>
              </w:rPr>
            </w:pPr>
            <w:r>
              <w:rPr>
                <w:rFonts w:ascii="Times New Roman" w:cs="Times New Roman" w:eastAsia="Times New Roman" w:hAnsi="Times New Roman"/>
                <w:sz w:val="14"/>
                <w:szCs w:val="14"/>
                <w:b w:val="1"/>
                <w:bCs w:val="1"/>
                <w:color w:val="auto"/>
              </w:rPr>
              <w:t>Net cash used in investing activities</w:t>
            </w:r>
          </w:p>
        </w:tc>
        <w:tc>
          <w:tcPr>
            <w:tcW w:w="2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8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(4,003)</w:t>
            </w:r>
          </w:p>
        </w:tc>
        <w:tc>
          <w:tcPr>
            <w:tcW w:w="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8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(5,123)</w:t>
            </w:r>
          </w:p>
        </w:tc>
        <w:tc>
          <w:tcPr>
            <w:tcW w:w="2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8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(3,394)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0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Proceeds from borrowings on revolving line of credit</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13,000</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30,000</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0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Repayments on revolving line of credit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(30,000)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(30,000)</w:t>
            </w:r>
          </w:p>
        </w:tc>
        <w:tc>
          <w:tcPr>
            <w:tcW w:w="1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(8,580)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0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Proceeds from issuance of common stock under employee stock purchase plan (ESPP)</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487</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Repayment of long-term debt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(109,608)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0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Payment of debt issuance costs</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(514)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0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Issuance of common stock upon IPO, net of underwriting discounts and commissions and issuance costs</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82,546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Proceeds from the issuance of redeemable preferred stock, net of issuance costs</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1,427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0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Redemption of redeemable preferred stock</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(17,900)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Principal payments on finance lease obligations</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(983)</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(786)</w:t>
            </w: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0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Payment of offering costs related to the IPO</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(832)</w:t>
            </w:r>
          </w:p>
        </w:tc>
        <w:tc>
          <w:tcPr>
            <w:tcW w:w="1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0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Withholding tax payments related to vesting of RSUs</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(1,629)</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(1,115)</w:t>
            </w: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(32)</w:t>
            </w:r>
          </w:p>
        </w:tc>
        <w:tc>
          <w:tcPr>
            <w:tcW w:w="1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00" w:type="dxa"/>
            <w:vAlign w:val="bottom"/>
            <w:tcBorders>
              <w:top w:val="single" w:sz="8" w:color="CCEEFF"/>
            </w:tcBorders>
            <w:shd w:val="clear" w:color="auto" w:fill="CCEEFF"/>
          </w:tcPr>
          <w:p>
            <w:pPr>
              <w:ind w:left="200"/>
              <w:spacing w:after="0" w:line="142" w:lineRule="exact"/>
              <w:rPr>
                <w:sz w:val="20"/>
                <w:szCs w:val="20"/>
                <w:color w:val="auto"/>
              </w:rPr>
            </w:pPr>
            <w:r>
              <w:rPr>
                <w:rFonts w:ascii="Times New Roman" w:cs="Times New Roman" w:eastAsia="Times New Roman" w:hAnsi="Times New Roman"/>
                <w:sz w:val="14"/>
                <w:szCs w:val="14"/>
                <w:b w:val="1"/>
                <w:bCs w:val="1"/>
                <w:color w:val="auto"/>
              </w:rPr>
              <w:t>Net cash (used in) provided by financing activities</w:t>
            </w:r>
          </w:p>
        </w:tc>
        <w:tc>
          <w:tcPr>
            <w:tcW w:w="2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8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(19,131)</w:t>
            </w:r>
          </w:p>
        </w:tc>
        <w:tc>
          <w:tcPr>
            <w:tcW w:w="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8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(2,765)</w:t>
            </w:r>
          </w:p>
        </w:tc>
        <w:tc>
          <w:tcPr>
            <w:tcW w:w="2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8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(27,653)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0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Net (decrease) increase in cash, cash equivalents and restricted cash</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(7,713)</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(1,689)</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(4,151)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cash equivalents and restricted cash at beginning of period</w:t>
            </w:r>
          </w:p>
        </w:tc>
        <w:tc>
          <w:tcPr>
            <w:tcW w:w="2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10,219</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11,908</w:t>
            </w:r>
          </w:p>
        </w:tc>
        <w:tc>
          <w:tcPr>
            <w:tcW w:w="2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16,059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64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auto"/>
              </w:rPr>
              <w:t>Cash, cash equivalents and restricted cash at end of period</w:t>
            </w:r>
          </w:p>
        </w:tc>
        <w:tc>
          <w:tcPr>
            <w:tcW w:w="200" w:type="dxa"/>
            <w:vAlign w:val="bottom"/>
          </w:tcPr>
          <w:p>
            <w:pPr>
              <w:spacing w:after="0"/>
              <w:rPr>
                <w:sz w:val="15"/>
                <w:szCs w:val="15"/>
                <w:color w:val="auto"/>
              </w:rPr>
            </w:pPr>
          </w:p>
        </w:tc>
        <w:tc>
          <w:tcPr>
            <w:tcW w:w="1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2,506</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10,219</w:t>
            </w:r>
          </w:p>
        </w:tc>
        <w:tc>
          <w:tcPr>
            <w:tcW w:w="200" w:type="dxa"/>
            <w:vAlign w:val="bottom"/>
          </w:tcPr>
          <w:p>
            <w:pPr>
              <w:spacing w:after="0"/>
              <w:rPr>
                <w:sz w:val="15"/>
                <w:szCs w:val="15"/>
                <w:color w:val="auto"/>
              </w:rPr>
            </w:pPr>
          </w:p>
        </w:tc>
        <w:tc>
          <w:tcPr>
            <w:tcW w:w="1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11,908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640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4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Reconciliation of cash, cash equivalents and restricted cash</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3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2,506</w:t>
            </w:r>
          </w:p>
        </w:tc>
        <w:tc>
          <w:tcPr>
            <w:tcW w:w="6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10,219</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11,402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0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Restricted cash</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506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0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Total cash, cash equivalents and restricted cash at end of period</w:t>
            </w: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2,506</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10,219</w:t>
            </w: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11,908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p>
      <w:pPr>
        <w:ind w:left="9160"/>
        <w:spacing w:after="0"/>
        <w:rPr>
          <w:sz w:val="20"/>
          <w:szCs w:val="20"/>
          <w:color w:val="auto"/>
        </w:rPr>
      </w:pPr>
      <w:r>
        <w:rPr>
          <w:rFonts w:ascii="Times New Roman" w:cs="Times New Roman" w:eastAsia="Times New Roman" w:hAnsi="Times New Roman"/>
          <w:sz w:val="14"/>
          <w:szCs w:val="14"/>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-86995</wp:posOffset>
            </wp:positionV>
            <wp:extent cx="6292215" cy="946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292215" cy="9461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LULU’S FASHION LOUNGE HOLDINGS,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4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4"/>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Fiscal Years Ended</w:t>
            </w: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6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gridSpan w:val="2"/>
          </w:tcPr>
          <w:p>
            <w:pPr>
              <w:jc w:val="center"/>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gridSpan w:val="2"/>
          </w:tcPr>
          <w:p>
            <w:pPr>
              <w:jc w:val="center"/>
              <w:ind w:right="320"/>
              <w:spacing w:after="0" w:line="118" w:lineRule="exact"/>
              <w:rPr>
                <w:sz w:val="20"/>
                <w:szCs w:val="20"/>
                <w:color w:val="auto"/>
              </w:rPr>
            </w:pPr>
            <w:r>
              <w:rPr>
                <w:rFonts w:ascii="Times New Roman" w:cs="Times New Roman" w:eastAsia="Times New Roman" w:hAnsi="Times New Roman"/>
                <w:sz w:val="13"/>
                <w:szCs w:val="13"/>
                <w:b w:val="1"/>
                <w:bCs w:val="1"/>
                <w:color w:val="auto"/>
              </w:rPr>
              <w:t>January 1,</w:t>
            </w:r>
          </w:p>
        </w:tc>
        <w:tc>
          <w:tcPr>
            <w:tcW w:w="140" w:type="dxa"/>
            <w:vAlign w:val="bottom"/>
          </w:tcPr>
          <w:p>
            <w:pPr>
              <w:spacing w:after="0"/>
              <w:rPr>
                <w:sz w:val="10"/>
                <w:szCs w:val="10"/>
                <w:color w:val="auto"/>
              </w:rPr>
            </w:pPr>
          </w:p>
        </w:tc>
        <w:tc>
          <w:tcPr>
            <w:tcW w:w="900" w:type="dxa"/>
            <w:vAlign w:val="bottom"/>
          </w:tcPr>
          <w:p>
            <w:pPr>
              <w:jc w:val="center"/>
              <w:ind w:right="68"/>
              <w:spacing w:after="0" w:line="118" w:lineRule="exact"/>
              <w:rPr>
                <w:sz w:val="20"/>
                <w:szCs w:val="20"/>
                <w:color w:val="auto"/>
              </w:rPr>
            </w:pPr>
            <w:r>
              <w:rPr>
                <w:rFonts w:ascii="Times New Roman" w:cs="Times New Roman" w:eastAsia="Times New Roman" w:hAnsi="Times New Roman"/>
                <w:sz w:val="13"/>
                <w:szCs w:val="13"/>
                <w:b w:val="1"/>
                <w:bCs w:val="1"/>
                <w:color w:val="auto"/>
              </w:rPr>
              <w:t>January 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w w:val="99"/>
              </w:rPr>
              <w:t>2022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(52 weeks)</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(52 weeks)</w:t>
            </w:r>
          </w:p>
        </w:tc>
        <w:tc>
          <w:tcPr>
            <w:tcW w:w="140" w:type="dxa"/>
            <w:vAlign w:val="bottom"/>
          </w:tcPr>
          <w:p>
            <w:pPr>
              <w:spacing w:after="0"/>
              <w:rPr>
                <w:sz w:val="15"/>
                <w:szCs w:val="15"/>
                <w:color w:val="auto"/>
              </w:rPr>
            </w:pPr>
          </w:p>
        </w:tc>
        <w:tc>
          <w:tcPr>
            <w:tcW w:w="9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(52 weeks)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0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Supplemental Disclosure</w:t>
            </w:r>
          </w:p>
        </w:tc>
        <w:tc>
          <w:tcPr>
            <w:tcW w:w="8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Cash paid (refunded) during the period for:</w:t>
            </w: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0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Income taxes, net</w:t>
            </w: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(1,947)</w:t>
            </w:r>
          </w:p>
        </w:tc>
        <w:tc>
          <w:tcPr>
            <w:tcW w:w="2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6,436</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6,112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0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Interest</w:t>
            </w:r>
          </w:p>
        </w:tc>
        <w:tc>
          <w:tcPr>
            <w:tcW w:w="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1,632</w:t>
            </w:r>
          </w:p>
        </w:tc>
        <w:tc>
          <w:tcPr>
            <w:tcW w:w="60" w:type="dxa"/>
            <w:vAlign w:val="bottom"/>
          </w:tcPr>
          <w:p>
            <w:pPr>
              <w:spacing w:after="0"/>
              <w:rPr>
                <w:sz w:val="12"/>
                <w:szCs w:val="12"/>
                <w:color w:val="auto"/>
              </w:rPr>
            </w:pPr>
          </w:p>
        </w:tc>
        <w:tc>
          <w:tcPr>
            <w:tcW w:w="2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893</w:t>
            </w:r>
          </w:p>
        </w:tc>
        <w:tc>
          <w:tcPr>
            <w:tcW w:w="200" w:type="dxa"/>
            <w:vAlign w:val="bottom"/>
          </w:tcPr>
          <w:p>
            <w:pPr>
              <w:spacing w:after="0"/>
              <w:rPr>
                <w:sz w:val="12"/>
                <w:szCs w:val="12"/>
                <w:color w:val="auto"/>
              </w:rPr>
            </w:pPr>
          </w:p>
        </w:tc>
        <w:tc>
          <w:tcPr>
            <w:tcW w:w="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8,555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Operating leases</w:t>
            </w: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5,191</w:t>
            </w:r>
          </w:p>
        </w:tc>
        <w:tc>
          <w:tcPr>
            <w:tcW w:w="6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4,706</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0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Finance leases</w:t>
            </w:r>
          </w:p>
        </w:tc>
        <w:tc>
          <w:tcPr>
            <w:tcW w:w="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1,111</w:t>
            </w:r>
          </w:p>
        </w:tc>
        <w:tc>
          <w:tcPr>
            <w:tcW w:w="60" w:type="dxa"/>
            <w:vAlign w:val="bottom"/>
          </w:tcPr>
          <w:p>
            <w:pPr>
              <w:spacing w:after="0"/>
              <w:rPr>
                <w:sz w:val="12"/>
                <w:szCs w:val="12"/>
                <w:color w:val="auto"/>
              </w:rPr>
            </w:pPr>
          </w:p>
        </w:tc>
        <w:tc>
          <w:tcPr>
            <w:tcW w:w="2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786</w:t>
            </w:r>
          </w:p>
        </w:tc>
        <w:tc>
          <w:tcPr>
            <w:tcW w:w="200" w:type="dxa"/>
            <w:vAlign w:val="bottom"/>
          </w:tcPr>
          <w:p>
            <w:pPr>
              <w:spacing w:after="0"/>
              <w:rPr>
                <w:sz w:val="12"/>
                <w:szCs w:val="12"/>
                <w:color w:val="auto"/>
              </w:rPr>
            </w:pPr>
          </w:p>
        </w:tc>
        <w:tc>
          <w:tcPr>
            <w:tcW w:w="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6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40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Supplemental Disclosure of Non-Cash Investing and Financing Activities</w:t>
            </w: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4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Addition of right-of-use assets, including prepaid rent, net of deferred rent recorded upon adoption of ASC</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28,018</w:t>
            </w:r>
          </w:p>
        </w:tc>
        <w:tc>
          <w:tcPr>
            <w:tcW w:w="200" w:type="dxa"/>
            <w:vAlign w:val="bottom"/>
            <w:shd w:val="clear" w:color="auto" w:fill="CCEEFF"/>
          </w:tcPr>
          <w:p>
            <w:pPr>
              <w:spacing w:after="0"/>
              <w:rPr>
                <w:sz w:val="10"/>
                <w:szCs w:val="10"/>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842</w:t>
            </w:r>
          </w:p>
        </w:tc>
        <w:tc>
          <w:tcPr>
            <w:tcW w:w="80" w:type="dxa"/>
            <w:vAlign w:val="bottom"/>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260" w:type="dxa"/>
            <w:vAlign w:val="bottom"/>
            <w:gridSpan w:val="2"/>
            <w:vMerge w:val="continue"/>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Addition of lease liabilities recorded upon adoption of ASC 842</w:t>
            </w:r>
          </w:p>
        </w:tc>
        <w:tc>
          <w:tcPr>
            <w:tcW w:w="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28,599</w:t>
            </w:r>
          </w:p>
        </w:tc>
        <w:tc>
          <w:tcPr>
            <w:tcW w:w="200" w:type="dxa"/>
            <w:vAlign w:val="bottom"/>
          </w:tcPr>
          <w:p>
            <w:pPr>
              <w:spacing w:after="0"/>
              <w:rPr>
                <w:sz w:val="12"/>
                <w:szCs w:val="12"/>
                <w:color w:val="auto"/>
              </w:rPr>
            </w:pPr>
          </w:p>
        </w:tc>
        <w:tc>
          <w:tcPr>
            <w:tcW w:w="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Right-of-use assets acquired under operating lease obligations</w:t>
            </w: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1,053</w:t>
            </w:r>
          </w:p>
        </w:tc>
        <w:tc>
          <w:tcPr>
            <w:tcW w:w="6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2,299</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Remeasurement of operating lease right-of-use assets for lease modification</w:t>
            </w:r>
          </w:p>
        </w:tc>
        <w:tc>
          <w:tcPr>
            <w:tcW w:w="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1,616</w:t>
            </w:r>
          </w:p>
        </w:tc>
        <w:tc>
          <w:tcPr>
            <w:tcW w:w="200" w:type="dxa"/>
            <w:vAlign w:val="bottom"/>
          </w:tcPr>
          <w:p>
            <w:pPr>
              <w:spacing w:after="0"/>
              <w:rPr>
                <w:sz w:val="12"/>
                <w:szCs w:val="12"/>
                <w:color w:val="auto"/>
              </w:rPr>
            </w:pPr>
          </w:p>
        </w:tc>
        <w:tc>
          <w:tcPr>
            <w:tcW w:w="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Assets acquired under finance lease obligations</w:t>
            </w: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983</w:t>
            </w:r>
          </w:p>
        </w:tc>
        <w:tc>
          <w:tcPr>
            <w:tcW w:w="6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4,750</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Prepaid rent reclassified to lease right-of-use assets</w:t>
            </w:r>
          </w:p>
        </w:tc>
        <w:tc>
          <w:tcPr>
            <w:tcW w:w="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381</w:t>
            </w:r>
          </w:p>
        </w:tc>
        <w:tc>
          <w:tcPr>
            <w:tcW w:w="200" w:type="dxa"/>
            <w:vAlign w:val="bottom"/>
          </w:tcPr>
          <w:p>
            <w:pPr>
              <w:spacing w:after="0"/>
              <w:rPr>
                <w:sz w:val="12"/>
                <w:szCs w:val="12"/>
                <w:color w:val="auto"/>
              </w:rPr>
            </w:pPr>
          </w:p>
        </w:tc>
        <w:tc>
          <w:tcPr>
            <w:tcW w:w="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Purchases of property and equipment included in accounts payable and accrued expenses</w:t>
            </w: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175</w:t>
            </w:r>
          </w:p>
        </w:tc>
        <w:tc>
          <w:tcPr>
            <w:tcW w:w="6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259</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Deemed dividend to preferred stockholders</w:t>
            </w:r>
          </w:p>
        </w:tc>
        <w:tc>
          <w:tcPr>
            <w:tcW w:w="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(122,962)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Paid-in-kind interest added to principal balance of long-term debt and revolving line of credit</w:t>
            </w: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2,074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Offering costs included in accrued expenses</w:t>
            </w:r>
          </w:p>
        </w:tc>
        <w:tc>
          <w:tcPr>
            <w:tcW w:w="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542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Deemed contribution from redemption of redeemable preferred stock</w:t>
            </w: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Conversion of convertible preferred stock to common stock upon the IPO</w:t>
            </w:r>
          </w:p>
        </w:tc>
        <w:tc>
          <w:tcPr>
            <w:tcW w:w="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Reclassification of CEO special compensation award from a liability award to an equity award</w:t>
            </w: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(Concluded)</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4" w:name="page75"/>
    <w:bookmarkEnd w:id="7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LULU’S FASHION LOUNGE HOLDINGS, INC.</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1" w:lineRule="exact"/>
        <w:rPr>
          <w:sz w:val="20"/>
          <w:szCs w:val="20"/>
          <w:color w:val="auto"/>
        </w:rPr>
      </w:pPr>
    </w:p>
    <w:p>
      <w:pPr>
        <w:ind w:left="700" w:hanging="650"/>
        <w:spacing w:after="0"/>
        <w:tabs>
          <w:tab w:leader="none" w:pos="70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Business, Organization and Liquidity</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Organization and Business</w:t>
      </w:r>
    </w:p>
    <w:p>
      <w:pPr>
        <w:spacing w:after="0" w:line="22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Pursuant to a reorganization, Lulu’s Fashion Lounge Holdings, Inc., a Delaware Corporation (“Lulus”, “we”, “our”, or the “Company”), was formed on August 25, 2017 as a holding company and its primary asset is an indirect membership interest in Lulu’s Fashion Lounge, LLC (“Lulus LLC”). Prior to the Company’s initial public offering, the Company was majority-owned by Lulu’s Holdings, L.P. (the “LP”). In connection with the Company’s initial public offering, the LP was liquidated.</w:t>
      </w:r>
    </w:p>
    <w:p>
      <w:pPr>
        <w:spacing w:after="0" w:line="183"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Lulus LLC was founded in 1996, starting as a vintage boutique in Chico, CA that began selling online in 2005 and transitioned to a purely online business in 2008. The LP was formed in 2014 as a holding company and purchased 100% of Lulus LLC’s outstanding common stock in 2014. The Company, through Lulus LLC, is a customer-driven, digitally-native, attainable luxury fashion brand for women, offering modern, unapologetically feminine designs at accessible prices for all of life’s fashionable moments based in Chico, CA.</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Initial Public Offering</w:t>
      </w:r>
    </w:p>
    <w:p>
      <w:pPr>
        <w:spacing w:after="0" w:line="229"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On November 10, 2021, the Company’s registration statement on Form S-1 relating to its initial public offering (“IPO”) was declared effective by the Securities and Exchange Commission (“SEC”) and the shares of its common stock began trading on the Nasdaq Global Market on November 11, 2021. The IPO closed on November 15, 2021, pursuant to which the Company issued and sold 5,750,000 shares of its common stock at a public offering price of $16.00 per share. On November 15, 2021, the Company received net proceeds of approximately $82.0 million from the IPO, after deducting underwriting discounts and commissions of approximately $6.1 million and other issuance costs of approximately $3.9 million. Immediately prior to the completion of the IPO, the Company filed an amended and restated certificate of incorporation, which authorized a total of 250,000,000 shares of common stock at $0.001 par value per share, and 10,000,000 shares of preferred stock, $0.001 par value per share. Immediately prior to the completion of the IPO, all shares of the Series A Preferred Stock then outstanding were converted into 15,000,000 shares of common stock. Additionally, 215,702 shares of common stock were issued to the LP immediately prior to the completion of the IPO. All shares of the Series B Preferred Stock and the Series B-1 Preferred Stock were redeemed and extinguished for a total payment of approximately $17.9 million on November 15, 2021.</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Impact of Macroeconomic Trends on Business</w:t>
      </w:r>
    </w:p>
    <w:p>
      <w:pPr>
        <w:spacing w:after="0" w:line="229"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Changing macroeconomic factors, including inflation, interest rates, student loan repayment resumption, as well as world events, such as the war in Israel and Russia’s war against Ukraine, and overall consumer confidence with respect to current and future economic conditions have impacted our sales in fiscal 2023 as discretionary consumer spending levels and shopping behavior fluctuate with these factors. During fiscal 2023, we responded to these factors, as needed, by taking appropriate pricing, promotional and other actions to stimulate customer demand. These factors may continue to have an impact on our business, results of operations, our growth and financial condition.</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on a going concern basis, which contemplates the realization of assets and the satisfaction of liabilities in the normal course of business. As of December 31, 2023, the Company had total cash and cash equivalents of $2.5 million and amounts due under the revolving line of credit of $8.0 million.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5" w:name="page76"/>
    <w:bookmarkEnd w:id="7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LULU’S FASHION LOUNGE HOLDINGS, INC.</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jc w:val="both"/>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In November 2021 the Company entered into a Credit Agreement (the “2021 Credit Agreement”) to provide a Revolving Facility (the “2021 Revolving Facility”) that provides for borrowings up to $50.0 million. The 2021 Credit Agreement contains various financial covenants and matures on November 15, 2024 as described in Note 5, Debt.</w:t>
      </w:r>
    </w:p>
    <w:p>
      <w:pPr>
        <w:spacing w:after="0" w:line="176"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The Company is evaluating sources of debt financing. However, the Company believes the cash on hand and cash provided by operations in conjunction with certain cash conservation measures to be taken as necessary, including adjustments to marketing and other variable and capital spend, will enable the Company to meet its obligations as they become due within one year. The consolidated financial statements do not reflect any adjustments relating to the outcome of this uncertainty.</w:t>
      </w:r>
    </w:p>
    <w:p>
      <w:pPr>
        <w:spacing w:after="0" w:line="179" w:lineRule="exact"/>
        <w:rPr>
          <w:sz w:val="20"/>
          <w:szCs w:val="20"/>
          <w:color w:val="auto"/>
        </w:rPr>
      </w:pPr>
    </w:p>
    <w:p>
      <w:pPr>
        <w:ind w:left="700" w:hanging="650"/>
        <w:spacing w:after="0"/>
        <w:tabs>
          <w:tab w:leader="none" w:pos="70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Accounting Policies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Fiscal Year</w:t>
      </w:r>
    </w:p>
    <w:p>
      <w:pPr>
        <w:spacing w:after="0" w:line="22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The Company’s fiscal year consists of a 52-week or 53-week period ending on the Sunday nearest December 31. The fiscal years ending December 31, 2023 (“2023”), ended January 1, 2023 (“2022) and ended January 2, 2022 (“2021”) consisted of 52-weeks.</w:t>
      </w:r>
    </w:p>
    <w:p>
      <w:pPr>
        <w:spacing w:after="0" w:line="176"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and accompanying notes include the accounts of the Company and its wholly owned subsidiaries, after elimination of all intercompany balances and transactions. The accompanying consolidated financial statements have been prepared in accordance with accounting principles generally accepted in the United States of America (“GAAP”) and the requirements of the Securities and Exchange Commission.</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GAAP requires management to make estimates and assumptions that affect the reported amount of assets and liabilities and disclosure of contingent assets and liabilities at the date of the consolidated financial statements and the reported amounts of revenue and expenses during the reporting period. The significant estimates and assumptions made by management relate to sales return reserves and related assets for recovery, lease right-of-use assets and related lease liabilities, income tax valuation allowance and fair value of equity awards. Management evaluates its estimates and assumptions on an ongoing basis using historical experience and other factors, including the current economic environment, which management believes to be reasonable under the circumstances. The Company adjusts such estimates and assumptions when facts and circumstances dictate. Changes in those estimates resulting from continuing changes in the economic environment will be reflected in the consolidated financial statements in future periods. As future events and their effects cannot be determined with precision, actual results could materially differ from those estimates and assumptions.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Segment Reporting</w:t>
      </w:r>
    </w:p>
    <w:p>
      <w:pPr>
        <w:spacing w:after="0" w:line="22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The Company manages its business on the basis of one operating and reportable segment, retail. The Company’s chief operating decision maker is its chief executive officer (“CEO”). All long-lived assets are located in the United States and substantially all revenue is attributable to customers based in the United States. International sales are not significant.</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Risks</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of cash, cash equivalents and restricted cash. Such amounts may exceed federally insured limits. The Company reduces credit risk by depositing its cash with major credit-worthy financial institutions within the United States. To date, the Company has not experienced any losses on its cash deposits. As of December 31, 2023, no single customer represented greater than 10%</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6" w:name="page77"/>
    <w:bookmarkEnd w:id="7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LULU’S FASHION LOUNGE HOLDINGS, INC.</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of the Company’s accounts receivable balance. As of January 1, 2023, a single wholesale customer represented 15% of the Company’s accounts receivable balance. No single customer accounted for greater than 10% of the Company’s net revenue during 2023, 2022 and 2021.</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pacing w:after="0" w:line="22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Accounts receivable consist primarily of receivables from credit card processing agencies and wholesale customers. Based on historical collections from these agencies and wholesale customers, no allowance for doubtful accounts was deemed necessary as of December 31, 2023 and January 1, 2023.</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p>
    <w:p>
      <w:pPr>
        <w:spacing w:after="0" w:line="22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Inventory consists of finished goods, which are recorded at the lower of cost or net realizable value, with cost determined using the first-in-first-out method. The cost of inventory consists of merchandise costs and inbound freight costs. Inventory levels are reviewed to identify slow-moving merchandise, and promotions and markdowns are used to clear merchandise. In the period in which the Company determines estimated selling price, less costs to sell, is below cost, or identifies excess, obsolete, or unsalable items, the Company writes its inventory down to its net realizable value.</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22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Property and equipment are recorded at cost and depreciated on a straight-line basis over their estimated useful lives, which range from 3 to 9 years. Improvements that extend the life of a specific asset are capitalized, while normal maintenance and repairs are expensed as incurred. When assets are sold or otherwise retired, their cost and related accumulated depreciation are removed from the balance sheet with any resulting gain or loss reflected in general and administrative expenses in the consolidated statements of operations and comprehensive income (loss).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Goodwill and Tradename</w:t>
      </w:r>
    </w:p>
    <w:p>
      <w:pPr>
        <w:spacing w:after="0" w:line="229"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Goodwill is stated at the excess of the acquisition price over the fair value of net assets acquired in a purchase acquisition and is not amortized. Goodwill arose from the LP’s purchase of 100% of the outstanding common stock of Lulus LLC on July 25, 2014 and the Company has one reporting unit. The Company’s tradename is an indefinite-lived intangible asset and is not amortized. The Company reviews its goodwill and tradename for impairment at least annually (on the first day of the fourth quarter) or more frequently whenever events or changes in circumstances indicate that the carrying amount may be impaired.</w:t>
      </w:r>
    </w:p>
    <w:p>
      <w:pPr>
        <w:spacing w:after="0" w:line="187"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When testing goodwill for impairment, the Company first performs an assessment of qualitative factors (“Step 0 Test”). The qualitative assessment includes assessing the totality of relevant events and circumstances that affect the fair value or carrying value of the reporting unit. These events and circumstances include macroeconomic conditions, industry and competitive environment conditions, overall financial performance, reporting unit specific events and market considerations. The Company also considers recent valuations of the reporting unit, including the magnitude of the difference between the most recent fair value estimate and the carrying value, as well as both positive and adverse events and circumstances, and the extent to which each of the events and circumstances identified may affect the comparison of a reporting unit’s fair value with its carrying value. If the qualitative assessment results in a conclusion that it is more likely than not that the fair value of a reporting unit exceeds the carrying value, then no further testing is performed for that reporting unit. The Company performed the qualitative assessment of its goodwill and determined that it is more likely than not that the fair value of its reporting unit exceeds the carrying value of the reporting unit. As a result, there was no goodwill impairment during 2023, 2022 and 2021. There was no accumulated impairment of goodwill as of December 31, 2023, and January 1, 2023.</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7" w:name="page78"/>
    <w:bookmarkEnd w:id="7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LULU’S FASHION LOUNGE HOLDINGS, INC.</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When testing the tradename for impairment, the Company first performs an assessment of qualitative factors. If qualitative factors indicate that it is more likely than not that the fair value of the tradename is less than its carrying amount, the Company tests the tradename for impairment at the asset level. The Company determines the fair value of the tradename and compares it to the carrying value. If the carrying value of the tradename exceeds the fair value, the Company recognizes an impairment loss in an amount equal to the excess. The Company performed the qualitative assessment of its tradename and determined that it is more likely than not that the fair value of the tradename exceeds the carrying value of the reporting unit. There were no additions to, disposals of, or impairments of the tradename during 2023, 2022 and 2021. There was no accumulated impairment of the tradename as of December 31, 2023, and January 1, 2023.</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 net</w:t>
      </w:r>
    </w:p>
    <w:p>
      <w:pPr>
        <w:spacing w:after="0" w:line="229"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Intangible assets, net consists of capitalized internal-use software development, which is amortized over a 3-year period. The Company capitalizes certain costs in connection with obtaining or developing software for internal use. Additionally, the Company capitalizes qualifying costs incurred for upgrades and enhancements that result in additional functionality to existing software. Amortization of such costs begins when the project is substantially complete and ready for its intended use. Costs related to design or maintenance are expensed as incurred. Intangible asset amortization expense was $1.9 million, $1.7 million and $1.6 million during 2023, 2022 and 2021, respectively.</w:t>
      </w:r>
    </w:p>
    <w:p>
      <w:pPr>
        <w:spacing w:after="0" w:line="187"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Intangible assets are amortized on a straight-line basis over the estimated useful life of the assets. The Company reviews intangible assets for impairment under the long-lived asset model described below. No impairment of intangible assets was recorded during the years presented.</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Long-Lived Asset Impairment</w:t>
      </w:r>
    </w:p>
    <w:p>
      <w:pPr>
        <w:spacing w:after="0" w:line="229"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The Company evaluates long-lived assets, including lease right-of-use assets, for impairment periodically whenever events or changes in circumstances indicate that their related carrying amounts may not be recoverable. In evaluating long-lived assets for recoverability, the Company uses its best estimate of future cash flows expected to result from the use of the asset and eventual disposition. To the extent that projected undiscounted future net cash flows attributable to the asset are less than the carrying amount, an impairment loss is recognized in an amount equal to the difference between the carrying value of such asset and its estimated fair value. There was no impairment recorded during the years presented.</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9" w:lineRule="exact"/>
        <w:rPr>
          <w:sz w:val="20"/>
          <w:szCs w:val="20"/>
          <w:color w:val="auto"/>
        </w:rPr>
      </w:pPr>
    </w:p>
    <w:p>
      <w:pPr>
        <w:jc w:val="both"/>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The Company changed its method of accounting for leases as of January 3, 2022 due to the adoption of Financial Accounting Standards Board (“FASB”) Accounting Standard Codification (“ASC”) 842, Leases (“ASC 842”). Contracts that have been determined to convey the right to use an identified asset are evaluated for classification as an operating or finance lease. For the Company’s operating and finance leases, the Company records a lease liability based on the present value of the lease payments at lease inception. The present value of lease payments is determined by using the interest rate implicit in the lease, if that rate is readily determinable; otherwise, the Company uses its incremental borrowing rate (“IBR”). The determination of the IBR requires judgment and is primarily based on publicly-available information for companies within similar industries and with similar credit profiles. We adjust the rate for the impact of collateralization, the lease term and other specific terms included in each lease arrangement. The IBR is determined at the lease commencement and is subsequently reassessed upon a modification to the lease arrangement. The right-of-use asset is recorded based on the corresponding lease liability at lease inception, adjusted for payments made to the lessor at or before the commencement date, initial direct costs incurred and any tenant incentives allowed for under the lease. The Company does not include optional renewal terms or early termination provisions unless the Company is reasonably certain such options would be exercised at the inception of the lease. Lease right-of-use assets, current portion of lease liabilities, and lease liabilities, net of current portion are included on the consolidated balance sheets.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8" w:name="page79"/>
    <w:bookmarkEnd w:id="7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LULU’S FASHION LOUNGE HOLDINGS, INC.</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Fixed lease expense for operating leases is recognized on a straight-line basis, unless the right-of-use assets have been impaired, over the reasonably assured lease term based on the total lease payments and is included in operating expenses in the consolidated statements of operations and comprehensive income (loss). Fixed and variable lease expense on operating leases is recognized within operating expenses in the consolidated statements of operations and comprehensive income (loss). Finance lease expenses are recognized on a straight-line basis. Fixed and variable expenses are captured within interest expense and depreciation expense, which has components within general and administrative expenses and cost of revenue. The Company’s non-lease components are primarily related to maintenance, insurance and taxes, which varies based on future outcomes and is thus recognized in lease expense when incurred.</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The Company generates revenue primarily from the sale of merchandise products directly to end customers. The sale of products is a distinct performance obligation, and revenue is recognized at a point in time when control of the promised product is transferred to customers, which the Company determined occurs upon shipment based on its evaluation of the related shipping terms. Revenue is recognized in an amount that reflects the transaction price consideration that the Company expects to receive in exchange for those products. The Company’s payment terms are typically at the time of order processing and shipment.</w:t>
      </w:r>
    </w:p>
    <w:p>
      <w:pPr>
        <w:spacing w:after="0" w:line="187"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The Company elected to exclude from revenue taxes assessed by governmental authorities, including value-added and other sales-related taxes, that are imposed on and concurrent with revenue-producing activities. The Company has elected to apply the practical expedient, relative to e-commerce sales, which allows an entity to account for shipping and handling as fulfillment activities, and not a separate performance obligation. Accordingly, the Company recognizes revenue for only one performance obligation, the sale of the product, at shipping point (when the customer gains control). Shipping and handling costs associated with outbound freight are accounted for as fulfillment costs and are included in cost of goods sold. The Company has elected to apply the practical expedient to expense costs as incurred for incremental costs to obtain a contract when the amortization period would have been one year or less.</w:t>
      </w:r>
    </w:p>
    <w:p>
      <w:pPr>
        <w:spacing w:after="0" w:line="192"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Revenue from merchandise product sales is reported net of sales returns, which includes an estimate of future returns based on historical return rates, with a corresponding reduction to cost of sales. There is judgment in utilizing historical trends for estimating future returns. The Company’s refund liability for sales returns is included in the returns reserve on its consolidated balance sheets and represents the expected value of the refund that will be due to the Company’s customers. The Company also has a corresponding asset for recovery that represents the expected net realizable value of the merchandise inventory to be returned.</w:t>
      </w:r>
    </w:p>
    <w:p>
      <w:pPr>
        <w:spacing w:after="0" w:line="187"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The Company sells stored-value gift cards to customers and offers merchandise credit stored-value cards for certain returns. Such stored-value cards do not have an expiration date. The Company recognizes revenue from stored-value cards when the card is redeemed by the customer. The Company has determined that sufficient evidence exists to support an estimate for stored-value card breakage. Subject to requirements to remit balances to governmental agencies, breakage is recognized as revenue in proportion to the pattern of rights exercised by the customer, which is substantially within thirty-six months from the date of issuance. The amount of breakage recognized in revenue during 2023, 2022 and 2021 was not material.</w:t>
      </w:r>
    </w:p>
    <w:p>
      <w:pPr>
        <w:spacing w:after="0" w:line="18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The Company has two types of contractual liabilities: (i) cash collections from its customers prior to delivery of products purchased (“deferred revenue”), which are initially recorded within accrued expenses and recognized as revenue when the products are shipped, (ii) unredeemed gift cards and online store credits, which are initially recorded as a stored-value card liability and are recognized as revenue in the period they are redeemed.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9" w:name="page80"/>
    <w:bookmarkEnd w:id="7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LULU’S FASHION LOUNGE HOLDINGS, INC.</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significant changes in the contract liabilities balances during 2023, 2022 and 2021 (in thousands):</w:t>
      </w:r>
    </w:p>
    <w:p>
      <w:pPr>
        <w:spacing w:after="0" w:line="169" w:lineRule="exact"/>
        <w:rPr>
          <w:sz w:val="20"/>
          <w:szCs w:val="20"/>
          <w:color w:val="auto"/>
        </w:rPr>
      </w:pPr>
    </w:p>
    <w:tbl>
      <w:tblPr>
        <w:tblLayout w:type="fixed"/>
        <w:tblInd w:w="60" w:type="dxa"/>
        <w:tblCellMar>
          <w:top w:w="0" w:type="dxa"/>
          <w:left w:w="0" w:type="dxa"/>
          <w:bottom w:w="0" w:type="dxa"/>
          <w:right w:w="0" w:type="dxa"/>
        </w:tblCellMar>
      </w:tblPr>
      <w:tr>
        <w:trPr>
          <w:trHeight w:val="176"/>
        </w:trPr>
        <w:tc>
          <w:tcPr>
            <w:tcW w:w="6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Deferred</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Stored-Value</w:t>
            </w:r>
          </w:p>
        </w:tc>
      </w:tr>
      <w:tr>
        <w:trPr>
          <w:trHeight w:val="173"/>
        </w:trPr>
        <w:tc>
          <w:tcPr>
            <w:tcW w:w="6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Cards</w:t>
            </w:r>
          </w:p>
        </w:tc>
      </w:tr>
      <w:tr>
        <w:trPr>
          <w:trHeight w:val="210"/>
        </w:trPr>
        <w:tc>
          <w:tcPr>
            <w:tcW w:w="6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3, 2021</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4,973</w:t>
            </w:r>
          </w:p>
        </w:tc>
      </w:tr>
      <w:tr>
        <w:trPr>
          <w:trHeight w:val="198"/>
        </w:trPr>
        <w:tc>
          <w:tcPr>
            <w:tcW w:w="64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Revenue recognized that was included in contract liability balance at the beginning of</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34"/>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the period</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(1,471)</w:t>
            </w:r>
          </w:p>
        </w:tc>
      </w:tr>
      <w:tr>
        <w:trPr>
          <w:trHeight w:val="198"/>
        </w:trPr>
        <w:tc>
          <w:tcPr>
            <w:tcW w:w="64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Increase due to cash received, excluding amounts recognized as revenue during the</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34"/>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period</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3,738</w:t>
            </w:r>
          </w:p>
        </w:tc>
      </w:tr>
      <w:tr>
        <w:trPr>
          <w:trHeight w:val="210"/>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January 2, 2022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7,240</w:t>
            </w:r>
          </w:p>
        </w:tc>
      </w:tr>
      <w:tr>
        <w:trPr>
          <w:trHeight w:val="198"/>
        </w:trPr>
        <w:tc>
          <w:tcPr>
            <w:tcW w:w="64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Revenue recognized that was included in contract liability balance at the beginning of</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34"/>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period</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(3,282)</w:t>
            </w:r>
          </w:p>
        </w:tc>
      </w:tr>
      <w:tr>
        <w:trPr>
          <w:trHeight w:val="198"/>
        </w:trPr>
        <w:tc>
          <w:tcPr>
            <w:tcW w:w="64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Increase due to cash received, excluding amounts recognized as revenue during the</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34"/>
        </w:trPr>
        <w:tc>
          <w:tcPr>
            <w:tcW w:w="6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period</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6,870</w:t>
            </w:r>
          </w:p>
        </w:tc>
      </w:tr>
      <w:tr>
        <w:trPr>
          <w:trHeight w:val="210"/>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 2023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10,828</w:t>
            </w:r>
          </w:p>
        </w:tc>
      </w:tr>
      <w:tr>
        <w:trPr>
          <w:trHeight w:val="198"/>
        </w:trPr>
        <w:tc>
          <w:tcPr>
            <w:tcW w:w="64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Revenue recognized that was included in contract liability balance at the beginning of</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34"/>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the period</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(4,073)</w:t>
            </w:r>
          </w:p>
        </w:tc>
      </w:tr>
      <w:tr>
        <w:trPr>
          <w:trHeight w:val="198"/>
        </w:trPr>
        <w:tc>
          <w:tcPr>
            <w:tcW w:w="64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Increase due to cash received, excluding amounts recognized as revenue during the</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34"/>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period</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6,387</w:t>
            </w:r>
          </w:p>
        </w:tc>
      </w:tr>
      <w:tr>
        <w:trPr>
          <w:trHeight w:val="209"/>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13,142</w:t>
            </w:r>
          </w:p>
        </w:tc>
      </w:tr>
      <w:tr>
        <w:trPr>
          <w:trHeight w:val="20"/>
        </w:trPr>
        <w:tc>
          <w:tcPr>
            <w:tcW w:w="6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Cost of revenue consists of the product costs of merchandise sold to customers; shipping and handling costs including all inbound, outbound, and return shipping expenses; rent, insurance, business property tax, utilities, depreciation and amortization, and repairs and maintenance related to the Company’s distribution facilities; and charges related to inventory shrinkage, damages and the allowance for excess or obsolete inventory.</w:t>
      </w:r>
    </w:p>
    <w:p>
      <w:pPr>
        <w:spacing w:after="0" w:line="2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consist primarily of payroll and benefits costs, including equity-based compensation for the Company’s employees involved in general corporate functions including finance, merchandising, marketing, and technology, as well as costs associated with the use by these functions of facilities and equipment, including depreciation and amortization, rent and other occupancy expenses.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Selling and Marketing Expenses</w:t>
      </w:r>
    </w:p>
    <w:p>
      <w:pPr>
        <w:spacing w:after="0" w:line="22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Selling and marketing expenses consist primarily of customer service, payment processing fees, advertising, targeted online performance marketing and search engine optimization costs. Selling and marketing expenses also include spend on brand marketing channels, including cash and free clothing compensation to influencers, events and other forms of online and offline marketing related to growing and retaining the customer base. Advertising costs included in selling and marketing expenses were $58.5 million, $64.4 million, and $53.6 million in 2023, 2022 and 2021, respectively.</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Equity-Based Compensation</w:t>
      </w:r>
    </w:p>
    <w:p>
      <w:pPr>
        <w:spacing w:after="0" w:line="22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The Company grants stock-based awards to certain employees, officers, directors, and other nonemployee service providers. Equity-based compensation is measured at the grant date or modification date for all equity-based awards made to employees and nonemployees based on the estimated fair value of the awards. Equity-based compensation expense is</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0" w:name="page81"/>
    <w:bookmarkEnd w:id="8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LULU’S FASHION LOUNGE HOLDINGS, INC.</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recognized on a straight-line basis over the period the employee or non-employee is required to provide service in exchange for the award, which is generally the vesting period. The Company classifies equity-based compensation expense as general and administrative expense in the Company’s consolidated statements of operations and comprehensive income (loss).</w:t>
      </w:r>
    </w:p>
    <w:p>
      <w:pPr>
        <w:spacing w:after="0" w:line="180"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The Company has elected to recognize forfeitures by reducing the equity-based compensation expense in the same period as the forfeitures occur.</w:t>
      </w:r>
    </w:p>
    <w:p>
      <w:pPr>
        <w:spacing w:after="0" w:line="162"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The fair value of grants of restricted stock or restricted stock units (“RSUs”) is based on the fair value of the Company’s common stock underlying the award on the grant date or modification date. For stock option awards, the Company applies the Black-Scholes option pricing model to determine the fair value. The model utilizes the estimated per share fair value of the Company’s underlying common stock at the grant date, the expected or contractual term of the option, the expected stock price volatility, risk-free interest rates, and the expected dividend yield of the common stock.</w:t>
      </w:r>
    </w:p>
    <w:p>
      <w:pPr>
        <w:spacing w:after="0" w:line="183"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The Company bases its estimate of expected volatility on the historical volatility of comparable companies from a representative peer group selected based on industry, financial, and market capitalization data. The risk-free interest rate for the expected term of the option is based on the U.S. Treasury implied yield at the date of grant. The Company has elected to use the “simplified method” to determine the expected term which is the midpoint between the vesting date and the end of the contractual term because it has insufficient history upon which to base an assumption about the term; the Company believes the simplified method approximates a term if it were to be based on expected life. The expected dividend yield is 0.0% as the Company has not paid and does not anticipate paying dividends on its common stock.</w:t>
      </w:r>
    </w:p>
    <w:p>
      <w:pPr>
        <w:spacing w:after="0" w:line="18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Determining the grant date fair value of options using the Black-Scholes option pricing model requires management to make assumptions and judgments. These estimates involve inherent uncertainties and, if different assumptions had been used, stock-based compensation expense could have been materially different from the amounts recorded.</w:t>
      </w:r>
    </w:p>
    <w:p>
      <w:pPr>
        <w:spacing w:after="0" w:line="176"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Certain prior year amounts have been reclassified for consistency with the current year presentation. The Company combined equity-based compensation expense and equity-based compensation expense related to CEO special compensation awards into one line item, equity-based compensation expense, in the consolidated statements of cash flows.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The Company accounts for income taxes using the asset and liability method, under which Deferred Tax Assets (“DTA”) and liabilities are recognized for the expected future tax consequences of temporary differences between the financial reporting and tax basis of assets and liabilities and for operating losses and tax credit carryforwards. Deferred tax assets and liabilities are measured using the currently enacted tax rates that apply to taxable income in effect for the years in which they are expected to be realized or settled.</w:t>
      </w:r>
    </w:p>
    <w:p>
      <w:pPr>
        <w:spacing w:after="0" w:line="183"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The Company believes that it is more likely than not that forecasted income, together with future reversals of existing taxable temporary differences and results of recent operations, will be sufficient to fully recover the deferred tax assets. In the event that the Company determines all or part of the net deferred tax assets are not realizable in the future, the Company would record a valuation allowance.</w:t>
      </w:r>
    </w:p>
    <w:p>
      <w:pPr>
        <w:spacing w:after="0" w:line="180"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The Company recognizes tax benefits from uncertain tax positions only if it is more likely than not that the tax position will be sustained on examination by the taxing authorities, based on the technical merits of the position. The tax benefits recognized in the consolidated financial statements from such positions are then measured based on the largest benefit that has a greater than 50% likelihood of being realized upon ultimate settlement. The Company recognizes interest and penalties related to unrecognized tax benefits, if any, as income tax expense.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1" w:name="page82"/>
    <w:bookmarkEnd w:id="8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LULU’S FASHION LOUNGE HOLDINGS, INC.</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Net Income (Loss) Per Share Attributable to Common Stockholders</w:t>
      </w:r>
    </w:p>
    <w:p>
      <w:pPr>
        <w:spacing w:after="0" w:line="22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The Company calculates basic and diluted net income (loss) per share attributable to common stockholders in conformity with the two-class method required for participating securities as the application of the if converted method is not more dilutive. The two-class method requires income (loss) available to common stockholders for the period to be allocated between common stock and participating securities based upon their respective rights to receive dividends as if all income for the period had been distributed.</w:t>
      </w:r>
    </w:p>
    <w:p>
      <w:pPr>
        <w:spacing w:after="0" w:line="183" w:lineRule="exact"/>
        <w:rPr>
          <w:sz w:val="20"/>
          <w:szCs w:val="20"/>
          <w:color w:val="auto"/>
        </w:rPr>
      </w:pPr>
    </w:p>
    <w:p>
      <w:pPr>
        <w:jc w:val="both"/>
        <w:ind w:left="60" w:right="59" w:firstLine="324"/>
        <w:spacing w:after="0" w:line="273" w:lineRule="auto"/>
        <w:rPr>
          <w:sz w:val="20"/>
          <w:szCs w:val="20"/>
          <w:color w:val="auto"/>
        </w:rPr>
      </w:pPr>
      <w:r>
        <w:rPr>
          <w:rFonts w:ascii="Times New Roman" w:cs="Times New Roman" w:eastAsia="Times New Roman" w:hAnsi="Times New Roman"/>
          <w:sz w:val="17"/>
          <w:szCs w:val="17"/>
          <w:color w:val="auto"/>
        </w:rPr>
        <w:t>The Company considers its redeemable preferred stock and convertible preferred stock to be participating securities. In accordance with the two-class method, net income (loss) is adjusted for earnings allocated to these participating securities and the related number of outstanding shares of the participating securities, which include contractual participation rights in undistributed earnings, have been excluded from the computation of basic and diluted net income (loss) per share attributable to common stockholders. The redeemable preferred stock and convertible preferred stock contractually entitle the holders of such shares to participate in dividends but do not contractually require the holders of such shares to participate in the Company’s losses. As such, where applicable, net losses were not allocated to these securities.</w:t>
      </w:r>
    </w:p>
    <w:p>
      <w:pPr>
        <w:spacing w:after="0" w:line="171"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Basic net income (loss) per share attributable to common stockholders is computed using net income (loss) attributable to common stockholders divided by the weighted average number of common shares outstanding during the period. Diluted net income (loss) per share attributable to common stockholders represents net income (loss) attributable to common stockholders divided by the weighted average number of common shares outstanding during the period, including the effects of any dilutive securities outstanding.</w:t>
      </w:r>
    </w:p>
    <w:p>
      <w:pPr>
        <w:spacing w:after="0" w:line="183"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calculation of basic and diluted weighted average shares used to compute net income (loss) per share attributable to common stockholders:</w:t>
      </w:r>
    </w:p>
    <w:p>
      <w:pPr>
        <w:spacing w:after="0" w:line="26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90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5"/>
                <w:szCs w:val="15"/>
                <w:color w:val="auto"/>
              </w:rPr>
            </w:pPr>
          </w:p>
        </w:tc>
        <w:tc>
          <w:tcPr>
            <w:tcW w:w="88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spacing w:after="0"/>
              <w:rPr>
                <w:sz w:val="15"/>
                <w:szCs w:val="15"/>
                <w:color w:val="auto"/>
              </w:rPr>
            </w:pPr>
          </w:p>
        </w:tc>
        <w:tc>
          <w:tcPr>
            <w:tcW w:w="86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900" w:type="dxa"/>
            <w:vAlign w:val="bottom"/>
          </w:tcPr>
          <w:p>
            <w:pPr>
              <w:spacing w:after="0"/>
              <w:rPr>
                <w:sz w:val="15"/>
                <w:szCs w:val="15"/>
                <w:color w:val="auto"/>
              </w:rPr>
            </w:pPr>
          </w:p>
        </w:tc>
        <w:tc>
          <w:tcPr>
            <w:tcW w:w="344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Weighted average shares used to compute net</w:t>
            </w:r>
          </w:p>
        </w:tc>
        <w:tc>
          <w:tcPr>
            <w:tcW w:w="22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per share attributable to common</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p>
        </w:tc>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 Basic</w:t>
            </w: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39,879,121</w:t>
            </w:r>
          </w:p>
        </w:tc>
        <w:tc>
          <w:tcPr>
            <w:tcW w:w="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38,583,854</w:t>
            </w:r>
          </w:p>
        </w:tc>
        <w:tc>
          <w:tcPr>
            <w:tcW w:w="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20,229,675</w:t>
            </w: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900" w:type="dxa"/>
            <w:vAlign w:val="bottom"/>
          </w:tcPr>
          <w:p>
            <w:pPr>
              <w:spacing w:after="0"/>
              <w:rPr>
                <w:sz w:val="21"/>
                <w:szCs w:val="21"/>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Dilutive securities:</w:t>
            </w: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00" w:type="dxa"/>
            <w:vAlign w:val="bottom"/>
          </w:tcPr>
          <w:p>
            <w:pPr>
              <w:spacing w:after="0"/>
              <w:rPr>
                <w:sz w:val="21"/>
                <w:szCs w:val="21"/>
                <w:color w:val="auto"/>
              </w:rPr>
            </w:pPr>
          </w:p>
        </w:tc>
        <w:tc>
          <w:tcPr>
            <w:tcW w:w="3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Unvested restricted stock</w:t>
            </w: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55,127</w:t>
            </w:r>
          </w:p>
        </w:tc>
        <w:tc>
          <w:tcPr>
            <w:tcW w:w="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00" w:type="dxa"/>
            <w:vAlign w:val="bottom"/>
          </w:tcPr>
          <w:p>
            <w:pPr>
              <w:spacing w:after="0"/>
              <w:rPr>
                <w:sz w:val="21"/>
                <w:szCs w:val="21"/>
                <w:color w:val="auto"/>
              </w:rPr>
            </w:pPr>
          </w:p>
        </w:tc>
        <w:tc>
          <w:tcPr>
            <w:tcW w:w="3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Unvested RSUs</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139,064</w:t>
            </w:r>
          </w:p>
        </w:tc>
        <w:tc>
          <w:tcPr>
            <w:tcW w:w="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00" w:type="dxa"/>
            <w:vAlign w:val="bottom"/>
          </w:tcPr>
          <w:p>
            <w:pPr>
              <w:spacing w:after="0"/>
              <w:rPr>
                <w:sz w:val="21"/>
                <w:szCs w:val="21"/>
                <w:color w:val="auto"/>
              </w:rPr>
            </w:pPr>
          </w:p>
        </w:tc>
        <w:tc>
          <w:tcPr>
            <w:tcW w:w="3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Special compensation awards</w:t>
            </w: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67,547</w:t>
            </w:r>
          </w:p>
        </w:tc>
        <w:tc>
          <w:tcPr>
            <w:tcW w:w="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00" w:type="dxa"/>
            <w:vAlign w:val="bottom"/>
          </w:tcPr>
          <w:p>
            <w:pPr>
              <w:spacing w:after="0"/>
              <w:rPr>
                <w:sz w:val="21"/>
                <w:szCs w:val="21"/>
                <w:color w:val="auto"/>
              </w:rPr>
            </w:pPr>
          </w:p>
        </w:tc>
        <w:tc>
          <w:tcPr>
            <w:tcW w:w="3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7,801</w:t>
            </w:r>
          </w:p>
        </w:tc>
        <w:tc>
          <w:tcPr>
            <w:tcW w:w="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8"/>
        </w:trPr>
        <w:tc>
          <w:tcPr>
            <w:tcW w:w="900" w:type="dxa"/>
            <w:vAlign w:val="bottom"/>
          </w:tcPr>
          <w:p>
            <w:pPr>
              <w:spacing w:after="0"/>
              <w:rPr>
                <w:sz w:val="15"/>
                <w:szCs w:val="15"/>
                <w:color w:val="auto"/>
              </w:rPr>
            </w:pPr>
          </w:p>
        </w:tc>
        <w:tc>
          <w:tcPr>
            <w:tcW w:w="344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Weighted average shares used to compute net</w:t>
            </w:r>
          </w:p>
        </w:tc>
        <w:tc>
          <w:tcPr>
            <w:tcW w:w="22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per share attributable to common</w:t>
            </w:r>
          </w:p>
        </w:tc>
        <w:tc>
          <w:tcPr>
            <w:tcW w:w="10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39,879,121</w:t>
            </w:r>
          </w:p>
        </w:tc>
        <w:tc>
          <w:tcPr>
            <w:tcW w:w="60" w:type="dxa"/>
            <w:vAlign w:val="bottom"/>
            <w:shd w:val="clear" w:color="auto" w:fill="CCEEFF"/>
          </w:tcPr>
          <w:p>
            <w:pPr>
              <w:spacing w:after="0"/>
              <w:rPr>
                <w:sz w:val="18"/>
                <w:szCs w:val="18"/>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38,853,393</w:t>
            </w:r>
          </w:p>
        </w:tc>
        <w:tc>
          <w:tcPr>
            <w:tcW w:w="60" w:type="dxa"/>
            <w:vAlign w:val="bottom"/>
            <w:shd w:val="clear" w:color="auto" w:fill="CCEEFF"/>
          </w:tcPr>
          <w:p>
            <w:pPr>
              <w:spacing w:after="0"/>
              <w:rPr>
                <w:sz w:val="18"/>
                <w:szCs w:val="18"/>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20,229,675</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00" w:type="dxa"/>
            <w:vAlign w:val="bottom"/>
          </w:tcPr>
          <w:p>
            <w:pPr>
              <w:spacing w:after="0"/>
              <w:rPr>
                <w:sz w:val="19"/>
                <w:szCs w:val="19"/>
                <w:color w:val="auto"/>
              </w:rPr>
            </w:pPr>
          </w:p>
        </w:tc>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 Diluted</w:t>
            </w:r>
          </w:p>
        </w:tc>
        <w:tc>
          <w:tcPr>
            <w:tcW w:w="1080" w:type="dxa"/>
            <w:vAlign w:val="bottom"/>
            <w:gridSpan w:val="2"/>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34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90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2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90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82" w:name="page83"/>
    <w:bookmarkEnd w:id="8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LULU’S FASHION LOUNGE HOLDINGS, INC.</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The following securities were excluded from the computation of diluted net income (loss) per share attributable to common stockholders for the fiscal years presented because including them would have been anti-dilutive (on an as-converted basis):</w:t>
      </w:r>
    </w:p>
    <w:p>
      <w:pPr>
        <w:spacing w:after="0" w:line="183"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90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09"/>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161,397</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322,793</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322,793</w:t>
            </w: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Unvested restricted stock</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23,379</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78,303</w:t>
            </w: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381,612</w:t>
            </w: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RSUs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3,568,406</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904,076</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Performance stock units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1,811,571</w:t>
            </w:r>
          </w:p>
        </w:tc>
        <w:tc>
          <w:tcPr>
            <w:tcW w:w="10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 stock purchase plan shares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117,511</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2023 Bonus Plan</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196,477</w:t>
            </w:r>
          </w:p>
        </w:tc>
        <w:tc>
          <w:tcPr>
            <w:tcW w:w="10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CEO award share settlement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417,828</w:t>
            </w:r>
          </w:p>
        </w:tc>
      </w:tr>
      <w:tr>
        <w:trPr>
          <w:trHeight w:val="210"/>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5,878,741</w:t>
            </w:r>
          </w:p>
        </w:tc>
        <w:tc>
          <w:tcPr>
            <w:tcW w:w="10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1,305,172</w:t>
            </w:r>
          </w:p>
        </w:tc>
        <w:tc>
          <w:tcPr>
            <w:tcW w:w="8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1,122,233</w:t>
            </w:r>
          </w:p>
        </w:tc>
      </w:tr>
      <w:tr>
        <w:trPr>
          <w:trHeight w:val="20"/>
        </w:trPr>
        <w:tc>
          <w:tcPr>
            <w:tcW w:w="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Redeemable Preferred Stock</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The Company has elected to record its redeemable preferred stock at the greater of its redemption value or the issuance date fair value, net of issuance costs, as it is probable of becoming redeemable due to the passage of time. Any change to the carrying value of redeemable preferred stock recognized in each period is recorded to additional paid-in capital, or in the absence of additional paid-in capital, recorded to accumulated deficit.</w:t>
      </w:r>
    </w:p>
    <w:p>
      <w:pPr>
        <w:spacing w:after="0" w:line="180"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The issuance date fair value of the redeemable preferred stock shares purchased by entities related to current employees, board members, and service providers was higher than the consideration paid and such excess was recorded as equity-based compensation. The excess of the fair value over consideration paid for redeemable preferred stock shares purchased by an existing convertible preferred stockholder was accounted for as a deemed dividend and recorded in additional paid-in capital.</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Comprehensive Income (Loss)</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Comprehensive income (loss) is defined as a change in equity of a business enterprise during a period, resulting from transactions from non-owner sources. To date, the Company has not had any transactions that are required to be reported in comprehensive income (loss) other than the net income (loss) incurred from operations. Thus, comprehensive income (loss) is the same as net income (loss) for the periods presented.</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The Company is an emerging growth company, as defined in the Jumpstart Our Business Startups Act of 2012 (the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it (i) is no longer an emerging growth company or (ii) affirmatively and irrevocably opts out of the extended transition period provided in the JOBS Act. As a result, these consolidated financial statements may not be comparable to companies that comply with the new or revised accounting pronouncements as of public company effective dates.</w:t>
      </w:r>
    </w:p>
    <w:p>
      <w:pPr>
        <w:spacing w:after="0" w:line="192" w:lineRule="exact"/>
        <w:rPr>
          <w:sz w:val="20"/>
          <w:szCs w:val="20"/>
          <w:color w:val="auto"/>
        </w:rPr>
      </w:pPr>
    </w:p>
    <w:p>
      <w:pPr>
        <w:jc w:val="both"/>
        <w:ind w:left="60" w:right="59" w:firstLine="324"/>
        <w:spacing w:after="0" w:line="281" w:lineRule="auto"/>
        <w:rPr>
          <w:sz w:val="20"/>
          <w:szCs w:val="20"/>
          <w:color w:val="auto"/>
        </w:rPr>
      </w:pPr>
      <w:r>
        <w:rPr>
          <w:rFonts w:ascii="Times New Roman" w:cs="Times New Roman" w:eastAsia="Times New Roman" w:hAnsi="Times New Roman"/>
          <w:sz w:val="17"/>
          <w:szCs w:val="17"/>
          <w:color w:val="auto"/>
        </w:rPr>
        <w:t>In June 2016, the FASB issued Accounting Standards Update (“ASU”) 2016-13, Financial Instruments – Credit Losses (Topic 326): Measurement of Credit Losses on Financial Instruments, as amended, which amends guidance on reporting credit losses for assets held at amortized cost basis and available-for-sale debt securities from an incurred loss methodology to an expected loss methodology. For assets held at amortized cost basis, the guidance eliminates the probable</w:t>
      </w:r>
    </w:p>
    <w:p>
      <w:pPr>
        <w:sectPr>
          <w:pgSz w:w="11900" w:h="16838" w:orient="portrait"/>
          <w:cols w:equalWidth="0" w:num="1">
            <w:col w:w="9019"/>
          </w:cols>
          <w:pgMar w:left="1440" w:top="513"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3" w:name="page84"/>
    <w:bookmarkEnd w:id="8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LULU’S FASHION LOUNGE HOLDINGS, INC.</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initial recognition threshold and instead requires an entity to reflect its current estimate of all expected credit losses. The allowance for credit losses is a valuation account that is deducted from the amortized cost basis of the assets to present the net amount expected to be collected. For available-for-sale debt securities, credit losses are recorded through an allowance for credit losses, rather than a write-down, limited to the amount by which fair value is below amortized cost. Additional disclosures about significant estimates and credit quality are also required. The guidance is effective for the Company for fiscal years beginning after December 15, 2022. The Company adopted this guidance on January 2, 2023, and it did not have a material impact on its consolidated financial statements or disclosure requirements.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227"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 xml:space="preserve">In November 2023, FASB issued ASU 2023-07, </w:t>
      </w:r>
      <w:r>
        <w:rPr>
          <w:rFonts w:ascii="Times New Roman" w:cs="Times New Roman" w:eastAsia="Times New Roman" w:hAnsi="Times New Roman"/>
          <w:sz w:val="18"/>
          <w:szCs w:val="18"/>
          <w:i w:val="1"/>
          <w:iCs w:val="1"/>
          <w:color w:val="auto"/>
        </w:rPr>
        <w:t>Segment Reporting (Topic 280): Improvements to Reportable Segment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Disclosures</w:t>
      </w:r>
      <w:r>
        <w:rPr>
          <w:rFonts w:ascii="Times New Roman" w:cs="Times New Roman" w:eastAsia="Times New Roman" w:hAnsi="Times New Roman"/>
          <w:sz w:val="18"/>
          <w:szCs w:val="18"/>
          <w:color w:val="auto"/>
        </w:rPr>
        <w:t>, which updates reportable segment disclosure requirements primarily through enhanced disclosures about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significant segment expenses and information used to assess segment performance. ASU 2023-07 is effective for annual periods beginning after December 15, 2023, and interim periods within fiscal years beginning after December 15, 2024, with early adoption permitted. The amendments should be applied retrospectively to all prior periods presented in the financial statements. We are currently evaluating the effects of this pronouncement on our consolidated financial statements and related disclosures.</w:t>
      </w:r>
    </w:p>
    <w:p>
      <w:pPr>
        <w:spacing w:after="0" w:line="183"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xml:space="preserve"> which amends existing income tax disclosure guidance, primarily requiring more detailed disclosure for income taxes paid and the effective tax rate reconciliation. ASU 2023-09 is effective for annual reporting periods beginning after December 15, 2024, with early adoption permitted and can be applied on either a prospective or retroactive basis. We are currently evaluating this pronouncement to determine its impact on our income tax disclosures.</w:t>
      </w:r>
    </w:p>
    <w:p>
      <w:pPr>
        <w:spacing w:after="0" w:line="181" w:lineRule="exact"/>
        <w:rPr>
          <w:sz w:val="20"/>
          <w:szCs w:val="20"/>
          <w:color w:val="auto"/>
        </w:rPr>
      </w:pPr>
    </w:p>
    <w:p>
      <w:pPr>
        <w:ind w:left="700" w:hanging="650"/>
        <w:spacing w:after="0"/>
        <w:tabs>
          <w:tab w:leader="none" w:pos="70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The Company discloses and recognizes the fair value of its assets and liabilities using a hierarchy that prioritizes the inputs to valuation techniques used to measure fair value. Fair value is defined as the price that would be received to sell an asset or paid to transfer a liability (an exit price) in an orderly transaction between market participants at the measurement date. The guidance establishes three levels of the fair value hierarchy as follows:</w:t>
      </w:r>
    </w:p>
    <w:p>
      <w:pPr>
        <w:spacing w:after="0" w:line="178" w:lineRule="exact"/>
        <w:rPr>
          <w:sz w:val="20"/>
          <w:szCs w:val="20"/>
          <w:color w:val="auto"/>
        </w:rPr>
      </w:pPr>
    </w:p>
    <w:p>
      <w:pPr>
        <w:ind w:left="600" w:right="559" w:firstLine="551"/>
        <w:spacing w:after="0" w:line="284" w:lineRule="auto"/>
        <w:rPr>
          <w:sz w:val="20"/>
          <w:szCs w:val="20"/>
          <w:color w:val="auto"/>
        </w:rPr>
      </w:pPr>
      <w:r>
        <w:rPr>
          <w:rFonts w:ascii="Times New Roman" w:cs="Times New Roman" w:eastAsia="Times New Roman" w:hAnsi="Times New Roman"/>
          <w:sz w:val="18"/>
          <w:szCs w:val="18"/>
          <w:i w:val="1"/>
          <w:iCs w:val="1"/>
          <w:color w:val="auto"/>
        </w:rPr>
        <w:t>Level 1</w:t>
      </w:r>
      <w:r>
        <w:rPr>
          <w:rFonts w:ascii="Times New Roman" w:cs="Times New Roman" w:eastAsia="Times New Roman" w:hAnsi="Times New Roman"/>
          <w:sz w:val="18"/>
          <w:szCs w:val="18"/>
          <w:color w:val="auto"/>
        </w:rPr>
        <w:t>—Inputs are unadjusted, quoted prices in active markets for identical assets or liabilities 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measurement date.</w:t>
      </w:r>
    </w:p>
    <w:p>
      <w:pPr>
        <w:spacing w:after="0" w:line="50" w:lineRule="exact"/>
        <w:rPr>
          <w:sz w:val="20"/>
          <w:szCs w:val="20"/>
          <w:color w:val="auto"/>
        </w:rPr>
      </w:pPr>
    </w:p>
    <w:p>
      <w:pPr>
        <w:jc w:val="both"/>
        <w:ind w:left="600" w:right="259" w:firstLine="551"/>
        <w:spacing w:after="0" w:line="261" w:lineRule="auto"/>
        <w:rPr>
          <w:sz w:val="20"/>
          <w:szCs w:val="20"/>
          <w:color w:val="auto"/>
        </w:rPr>
      </w:pPr>
      <w:r>
        <w:rPr>
          <w:rFonts w:ascii="Times New Roman" w:cs="Times New Roman" w:eastAsia="Times New Roman" w:hAnsi="Times New Roman"/>
          <w:sz w:val="18"/>
          <w:szCs w:val="18"/>
          <w:i w:val="1"/>
          <w:iCs w:val="1"/>
          <w:color w:val="auto"/>
        </w:rPr>
        <w:t>Level 2</w:t>
      </w:r>
      <w:r>
        <w:rPr>
          <w:rFonts w:ascii="Times New Roman" w:cs="Times New Roman" w:eastAsia="Times New Roman" w:hAnsi="Times New Roman"/>
          <w:sz w:val="18"/>
          <w:szCs w:val="18"/>
          <w:color w:val="auto"/>
        </w:rPr>
        <w:t>—Inputs are observable, unadjusted quoted prices in active markets for similar assets or liabilities,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unadjusted quoted prices for identical or similar assets or liabilities in markets that are not active, or other inputs that are observable or can be corroborated by observable market data for substantially the full term of the related assets or liabilities.</w:t>
      </w:r>
    </w:p>
    <w:p>
      <w:pPr>
        <w:spacing w:after="0" w:line="72" w:lineRule="exact"/>
        <w:rPr>
          <w:sz w:val="20"/>
          <w:szCs w:val="20"/>
          <w:color w:val="auto"/>
        </w:rPr>
      </w:pPr>
    </w:p>
    <w:p>
      <w:pPr>
        <w:ind w:left="600" w:right="539" w:firstLine="551"/>
        <w:spacing w:after="0" w:line="284" w:lineRule="auto"/>
        <w:rPr>
          <w:sz w:val="20"/>
          <w:szCs w:val="20"/>
          <w:color w:val="auto"/>
        </w:rPr>
      </w:pPr>
      <w:r>
        <w:rPr>
          <w:rFonts w:ascii="Times New Roman" w:cs="Times New Roman" w:eastAsia="Times New Roman" w:hAnsi="Times New Roman"/>
          <w:sz w:val="18"/>
          <w:szCs w:val="18"/>
          <w:i w:val="1"/>
          <w:iCs w:val="1"/>
          <w:color w:val="auto"/>
        </w:rPr>
        <w:t>Level 3</w:t>
      </w:r>
      <w:r>
        <w:rPr>
          <w:rFonts w:ascii="Times New Roman" w:cs="Times New Roman" w:eastAsia="Times New Roman" w:hAnsi="Times New Roman"/>
          <w:sz w:val="18"/>
          <w:szCs w:val="18"/>
          <w:color w:val="auto"/>
        </w:rPr>
        <w:t>—Unobservable inputs that are significant to the measurement of the fair value of the assets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liabilities that are supported by little or no market data.</w:t>
      </w:r>
    </w:p>
    <w:p>
      <w:pPr>
        <w:spacing w:after="0" w:line="160" w:lineRule="exact"/>
        <w:rPr>
          <w:sz w:val="20"/>
          <w:szCs w:val="20"/>
          <w:color w:val="auto"/>
        </w:rPr>
      </w:pPr>
    </w:p>
    <w:p>
      <w:pPr>
        <w:jc w:val="both"/>
        <w:ind w:left="60" w:right="59" w:firstLine="324"/>
        <w:spacing w:after="0" w:line="273" w:lineRule="auto"/>
        <w:rPr>
          <w:sz w:val="20"/>
          <w:szCs w:val="20"/>
          <w:color w:val="auto"/>
        </w:rPr>
      </w:pPr>
      <w:r>
        <w:rPr>
          <w:rFonts w:ascii="Times New Roman" w:cs="Times New Roman" w:eastAsia="Times New Roman" w:hAnsi="Times New Roman"/>
          <w:sz w:val="17"/>
          <w:szCs w:val="17"/>
          <w:color w:val="auto"/>
        </w:rPr>
        <w:t>The Company’s financial instruments consist of cash and cash equivalents, restricted cash, accounts payable, accrued expenses, revolving line of credit and long-term debt. As of December 31, 2023 and January 1, 2023, the carrying values of cash and cash equivalents, restricted cash, accounts payable and accrued expenses and other current liabilities approximate fair value due to their short-term maturities. The fair value of the Company’s 2021 Revolving Facility that provides for borrowings up to $50.0 million approximates its carrying value as the stated interest rates reset daily at the daily secured overnight financing rate (“SOFR”) plus an applicable margin and, as such, approximate market rates currently available to the Company. The Company does not have any financial instruments that were determined to be Level 3.</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4" w:name="page85"/>
    <w:bookmarkEnd w:id="8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LULU’S FASHION LOUNGE HOLDINGS, INC.</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1" w:lineRule="exact"/>
        <w:rPr>
          <w:sz w:val="20"/>
          <w:szCs w:val="20"/>
          <w:color w:val="auto"/>
        </w:rPr>
      </w:pPr>
    </w:p>
    <w:p>
      <w:pPr>
        <w:ind w:left="700" w:hanging="650"/>
        <w:spacing w:after="0"/>
        <w:tabs>
          <w:tab w:leader="none" w:pos="70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Balance Sheet Components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Property and equipment, net consisted of the following (in thousands) as of:</w:t>
      </w:r>
    </w:p>
    <w:p>
      <w:pPr>
        <w:spacing w:after="0" w:line="247"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980" w:type="dxa"/>
            <w:vAlign w:val="bottom"/>
          </w:tcPr>
          <w:p>
            <w:pPr>
              <w:spacing w:after="0"/>
              <w:rPr>
                <w:sz w:val="13"/>
                <w:szCs w:val="13"/>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 Useful Lives</w:t>
            </w:r>
          </w:p>
        </w:tc>
        <w:tc>
          <w:tcPr>
            <w:tcW w:w="168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 January 1,</w:t>
            </w:r>
          </w:p>
        </w:tc>
      </w:tr>
      <w:tr>
        <w:trPr>
          <w:trHeight w:val="173"/>
        </w:trPr>
        <w:tc>
          <w:tcPr>
            <w:tcW w:w="20" w:type="dxa"/>
            <w:vAlign w:val="bottom"/>
          </w:tcPr>
          <w:p>
            <w:pPr>
              <w:spacing w:after="0"/>
              <w:rPr>
                <w:sz w:val="15"/>
                <w:szCs w:val="15"/>
                <w:color w:val="auto"/>
              </w:rPr>
            </w:pPr>
          </w:p>
        </w:tc>
        <w:tc>
          <w:tcPr>
            <w:tcW w:w="3980" w:type="dxa"/>
            <w:vAlign w:val="bottom"/>
            <w:tcBorders>
              <w:bottom w:val="single" w:sz="8" w:color="CCEEFF"/>
            </w:tcBorders>
          </w:tcPr>
          <w:p>
            <w:pPr>
              <w:spacing w:after="0"/>
              <w:rPr>
                <w:sz w:val="15"/>
                <w:szCs w:val="15"/>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in Years</w:t>
            </w:r>
          </w:p>
        </w:tc>
        <w:tc>
          <w:tcPr>
            <w:tcW w:w="1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9"/>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3 - 9</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3,802</w:t>
            </w: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Equipment</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3 - 7</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3,053</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2,659</w:t>
            </w: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3 - 7</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2,151</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1,880</w:t>
            </w:r>
          </w:p>
        </w:tc>
      </w:tr>
      <w:tr>
        <w:trPr>
          <w:trHeight w:val="216"/>
        </w:trPr>
        <w:tc>
          <w:tcPr>
            <w:tcW w:w="20" w:type="dxa"/>
            <w:vAlign w:val="bottom"/>
          </w:tcPr>
          <w:p>
            <w:pPr>
              <w:spacing w:after="0"/>
              <w:rPr>
                <w:sz w:val="18"/>
                <w:szCs w:val="18"/>
                <w:color w:val="auto"/>
              </w:rPr>
            </w:pPr>
          </w:p>
        </w:tc>
        <w:tc>
          <w:tcPr>
            <w:tcW w:w="3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14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09"/>
        </w:trPr>
        <w:tc>
          <w:tcPr>
            <w:tcW w:w="20" w:type="dxa"/>
            <w:vAlign w:val="bottom"/>
          </w:tcPr>
          <w:p>
            <w:pPr>
              <w:spacing w:after="0"/>
              <w:rPr>
                <w:sz w:val="18"/>
                <w:szCs w:val="18"/>
                <w:color w:val="auto"/>
              </w:rPr>
            </w:pPr>
          </w:p>
        </w:tc>
        <w:tc>
          <w:tcPr>
            <w:tcW w:w="3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1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10,206</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8,377</w:t>
            </w:r>
          </w:p>
        </w:tc>
      </w:tr>
      <w:tr>
        <w:trPr>
          <w:trHeight w:val="216"/>
        </w:trPr>
        <w:tc>
          <w:tcPr>
            <w:tcW w:w="20" w:type="dxa"/>
            <w:vAlign w:val="bottom"/>
          </w:tcPr>
          <w:p>
            <w:pPr>
              <w:spacing w:after="0"/>
              <w:rPr>
                <w:sz w:val="18"/>
                <w:szCs w:val="18"/>
                <w:color w:val="auto"/>
              </w:rPr>
            </w:pPr>
          </w:p>
        </w:tc>
        <w:tc>
          <w:tcPr>
            <w:tcW w:w="3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4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(5,494)</w:t>
            </w: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(3,986)</w:t>
            </w:r>
          </w:p>
        </w:tc>
      </w:tr>
      <w:tr>
        <w:trPr>
          <w:trHeight w:val="210"/>
        </w:trPr>
        <w:tc>
          <w:tcPr>
            <w:tcW w:w="20" w:type="dxa"/>
            <w:vAlign w:val="bottom"/>
          </w:tcPr>
          <w:p>
            <w:pPr>
              <w:spacing w:after="0"/>
              <w:rPr>
                <w:sz w:val="18"/>
                <w:szCs w:val="18"/>
                <w:color w:val="auto"/>
              </w:rPr>
            </w:pPr>
          </w:p>
        </w:tc>
        <w:tc>
          <w:tcPr>
            <w:tcW w:w="39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4,712</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4,391</w:t>
            </w: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Depreciation of property and equipment was $2.9 million, $2.4 million and $1.3 million for 2023, 2022 and 2021, respectively.</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 and Other Current Liabilities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 (in thousands) as of:</w:t>
      </w:r>
    </w:p>
    <w:p>
      <w:pPr>
        <w:spacing w:after="0" w:line="247"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160" w:type="dxa"/>
            <w:vAlign w:val="bottom"/>
          </w:tcPr>
          <w:p>
            <w:pPr>
              <w:spacing w:after="0"/>
              <w:rPr>
                <w:sz w:val="13"/>
                <w:szCs w:val="13"/>
                <w:color w:val="auto"/>
              </w:rPr>
            </w:pPr>
          </w:p>
        </w:tc>
        <w:tc>
          <w:tcPr>
            <w:tcW w:w="10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January 1,</w:t>
            </w:r>
          </w:p>
        </w:tc>
      </w:tr>
      <w:tr>
        <w:trPr>
          <w:trHeight w:val="173"/>
        </w:trPr>
        <w:tc>
          <w:tcPr>
            <w:tcW w:w="20" w:type="dxa"/>
            <w:vAlign w:val="bottom"/>
          </w:tcPr>
          <w:p>
            <w:pPr>
              <w:spacing w:after="0"/>
              <w:rPr>
                <w:sz w:val="15"/>
                <w:szCs w:val="15"/>
                <w:color w:val="auto"/>
              </w:rPr>
            </w:pPr>
          </w:p>
        </w:tc>
        <w:tc>
          <w:tcPr>
            <w:tcW w:w="51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9"/>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6,751</w:t>
            </w: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Accrued marketing</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3,206</w:t>
            </w: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inventory</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3,411</w:t>
            </w: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Accrued freight</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1,890</w:t>
            </w: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2,718</w:t>
            </w:r>
          </w:p>
        </w:tc>
      </w:tr>
      <w:tr>
        <w:trPr>
          <w:trHeight w:val="210"/>
        </w:trPr>
        <w:tc>
          <w:tcPr>
            <w:tcW w:w="20" w:type="dxa"/>
            <w:vAlign w:val="bottom"/>
          </w:tcPr>
          <w:p>
            <w:pPr>
              <w:spacing w:after="0"/>
              <w:rPr>
                <w:sz w:val="18"/>
                <w:szCs w:val="18"/>
                <w:color w:val="auto"/>
              </w:rPr>
            </w:pPr>
          </w:p>
        </w:tc>
        <w:tc>
          <w:tcPr>
            <w:tcW w:w="5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18,343</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17,976</w:t>
            </w: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700" w:hanging="650"/>
        <w:spacing w:after="0"/>
        <w:tabs>
          <w:tab w:leader="none" w:pos="70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Debt</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2021 Credit Agreement and Revolving Facility</w:t>
      </w:r>
    </w:p>
    <w:p>
      <w:pPr>
        <w:spacing w:after="0" w:line="227"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During November 2021, the Company entered into the 2021 Credit Agreement with Bank of America to provide the 2021 Revolving Facility that provides for borrowings up to $50.0 million. During the term of the 2021 Credit Agreement, the Company can increase the aggregate amount of the 2021 Revolving Facility up to an additional $25.0 million (for maximum aggregate lender commitments of up to $75.0 million), subject to the satisfaction of certain conditions under the 2021 Credit Agreement, including obtaining the consent of the administrative agent and an increased commitment from existing or new lenders. In addition, the 2021 Credit Agreement may be used to issue letters of credit up to $7.5 million (the “Letter of Credit”). During 2023, the Company borrowed $13.0 million under the 2021 Revolving Facility and repaid $30.0 million of the outstanding balance. The 2021 Revolving Facility matures on November 15, 2024, while the Letter of Credit matures on November 8, 2024. As of December 31, 2023, the Company had $0.3 million outstanding under the Letter of Credit. As of December 31, 2023, the Company had $41.7 million available for borrowing under the 2021 Revolving Facility and $7.2 million available to issue letters of credit.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5" w:name="page86"/>
    <w:bookmarkEnd w:id="8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LULU’S FASHION LOUNGE HOLDINGS, INC.</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All borrowings under the 2021 Credit Agreement accrue interest at a rate equal to, at the Company’s option, either (x) the term daily SOFR, plus the applicable SOFR adjustment plus a margin of 1.75% per annum or (y) the base rate plus a margin of 0.75% (with the base rate being the highest of the federal funds rate plus 0.50%, the prime rate and term SOFR for a period of one month plus 1.00%). Additionally, a commitment fee of 37.5 basis points will be assessed on unused commitments under the 2021 Revolving Facility, taking into account the sum of outstanding borrowings and letter of credit obligations. As of December 31, 2023, the interest rate for the 2021 Revolving Facility was 7.2%, and during 2023 and 2022, the weighted average interest rate for the 2021 Revolving Facility was 7.7% and 4.2%, respectively.</w:t>
      </w:r>
    </w:p>
    <w:p>
      <w:pPr>
        <w:spacing w:after="0" w:line="189"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Amounts borrowed under the 2021 Credit Agreement are collateralized by all assets of the Company and contains various financial and non-financial covenants for reporting, protecting and obtaining adequate insurance coverage for assets collateralized and for coverage of business operations, and complying with requirements, including the payment of all necessary taxes and fees for all federal, state and local government entities. Immediately upon the occurrence and during the continuance of an event of default, including the noncompliance with the above covenants, the lender may increase the interest rate per annum by 2.0% above the rate that would be otherwise applicable. As of December 31, 2023, management has determined that the Company was in compliance with all financial covenants.</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2017 Term Loan</w:t>
      </w:r>
    </w:p>
    <w:p>
      <w:pPr>
        <w:spacing w:after="0" w:line="227"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In August 2017, the Company entered into a term loan with a principal amount of $135.0 million (the “2017 Term Loan”) and a revolving credit facility of $10.0 million (the “2017 Revolving Facility”) with certain financial institutions for which Credit Suisse acted as an administrative agent (the “2017 Credit Facility”).</w:t>
      </w:r>
    </w:p>
    <w:p>
      <w:pPr>
        <w:spacing w:after="0" w:line="176"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During November 2021, the Company utilized the proceeds from the IPO and the 2021 Revolving Facility to repay the $105.8 million of outstanding principal and $1.4 million of accrued interest related to the 2017 Term Loan. The 2017 Credit Facility was terminated on November 15, 2021 and no prepayment penalties were incurred. With the repayment of the Credit Facility, the Company recognized a loss on debt extinguishment of $1.4 million, comprised of the write-off of $2.3 million in unamortized debt issuance costs and debt discounts, net of forgiveness of accrued debt amendment fees of $0.9 million in accordance with the Fifth Amendment.</w:t>
      </w:r>
    </w:p>
    <w:p>
      <w:pPr>
        <w:spacing w:after="0" w:line="18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effective interest rate on the Term Loan was 15.3% for 2021.</w:t>
      </w: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2017 Revolving Facility</w:t>
      </w:r>
    </w:p>
    <w:p>
      <w:pPr>
        <w:spacing w:after="0" w:line="227" w:lineRule="exact"/>
        <w:rPr>
          <w:sz w:val="20"/>
          <w:szCs w:val="20"/>
          <w:color w:val="auto"/>
        </w:rPr>
      </w:pPr>
    </w:p>
    <w:p>
      <w:pPr>
        <w:jc w:val="both"/>
        <w:ind w:left="60" w:right="79" w:firstLine="324"/>
        <w:spacing w:after="0" w:line="261" w:lineRule="auto"/>
        <w:rPr>
          <w:sz w:val="20"/>
          <w:szCs w:val="20"/>
          <w:color w:val="auto"/>
        </w:rPr>
      </w:pPr>
      <w:r>
        <w:rPr>
          <w:rFonts w:ascii="Times New Roman" w:cs="Times New Roman" w:eastAsia="Times New Roman" w:hAnsi="Times New Roman"/>
          <w:sz w:val="18"/>
          <w:szCs w:val="18"/>
          <w:color w:val="auto"/>
        </w:rPr>
        <w:t>Outstanding amounts under the 2017 Revolving Facility bore interest at variable rates with a minimum of 7.00%. The Company repaid $8.6 million outstanding under the 2017 Revolving Facility in March 2021, and the 2017 Revolving Facility was terminated on November 15, 2021. The effective interest rate for the 2017 Revolving Facility was 11.6% for 2021.</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Debt Discounts and Issuance Costs</w:t>
      </w:r>
    </w:p>
    <w:p>
      <w:pPr>
        <w:spacing w:after="0" w:line="227"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Debt discounts and issuance costs are deferred and amortized over the life of the related loan using the effective interest method. The associated expense is included in interest expense in the consolidated statements of operations and comprehensive income (loss). Debt discounts and issuance costs are presented as a reduction of long-term debt with the exception of debt issuance costs related to the 2021 Revolving Facility, which are included in other non-current assets in the consolidated balance sheets. As of December 31, 2023, and January 1, 2023, unamortized debt issuance costs recorded within other non-current assets were $0.1 million and $0.3 million, respectively.</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6" w:name="page87"/>
    <w:bookmarkEnd w:id="8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LULU’S FASHION LOUNGE HOLDINGS, INC.</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1" w:lineRule="exact"/>
        <w:rPr>
          <w:sz w:val="20"/>
          <w:szCs w:val="20"/>
          <w:color w:val="auto"/>
        </w:rPr>
      </w:pPr>
    </w:p>
    <w:p>
      <w:pPr>
        <w:ind w:left="700" w:hanging="650"/>
        <w:spacing w:after="0"/>
        <w:tabs>
          <w:tab w:leader="none" w:pos="70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229"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 xml:space="preserve">On January 3, 2022, the Company adopted ASC 842 using the alternative transition method and applied the standard only to leases that existed at that date. Under the alternative transition method, the Company did need to restate the comparative periods in transition and will continue to present financial information and disclosures for periods before January 3, 2022, in accordance with FASB ASC 840,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The Company elected the practical expedient package, which among other practical expedients, includes the option to retain the historical classification of leases entered into prior to January 3, 2022, and allows entities to recognize lease payments on a straight-line basis over the lease term for leases with a term of 12 months or less. The Company also elected the practical expedient to combine lease and non-lease components.</w:t>
      </w:r>
    </w:p>
    <w:p>
      <w:pPr>
        <w:spacing w:after="0" w:line="189"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The Company is a lessee under various lease agreements. The determination of whether an arrangement contains a lease, and the lease classification is made at lease commencement (date upon which the Company takes possession of the asset). At lease commencement, the Company also measures and recognizes a right-of-use asset, representing the Company’s right to use the underlying asset, and a lease liability, representing the Company’s obligation to make lease payments under the terms of the arrangement. The lease term is defined as the noncancelable portion of the lease term plus any periods covered by an option to extend the lease if it is reasonably certain that the option will be exercised. For the purposes of recognizing right-of-use assets and lease liabilities associated with the Company’s leases, the Company has elected the practical expedient of not recognizing a right-of-use asset or lease liability for short-term leases, which are leases with a term of 12 months or less. The Company has multiple finance leases and operating leases that are combined and included in the lease right-of-use assets, lease liabilities, current, and lease liabilities, noncurrent on the Company’s consolidated balance sheets.</w:t>
      </w:r>
    </w:p>
    <w:p>
      <w:pPr>
        <w:spacing w:after="0" w:line="192"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The Company primarily leases its distribution facilities and corporate offices under operating lease agreements expiring on various dates through December 2031, most of which contain options to extend. In addition to payment of base rent, the Company is also required to pay property taxes, insurance, and common area maintenance expenses. The Company records lease expense on a straight-line basis over the term of the lease. As of December 31, 2023, the Company had immaterial remaining obligations for the base rent related to the short-term leases.</w:t>
      </w:r>
    </w:p>
    <w:p>
      <w:pPr>
        <w:spacing w:after="0" w:line="18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Company also leases equipment under finance lease agreements expiring on various dates through May 2028.</w:t>
      </w:r>
    </w:p>
    <w:p>
      <w:pPr>
        <w:spacing w:after="0" w:line="225"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2023, the future minimum lease payments for the Company’s operating and finance leases for each of the next five fiscal years, and thereafter, were as follows (in thousands):</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140" w:type="dxa"/>
            <w:vAlign w:val="bottom"/>
          </w:tcPr>
          <w:p>
            <w:pPr>
              <w:spacing w:after="0"/>
              <w:rPr>
                <w:sz w:val="20"/>
                <w:szCs w:val="20"/>
                <w:color w:val="auto"/>
              </w:rPr>
            </w:pPr>
          </w:p>
        </w:tc>
        <w:tc>
          <w:tcPr>
            <w:tcW w:w="15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80" w:type="dxa"/>
            <w:vAlign w:val="bottom"/>
          </w:tcPr>
          <w:p>
            <w:pPr>
              <w:spacing w:after="0"/>
              <w:rPr>
                <w:sz w:val="20"/>
                <w:szCs w:val="20"/>
                <w:color w:val="auto"/>
              </w:rPr>
            </w:pPr>
          </w:p>
        </w:tc>
        <w:tc>
          <w:tcPr>
            <w:tcW w:w="14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Finance Leases</w:t>
            </w:r>
          </w:p>
        </w:tc>
        <w:tc>
          <w:tcPr>
            <w:tcW w:w="220" w:type="dxa"/>
            <w:vAlign w:val="bottom"/>
          </w:tcPr>
          <w:p>
            <w:pPr>
              <w:spacing w:after="0"/>
              <w:rPr>
                <w:sz w:val="20"/>
                <w:szCs w:val="20"/>
                <w:color w:val="auto"/>
              </w:rPr>
            </w:pPr>
          </w:p>
        </w:tc>
        <w:tc>
          <w:tcPr>
            <w:tcW w:w="88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4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5,629</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1,777</w:t>
            </w: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7,406</w:t>
            </w:r>
          </w:p>
        </w:tc>
      </w:tr>
      <w:tr>
        <w:trPr>
          <w:trHeight w:val="216"/>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1,504</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7,767</w:t>
            </w:r>
          </w:p>
        </w:tc>
      </w:tr>
      <w:tr>
        <w:trPr>
          <w:trHeight w:val="216"/>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5,222</w:t>
            </w:r>
          </w:p>
        </w:tc>
      </w:tr>
      <w:tr>
        <w:trPr>
          <w:trHeight w:val="216"/>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5,212</w:t>
            </w:r>
          </w:p>
        </w:tc>
      </w:tr>
      <w:tr>
        <w:trPr>
          <w:trHeight w:val="216"/>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5,258</w:t>
            </w:r>
          </w:p>
        </w:tc>
      </w:tr>
      <w:tr>
        <w:trPr>
          <w:trHeight w:val="216"/>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6,380</w:t>
            </w:r>
          </w:p>
        </w:tc>
      </w:tr>
      <w:tr>
        <w:trPr>
          <w:trHeight w:val="210"/>
        </w:trPr>
        <w:tc>
          <w:tcPr>
            <w:tcW w:w="456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undiscounted lease payment</w:t>
            </w:r>
          </w:p>
        </w:tc>
        <w:tc>
          <w:tcPr>
            <w:tcW w:w="14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33,632</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3,613</w:t>
            </w: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37,245</w:t>
            </w:r>
          </w:p>
        </w:tc>
      </w:tr>
      <w:tr>
        <w:trPr>
          <w:trHeight w:val="216"/>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Present value adjustment</w:t>
            </w:r>
          </w:p>
        </w:tc>
        <w:tc>
          <w:tcPr>
            <w:tcW w:w="140" w:type="dxa"/>
            <w:vAlign w:val="bottom"/>
          </w:tcPr>
          <w:p>
            <w:pPr>
              <w:spacing w:after="0"/>
              <w:rPr>
                <w:sz w:val="18"/>
                <w:szCs w:val="18"/>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(6,020)</w:t>
            </w:r>
          </w:p>
        </w:tc>
        <w:tc>
          <w:tcPr>
            <w:tcW w:w="8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(150)</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(6,170)</w:t>
            </w:r>
          </w:p>
        </w:tc>
      </w:tr>
      <w:tr>
        <w:trPr>
          <w:trHeight w:val="210"/>
        </w:trPr>
        <w:tc>
          <w:tcPr>
            <w:tcW w:w="456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lease liabilities</w:t>
            </w:r>
          </w:p>
        </w:tc>
        <w:tc>
          <w:tcPr>
            <w:tcW w:w="14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27,612</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3,463</w:t>
            </w: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31,075</w:t>
            </w:r>
          </w:p>
        </w:tc>
      </w:tr>
      <w:tr>
        <w:trPr>
          <w:trHeight w:val="216"/>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lease liabilities, current</w:t>
            </w:r>
          </w:p>
        </w:tc>
        <w:tc>
          <w:tcPr>
            <w:tcW w:w="140" w:type="dxa"/>
            <w:vAlign w:val="bottom"/>
          </w:tcPr>
          <w:p>
            <w:pPr>
              <w:spacing w:after="0"/>
              <w:rPr>
                <w:sz w:val="18"/>
                <w:szCs w:val="18"/>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(3,965)</w:t>
            </w:r>
          </w:p>
        </w:tc>
        <w:tc>
          <w:tcPr>
            <w:tcW w:w="8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(1,683)</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(5,648)</w:t>
            </w:r>
          </w:p>
        </w:tc>
      </w:tr>
      <w:tr>
        <w:trPr>
          <w:trHeight w:val="209"/>
        </w:trPr>
        <w:tc>
          <w:tcPr>
            <w:tcW w:w="45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liabilities, noncurrent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23,647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25,427</w:t>
            </w:r>
          </w:p>
        </w:tc>
      </w:tr>
      <w:tr>
        <w:trPr>
          <w:trHeight w:val="20"/>
        </w:trPr>
        <w:tc>
          <w:tcPr>
            <w:tcW w:w="4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Under the terms of the remaining lease agreements, the Company is also responsible for certain variable lease payments that are not included in the measurement of the lease liability, including non-lease components such as common area maintenance fees, taxes, and insurance.</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7" w:name="page88"/>
    <w:bookmarkEnd w:id="8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LULU’S FASHION LOUNGE HOLDINGS, INC.</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following information represents supplemental disclosure of lease costs, components of the statement of cash flows related to operating and finance leases and components of right-of-use assets (in thousands):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Finance lease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-127635</wp:posOffset>
            </wp:positionV>
            <wp:extent cx="5648960" cy="1460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648960" cy="146050"/>
                    </a:xfrm>
                    <a:prstGeom prst="rect">
                      <a:avLst/>
                    </a:prstGeom>
                    <a:noFill/>
                  </pic:spPr>
                </pic:pic>
              </a:graphicData>
            </a:graphic>
          </wp:anchor>
        </w:drawing>
      </w:r>
    </w:p>
    <w:p>
      <w:pPr>
        <w:spacing w:after="0" w:line="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Amortization of ROU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5648960" cy="1371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ind w:left="160"/>
        <w:spacing w:after="0"/>
        <w:rPr>
          <w:sz w:val="20"/>
          <w:szCs w:val="20"/>
          <w:color w:val="auto"/>
        </w:rPr>
      </w:pPr>
      <w:r>
        <w:rPr>
          <w:rFonts w:ascii="Times New Roman" w:cs="Times New Roman" w:eastAsia="Times New Roman" w:hAnsi="Times New Roman"/>
          <w:sz w:val="18"/>
          <w:szCs w:val="18"/>
          <w:color w:val="auto"/>
        </w:rPr>
        <w:t>Interest on lease liabilities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Operating lease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5648960" cy="13716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ind w:left="60"/>
        <w:spacing w:after="0"/>
        <w:rPr>
          <w:sz w:val="20"/>
          <w:szCs w:val="20"/>
          <w:color w:val="auto"/>
        </w:rPr>
      </w:pPr>
      <w:r>
        <w:rPr>
          <w:rFonts w:ascii="Times New Roman" w:cs="Times New Roman" w:eastAsia="Times New Roman" w:hAnsi="Times New Roman"/>
          <w:sz w:val="18"/>
          <w:szCs w:val="18"/>
          <w:color w:val="auto"/>
        </w:rPr>
        <w:t>Short-term lease cost</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Variable lease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5648960" cy="15430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648960" cy="154305"/>
                    </a:xfrm>
                    <a:prstGeom prst="rect">
                      <a:avLst/>
                    </a:prstGeom>
                    <a:noFill/>
                  </pic:spPr>
                </pic:pic>
              </a:graphicData>
            </a:graphic>
          </wp:anchor>
        </w:drawing>
      </w:r>
    </w:p>
    <w:p>
      <w:pPr>
        <w:ind w:left="60"/>
        <w:spacing w:after="0"/>
        <w:rPr>
          <w:sz w:val="20"/>
          <w:szCs w:val="20"/>
          <w:color w:val="auto"/>
        </w:rPr>
      </w:pPr>
      <w:r>
        <w:rPr>
          <w:rFonts w:ascii="Times New Roman" w:cs="Times New Roman" w:eastAsia="Times New Roman" w:hAnsi="Times New Roman"/>
          <w:sz w:val="18"/>
          <w:szCs w:val="18"/>
          <w:color w:val="auto"/>
        </w:rPr>
        <w:t>Total lease cost</w:t>
      </w:r>
    </w:p>
    <w:p>
      <w:pPr>
        <w:spacing w:after="0" w:line="25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Lease cost included in cost of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-119380</wp:posOffset>
            </wp:positionV>
            <wp:extent cx="5648960" cy="13716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spacing w:after="0" w:line="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Lease cost included in general and administrative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13335</wp:posOffset>
            </wp:positionV>
            <wp:extent cx="5648960" cy="13716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Weighted-average remaining lease term - finance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17145</wp:posOffset>
            </wp:positionV>
            <wp:extent cx="5648960" cy="13716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spacing w:after="0" w:line="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Weighted-average remaining lease term - operating leases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Weighted-average discount rate - finance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5648960" cy="13716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ind w:left="60"/>
        <w:spacing w:after="0"/>
        <w:rPr>
          <w:sz w:val="20"/>
          <w:szCs w:val="20"/>
          <w:color w:val="auto"/>
        </w:rPr>
      </w:pPr>
      <w:r>
        <w:rPr>
          <w:rFonts w:ascii="Times New Roman" w:cs="Times New Roman" w:eastAsia="Times New Roman" w:hAnsi="Times New Roman"/>
          <w:sz w:val="18"/>
          <w:szCs w:val="18"/>
          <w:color w:val="auto"/>
        </w:rPr>
        <w:t>Weighted-average discount rate - operating leases</w:t>
      </w:r>
    </w:p>
    <w:p>
      <w:pPr>
        <w:spacing w:after="0" w:line="2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Prior to the adoption of ASC 842</w:t>
      </w:r>
    </w:p>
    <w:p>
      <w:pPr>
        <w:spacing w:after="0" w:line="20" w:lineRule="exact"/>
        <w:rPr>
          <w:sz w:val="20"/>
          <w:szCs w:val="20"/>
          <w:color w:val="auto"/>
        </w:rPr>
      </w:pPr>
      <w:r>
        <w:rPr>
          <w:sz w:val="20"/>
          <w:szCs w:val="20"/>
          <w:color w:val="auto"/>
        </w:rPr>
        <w:br w:type="column"/>
      </w:r>
    </w:p>
    <w:p>
      <w:pPr>
        <w:spacing w:after="0" w:line="39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3"/>
        </w:trPr>
        <w:tc>
          <w:tcPr>
            <w:tcW w:w="180" w:type="dxa"/>
            <w:vAlign w:val="bottom"/>
          </w:tcPr>
          <w:p>
            <w:pPr>
              <w:spacing w:after="0"/>
              <w:rPr>
                <w:sz w:val="15"/>
                <w:szCs w:val="15"/>
                <w:color w:val="auto"/>
              </w:rPr>
            </w:pPr>
          </w:p>
        </w:tc>
        <w:tc>
          <w:tcPr>
            <w:tcW w:w="206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407"/>
        </w:trPr>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1,376</w:t>
            </w:r>
          </w:p>
        </w:tc>
      </w:tr>
      <w:tr>
        <w:trPr>
          <w:trHeight w:val="216"/>
        </w:trPr>
        <w:tc>
          <w:tcPr>
            <w:tcW w:w="18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16"/>
        </w:trPr>
        <w:tc>
          <w:tcPr>
            <w:tcW w:w="18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5,530</w:t>
            </w:r>
          </w:p>
        </w:tc>
      </w:tr>
      <w:tr>
        <w:trPr>
          <w:trHeight w:val="216"/>
        </w:trPr>
        <w:tc>
          <w:tcPr>
            <w:tcW w:w="18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34"/>
        </w:trPr>
        <w:tc>
          <w:tcPr>
            <w:tcW w:w="18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850</w:t>
            </w:r>
          </w:p>
        </w:tc>
      </w:tr>
      <w:tr>
        <w:trPr>
          <w:trHeight w:val="209"/>
        </w:trPr>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7,896</w:t>
            </w: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r>
      <w:tr>
        <w:trPr>
          <w:trHeight w:val="394"/>
        </w:trPr>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6,301</w:t>
            </w:r>
          </w:p>
        </w:tc>
      </w:tr>
      <w:tr>
        <w:trPr>
          <w:trHeight w:val="234"/>
        </w:trPr>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1,595</w:t>
            </w:r>
          </w:p>
        </w:tc>
      </w:tr>
    </w:tbl>
    <w:p>
      <w:pPr>
        <w:spacing w:after="0" w:line="198" w:lineRule="exact"/>
        <w:rPr>
          <w:sz w:val="20"/>
          <w:szCs w:val="20"/>
          <w:color w:val="auto"/>
        </w:rPr>
      </w:pPr>
    </w:p>
    <w:p>
      <w:pPr>
        <w:jc w:val="right"/>
        <w:ind w:right="119"/>
        <w:spacing w:after="0"/>
        <w:rPr>
          <w:sz w:val="20"/>
          <w:szCs w:val="20"/>
          <w:color w:val="auto"/>
        </w:rPr>
      </w:pPr>
      <w:r>
        <w:rPr>
          <w:rFonts w:ascii="Times New Roman" w:cs="Times New Roman" w:eastAsia="Times New Roman" w:hAnsi="Times New Roman"/>
          <w:sz w:val="18"/>
          <w:szCs w:val="18"/>
          <w:color w:val="auto"/>
        </w:rPr>
        <w:t>30 months</w:t>
      </w:r>
    </w:p>
    <w:p>
      <w:pPr>
        <w:spacing w:after="0" w:line="27" w:lineRule="exact"/>
        <w:rPr>
          <w:sz w:val="20"/>
          <w:szCs w:val="20"/>
          <w:color w:val="auto"/>
        </w:rPr>
      </w:pPr>
    </w:p>
    <w:p>
      <w:pPr>
        <w:jc w:val="right"/>
        <w:ind w:right="119"/>
        <w:spacing w:after="0"/>
        <w:rPr>
          <w:sz w:val="20"/>
          <w:szCs w:val="20"/>
          <w:color w:val="auto"/>
        </w:rPr>
      </w:pPr>
      <w:r>
        <w:rPr>
          <w:rFonts w:ascii="Times New Roman" w:cs="Times New Roman" w:eastAsia="Times New Roman" w:hAnsi="Times New Roman"/>
          <w:sz w:val="18"/>
          <w:szCs w:val="18"/>
          <w:color w:val="auto"/>
        </w:rPr>
        <w:t>74 months</w:t>
      </w:r>
    </w:p>
    <w:p>
      <w:pPr>
        <w:spacing w:after="0" w:line="9" w:lineRule="exact"/>
        <w:rPr>
          <w:sz w:val="20"/>
          <w:szCs w:val="20"/>
          <w:color w:val="auto"/>
        </w:rPr>
      </w:pPr>
    </w:p>
    <w:p>
      <w:pPr>
        <w:jc w:val="right"/>
        <w:ind w:right="119"/>
        <w:spacing w:after="0"/>
        <w:rPr>
          <w:sz w:val="20"/>
          <w:szCs w:val="20"/>
          <w:color w:val="auto"/>
        </w:rPr>
      </w:pPr>
      <w:r>
        <w:rPr>
          <w:rFonts w:ascii="Times New Roman" w:cs="Times New Roman" w:eastAsia="Times New Roman" w:hAnsi="Times New Roman"/>
          <w:sz w:val="18"/>
          <w:szCs w:val="18"/>
          <w:color w:val="auto"/>
        </w:rPr>
        <w:t>3.64%</w:t>
      </w:r>
    </w:p>
    <w:p>
      <w:pPr>
        <w:spacing w:after="0" w:line="9" w:lineRule="exact"/>
        <w:rPr>
          <w:sz w:val="20"/>
          <w:szCs w:val="20"/>
          <w:color w:val="auto"/>
        </w:rPr>
      </w:pPr>
    </w:p>
    <w:p>
      <w:pPr>
        <w:jc w:val="right"/>
        <w:ind w:right="119"/>
        <w:spacing w:after="0"/>
        <w:rPr>
          <w:sz w:val="20"/>
          <w:szCs w:val="20"/>
          <w:color w:val="auto"/>
        </w:rPr>
      </w:pPr>
      <w:r>
        <w:rPr>
          <w:rFonts w:ascii="Times New Roman" w:cs="Times New Roman" w:eastAsia="Times New Roman" w:hAnsi="Times New Roman"/>
          <w:sz w:val="18"/>
          <w:szCs w:val="18"/>
          <w:color w:val="auto"/>
        </w:rPr>
        <w:t>6.49%</w:t>
      </w:r>
    </w:p>
    <w:p>
      <w:pPr>
        <w:spacing w:after="0" w:line="611" w:lineRule="exact"/>
        <w:rPr>
          <w:sz w:val="20"/>
          <w:szCs w:val="20"/>
          <w:color w:val="auto"/>
        </w:rPr>
      </w:pPr>
    </w:p>
    <w:p>
      <w:pPr>
        <w:sectPr>
          <w:pgSz w:w="11900" w:h="16838" w:orient="portrait"/>
          <w:cols w:equalWidth="0" w:num="2">
            <w:col w:w="5980" w:space="720"/>
            <w:col w:w="2319"/>
          </w:cols>
          <w:pgMar w:left="1440" w:top="513" w:right="1440" w:bottom="1440" w:gutter="0" w:footer="0" w:header="0"/>
          <w:type w:val="continuous"/>
        </w:sectPr>
      </w:pPr>
    </w:p>
    <w:p>
      <w:pPr>
        <w:spacing w:after="0" w:line="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Rent expense for non-cancelable operating leases was $3.3 million in 2021.</w:t>
      </w:r>
    </w:p>
    <w:p>
      <w:pPr>
        <w:spacing w:after="0" w:line="343" w:lineRule="exact"/>
        <w:rPr>
          <w:sz w:val="20"/>
          <w:szCs w:val="20"/>
          <w:color w:val="auto"/>
        </w:rPr>
      </w:pPr>
    </w:p>
    <w:p>
      <w:pPr>
        <w:ind w:left="700" w:hanging="650"/>
        <w:spacing w:after="0"/>
        <w:tabs>
          <w:tab w:leader="none" w:pos="70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Litigation and Other</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From time to time, the Company may be a party to litigation and subject to claims incurred in the ordinary course of business, including personal injury and indemnification claims, labor and employment claims, threatened claims, breach of contract claims, and other matters. The Company accrues a liability when management believes information available prior to the issuance of the consolidated financial statements indicates it is probable a loss has been incurred as of the date of the consolidated financial statements and the amount of loss can be reasonably estimated. The Company adjusts its accruals to reflect the impact of negotiations, settlements, rulings, advice of legal counsel, and other information and events pertaining to a particular case. Legal costs are expensed as incurred. Although the results of litigation and claims are inherently unpredictable, management concluded that it was not probable that it had incurred a material loss during the periods presented related to such loss contingencies. Therefore, the Company has not recorded a reserve for any contingencies.</w:t>
      </w:r>
    </w:p>
    <w:p>
      <w:pPr>
        <w:spacing w:after="0" w:line="188"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During the normal course of business, the Company may be a party to claims that are not covered by insurance. While the ultimate liability, if any, arising from these claims cannot be predicted with certainty, management does not believe that the resolution of any such claims would have a material adverse effect on the Company’s consolidated financial statements. As of December 31, 2023 and January 1, 2023, the Company was not aware of any currently pending legal matters or claims, individually or in the aggregate, that are expected to have a material adverse impact on its consolidated financial statements.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8" w:name="page89"/>
    <w:bookmarkEnd w:id="8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LULU’S FASHION LOUNGE HOLDINGS, INC.</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w:t>
      </w:r>
    </w:p>
    <w:p>
      <w:pPr>
        <w:spacing w:after="0" w:line="22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The Company also maintains director and officer insurance, which may cover certain liabilities arising from its obligation to indemnify the Company’s directors. To date, the Company has not incurred any material costs and has not accrued any liabilities in the consolidated financial statements as a result of these provisions.</w:t>
      </w:r>
    </w:p>
    <w:p>
      <w:pPr>
        <w:spacing w:after="0" w:line="172" w:lineRule="exact"/>
        <w:rPr>
          <w:sz w:val="20"/>
          <w:szCs w:val="20"/>
          <w:color w:val="auto"/>
        </w:rPr>
      </w:pPr>
    </w:p>
    <w:p>
      <w:pPr>
        <w:ind w:left="700" w:hanging="650"/>
        <w:spacing w:after="0"/>
        <w:tabs>
          <w:tab w:leader="none" w:pos="70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Preferred Stock</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Pursuant to the Company’s amended and restated certificate of incorporation, the Company is authorized to issue 10,000,000 shares of preferred stock having a par value of $0.001 per share. The Company’s Board of Directors has the authority to issue preferred stock and to determine the rights, preferences, privileges, and restrictions, including voting rights, of those shares. As of December 31, 2023, no shares of preferred stock were issued and outstanding.</w:t>
      </w:r>
    </w:p>
    <w:p>
      <w:pPr>
        <w:spacing w:after="0" w:line="176" w:lineRule="exact"/>
        <w:rPr>
          <w:sz w:val="20"/>
          <w:szCs w:val="20"/>
          <w:color w:val="auto"/>
        </w:rPr>
      </w:pPr>
    </w:p>
    <w:p>
      <w:pPr>
        <w:ind w:left="700" w:hanging="650"/>
        <w:spacing w:after="0"/>
        <w:tabs>
          <w:tab w:leader="none" w:pos="70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Common Stock</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 xml:space="preserve">The Company has authorized the issuance of 250,000,000 shares of common stock, $0.001 par value ("common stock") as of December 31, 2023 and January 1, 2023. Holders of common stock are entitled to one vote per share on all matters to be voted upon by the stockholders of the Company. Subject to the preferences that may be applicable to any outstanding share of preferred stock, the holders of common stock are entitled to receive dividends, if any, as may be declared by the Board of Directors. No dividends have been declared to date. As of December 31, 2023, the Company has reserved 161,397 shares of common stock for issuance upon the exercise of stock options, 1,901,328 shares of common stock available for future issuance under the Lulu's Fashion Lounge Holdings, Inc. Omnibus Equity Plan (the “Omnibus Equity Plan”) and 1,420,331 shares of common stock available for future issuance under the 2021 Employee Stock Purchase Plan (the “ESPP”). Both equity plans are further described in Note 10, </w:t>
      </w:r>
      <w:r>
        <w:rPr>
          <w:rFonts w:ascii="Times New Roman" w:cs="Times New Roman" w:eastAsia="Times New Roman" w:hAnsi="Times New Roman"/>
          <w:sz w:val="18"/>
          <w:szCs w:val="18"/>
          <w:i w:val="1"/>
          <w:iCs w:val="1"/>
          <w:color w:val="auto"/>
        </w:rPr>
        <w:t>Equity-Based Compensation</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ind w:left="700" w:hanging="650"/>
        <w:spacing w:after="0"/>
        <w:tabs>
          <w:tab w:leader="none" w:pos="70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Equity-Based Compensation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Omnibus Equity Plan and Employee Stock Purchase Plan</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 connection with the closing of the IPO, the Company adopted the Omnibus Equity Plan and the ESPP.</w:t>
      </w:r>
    </w:p>
    <w:p>
      <w:pPr>
        <w:spacing w:after="0" w:line="225"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Under the Omnibus Equity Plan, incentive awards may be granted to employees, directors, and consultants of the Company. The Company initially reserved 3,719,000 shares of common stock for future issuance under the Omnibus Equity Plan, including any shares subject to awards under the 2021 Equity Incentive Plan (the “2021 Equity Plan”) that are forfeited or lapse unexercised. The number of shares reserved for issuance under the Omnibus Equity Plan will automatically increase on the first day of each fiscal year, starting in 2022 and continuing through 2031, by a number of shares equal to (a) 4% of the total number of shares of the Company’s common stock outstanding on the last day of the immediately preceding year or (b) such smaller number of shares as determined by the Company’s Board of directors.</w:t>
      </w:r>
    </w:p>
    <w:p>
      <w:pPr>
        <w:spacing w:after="0" w:line="18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Under the ESPP, the Company initially reserved 743,803 shares of common stock for future issuance. The number of shares of common stock reserved for issuance will automatically increase on the first day of each fiscal year beginning in 2022 and ending in 2031, by a number of shares equal to (a) 1% of the total number of shares of the Company’s common stock outstanding on the last day of the immediately preceding fiscal year or (b) such smaller number of shares as determined by the Company’s Board of Directors.</w:t>
      </w:r>
    </w:p>
    <w:p>
      <w:pPr>
        <w:spacing w:after="0" w:line="183"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On April 1, 2022, the Company filed a Registration Statement on Form S-8 (the “Form S-8”) with the SEC for the purpose of registering an additional 5,921,056 shares of the Company’s common stock, inclusive of 1,536,845 and 384,211 shares associated with automatic increases that occurred on January 3, 2022 under the Omnibus Equity Plan and ESPP, respectively. This registration also included 3,200,000 and 800,000 shares for the Omnibus Equity</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9" w:name="page90"/>
    <w:bookmarkEnd w:id="8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LULU’S FASHION LOUNGE HOLDINGS, INC.</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Plan and the ESPP, respectively, representing two years’ worth of estimated future automatic increases in availability for these plans.</w:t>
      </w:r>
    </w:p>
    <w:p>
      <w:pPr>
        <w:spacing w:after="0" w:line="162"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On March 8, 2023, the Company’s Board of Directors approved the Fiscal 2023 Bonus Plan (“2023 Bonus Plan”) that will grant RSUs, instead of a typical cash bonus, to eligible employees. For the year ended December 31, 2023, equity-based compensation expense for the 2023 Bonus Plan is $0.4 million. As of December 31, 2023, the unrecognized equity-based compensation expense for 2023 Bonus Plan is $0.2 million and will be recognized over a weighted-average period of 0.29 years.</w:t>
      </w:r>
    </w:p>
    <w:p>
      <w:pPr>
        <w:spacing w:after="0" w:line="183" w:lineRule="exact"/>
        <w:rPr>
          <w:sz w:val="20"/>
          <w:szCs w:val="20"/>
          <w:color w:val="auto"/>
        </w:rPr>
      </w:pPr>
    </w:p>
    <w:p>
      <w:pPr>
        <w:jc w:val="both"/>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On June 29, 2023, the Company filed a Registration Statement on Form S-8 with the SEC for the purpose of registering an additional 2,000,000 shares of the Company's common stock under the Omnibus Equity Plan corresponding to the increase in shares approved by stockholders at the 2023 annual meeting of stockholders.</w:t>
      </w:r>
    </w:p>
    <w:p>
      <w:pPr>
        <w:spacing w:after="0" w:line="176"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As of December 31, 2023, the Company had 1,901,328 and 1,420,331 shares available for issuance under the Omnibus Equity Plan and ESPP, respectively. The compensation committee of the Company’s Board of Directors (the “compensation committee”) administers the Omnibus Equity Plan and determines to whom awards will be granted, the exercise price of any options, the rates at which awards vest and the other terms and conditions of the awards granted under the Omnibus Equity Plan. The compensation committee may or may not issue the full number of shares that are reserved for issuance.</w:t>
      </w:r>
    </w:p>
    <w:p>
      <w:pPr>
        <w:spacing w:after="0" w:line="187"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The Company’s initial ESPP offering period commenced on August 26, 2022. The ESPP consists of consecutive, overlapping 12-month offering periods that begin on each August 26 and February 26 during the term of the ESPP, and end on each August 25 and February 25 occurring 12 months later, as applicable. Each offering period is comprised of two consecutive six-month purchase periods that begin on each August 26 and February 26 within each offering period and end on each February 25 and August 25, respectively, thereafter. The duration and timing of offering periods and purchase periods may be changed by the Company’s Board of Directors or compensation committee at any time. The ESPP allows participants to purchase shares of the Company’s common stock at a 15 percent discount from the lower of the Company’s stock price on (i) the first day of the offering period or on (ii) the last day of the purchase period and includes a rollover mechanism for the purchase price if the stock price on the purchase date is less than the stock price on the offering date. The ESPP also allows participants to reduce their percentage election once during the offering period, but they cannot increase their election until the next offering period.</w:t>
      </w:r>
    </w:p>
    <w:p>
      <w:pPr>
        <w:spacing w:after="0" w:line="192" w:lineRule="exact"/>
        <w:rPr>
          <w:sz w:val="20"/>
          <w:szCs w:val="20"/>
          <w:color w:val="auto"/>
        </w:rPr>
      </w:pPr>
    </w:p>
    <w:p>
      <w:pPr>
        <w:jc w:val="both"/>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The Company recognizes equity-based compensation expense related to shares issued pursuant to the ESPP on a graded vesting approach over each offering period. During 2023, equity-based compensation expense related to the ESPP was $0.2 million.</w:t>
      </w:r>
    </w:p>
    <w:p>
      <w:pPr>
        <w:spacing w:after="0" w:line="176" w:lineRule="exact"/>
        <w:rPr>
          <w:sz w:val="20"/>
          <w:szCs w:val="20"/>
          <w:color w:val="auto"/>
        </w:rPr>
      </w:pPr>
    </w:p>
    <w:p>
      <w:pPr>
        <w:ind w:left="60" w:right="219" w:firstLine="324"/>
        <w:spacing w:after="0" w:line="282" w:lineRule="auto"/>
        <w:rPr>
          <w:sz w:val="20"/>
          <w:szCs w:val="20"/>
          <w:color w:val="auto"/>
        </w:rPr>
      </w:pPr>
      <w:r>
        <w:rPr>
          <w:rFonts w:ascii="Times New Roman" w:cs="Times New Roman" w:eastAsia="Times New Roman" w:hAnsi="Times New Roman"/>
          <w:sz w:val="18"/>
          <w:szCs w:val="18"/>
          <w:color w:val="auto"/>
        </w:rPr>
        <w:t>The Company used the Black-Scholes model to estimate the fair value of the purchase rights under the ESPP. During 2023, the Company utilized the following assumptions:</w:t>
      </w:r>
    </w:p>
    <w:p>
      <w:pPr>
        <w:spacing w:after="0" w:line="85"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1580" w:type="dxa"/>
            <w:vAlign w:val="bottom"/>
            <w:shd w:val="clear" w:color="auto" w:fill="CCEEFF"/>
          </w:tcPr>
          <w:p>
            <w:pPr>
              <w:spacing w:after="0"/>
              <w:rPr>
                <w:sz w:val="18"/>
                <w:szCs w:val="18"/>
                <w:color w:val="auto"/>
              </w:rPr>
            </w:pPr>
          </w:p>
        </w:tc>
        <w:tc>
          <w:tcPr>
            <w:tcW w:w="1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0.50 to 1.00</w:t>
            </w:r>
          </w:p>
        </w:tc>
      </w:tr>
      <w:tr>
        <w:trPr>
          <w:trHeight w:val="216"/>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580" w:type="dxa"/>
            <w:vAlign w:val="bottom"/>
          </w:tcPr>
          <w:p>
            <w:pPr>
              <w:spacing w:after="0"/>
              <w:rPr>
                <w:sz w:val="18"/>
                <w:szCs w:val="18"/>
                <w:color w:val="auto"/>
              </w:rPr>
            </w:pPr>
          </w:p>
        </w:tc>
        <w:tc>
          <w:tcPr>
            <w:tcW w:w="1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93.84 to 99.95 %</w:t>
            </w:r>
          </w:p>
        </w:tc>
      </w:tr>
      <w:tr>
        <w:trPr>
          <w:trHeight w:val="216"/>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580" w:type="dxa"/>
            <w:vAlign w:val="bottom"/>
            <w:shd w:val="clear" w:color="auto" w:fill="CCEEFF"/>
          </w:tcPr>
          <w:p>
            <w:pPr>
              <w:spacing w:after="0"/>
              <w:rPr>
                <w:sz w:val="18"/>
                <w:szCs w:val="18"/>
                <w:color w:val="auto"/>
              </w:rPr>
            </w:pPr>
          </w:p>
        </w:tc>
        <w:tc>
          <w:tcPr>
            <w:tcW w:w="1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5.44 to 5.61 %</w:t>
            </w:r>
          </w:p>
        </w:tc>
      </w:tr>
      <w:tr>
        <w:trPr>
          <w:trHeight w:val="216"/>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1580" w:type="dxa"/>
            <w:vAlign w:val="bottom"/>
          </w:tcPr>
          <w:p>
            <w:pPr>
              <w:spacing w:after="0"/>
              <w:rPr>
                <w:sz w:val="18"/>
                <w:szCs w:val="18"/>
                <w:color w:val="auto"/>
              </w:rPr>
            </w:pPr>
          </w:p>
        </w:tc>
        <w:tc>
          <w:tcPr>
            <w:tcW w:w="150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fair value per share of ESPP awards granted</w:t>
            </w:r>
          </w:p>
        </w:tc>
        <w:tc>
          <w:tcPr>
            <w:tcW w:w="15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0.60 to 0.98</w:t>
            </w: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2021 Equity Plan</w:t>
      </w:r>
    </w:p>
    <w:p>
      <w:pPr>
        <w:spacing w:after="0" w:line="229" w:lineRule="exact"/>
        <w:rPr>
          <w:sz w:val="20"/>
          <w:szCs w:val="20"/>
          <w:color w:val="auto"/>
        </w:rPr>
      </w:pPr>
    </w:p>
    <w:p>
      <w:pPr>
        <w:jc w:val="both"/>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During April 2021, the Company’s Board of Directors adopted the 2021 Equity Plan. The 2021 Equity Plan provides for the issuance of incentive stock options, restricted stock, restricted stock units and other stock-based and cash-based awards to the Company’s employees, directors, and consultants. The maximum aggregate number of shares reserved for</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0" w:name="page91"/>
    <w:bookmarkEnd w:id="9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LULU’S FASHION LOUNGE HOLDINGS, INC.</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issuance under the 2021 Equity Plan was 925,000 shares. The Company’s Board of Directors administers the 2021 Equity Plan. The options outstanding under the 2021 Equity Plan expire ten years from the date of grant. The Company issues new common shares to satisfy stock option exercises. In connection with the closing of the IPO, no further awards will be granted under the 2021 Equity Plan.</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CEO Stock Options and Special Compensation Awards</w:t>
      </w:r>
    </w:p>
    <w:p>
      <w:pPr>
        <w:spacing w:after="0" w:line="229"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In April 2021, the Company entered into an Employment Agreement (“McCreight IPO Employment Agreement”) with the former CEO, David McCreight and granted stock options under the 2021 Equity Plan to purchase 322,793 shares of common stock with an exercise price of $11.35 per share, which vest based on service and performance conditions. 275,133 of these stock options have only service vesting conditions, and 47,660 of these stock options have both service and performance vesting conditions. In addition, a portion of these stock options were subject to accelerated vesting conditions upon the occurrence of certain future events, which were satisfied upon the closing of the IPO. As previously disclosed on a Form 8-K filed on February 13, 2023 (the “February 13 8-K”), Mr. McCreight voluntarily forfeited 161,396 unvested stock options of the Company. During 2023, the forfeiture of 161,396 unvested stock resulted in immediate acceleration of the remaining $1.2 million of compensation expense which was recorded to general and administrative expense. As previously disclosed in the February 13 8-K, the Company and David McCreight also entered into the First Amendment to Lulu’s Fashion Lounge Holdings, Inc. 2021 Equity Incentive Plan Stock Option Agreement that extends the post-termination exercise period of 161,397 vested stock options from 90 days to three (3) years from a termination of service other than for cause, death or disability.</w:t>
      </w:r>
    </w:p>
    <w:p>
      <w:pPr>
        <w:spacing w:after="0" w:line="187"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Under the McCreight IPO Employment Agreement and subject to ongoing employment, and in light of the closing of the IPO, the former CEO received two bonuses which were settled in fully-vested shares of the Company’s common stock equal to $3.0 million each ($6.0 million in aggregate) on March 31, 2022 and March 31, 2023. The Company initially concluded that the two bonuses were subject to the guidance within ASC 718 and were liability-classified upon issuance. Upon the completion of the IPO, the two bonuses became equity-classified as they no longer met the criteria for liability classification. The Company recorded the equity-based compensation expense on a straight-line basis over the requisite service periods through March 31, 2022 and March 31, 2023. The Company recorded equity-based compensation expense related to the two bonuses of $0.4 million and $2.3 million during 2023 and 2022, respectively. During 2023 and 2022, the Company issued 208,914 and 208,914 fully-vested shares, respectively, upon satisfaction of the service performed through March 31, 2023 and March 31, 2022, respectively.</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 summary of stock option activity in 2023 is as follows:</w:t>
      </w:r>
    </w:p>
    <w:p>
      <w:pPr>
        <w:spacing w:after="0" w:line="22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7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7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vMerge w:val="restart"/>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4720" w:type="dxa"/>
            <w:vAlign w:val="bottom"/>
          </w:tcPr>
          <w:p>
            <w:pPr>
              <w:spacing w:after="0"/>
              <w:rPr>
                <w:sz w:val="12"/>
                <w:szCs w:val="12"/>
                <w:color w:val="auto"/>
              </w:rPr>
            </w:pPr>
          </w:p>
        </w:tc>
        <w:tc>
          <w:tcPr>
            <w:tcW w:w="840" w:type="dxa"/>
            <w:vAlign w:val="bottom"/>
            <w:vMerge w:val="restart"/>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Price per</w:t>
            </w: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center"/>
              <w:ind w:right="61"/>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47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10"/>
        </w:trPr>
        <w:tc>
          <w:tcPr>
            <w:tcW w:w="4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 2023</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322,793</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w:t>
            </w:r>
          </w:p>
        </w:tc>
        <w:tc>
          <w:tcPr>
            <w:tcW w:w="1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8.29</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Granted</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Forfeited</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(161,396)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Outstanding as of December 31, 2023</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161,397</w:t>
            </w:r>
          </w:p>
        </w:tc>
        <w:tc>
          <w:tcPr>
            <w:tcW w:w="3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11.35</w:t>
            </w:r>
          </w:p>
        </w:tc>
        <w:tc>
          <w:tcPr>
            <w:tcW w:w="16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jc w:val="right"/>
              <w:ind w:right="98"/>
              <w:spacing w:after="0"/>
              <w:rPr>
                <w:sz w:val="20"/>
                <w:szCs w:val="20"/>
                <w:color w:val="auto"/>
              </w:rPr>
            </w:pPr>
            <w:r>
              <w:rPr>
                <w:rFonts w:ascii="Times New Roman" w:cs="Times New Roman" w:eastAsia="Times New Roman" w:hAnsi="Times New Roman"/>
                <w:sz w:val="18"/>
                <w:szCs w:val="18"/>
                <w:color w:val="auto"/>
              </w:rPr>
              <w:t>7.29</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Exercisable as of December 31, 2023</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161,397</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w:t>
            </w:r>
          </w:p>
        </w:tc>
        <w:tc>
          <w:tcPr>
            <w:tcW w:w="1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7.29</w:t>
            </w:r>
          </w:p>
        </w:tc>
        <w:tc>
          <w:tcPr>
            <w:tcW w:w="3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Vested and expected to vest as of December 31, 2023</w:t>
            </w:r>
          </w:p>
        </w:tc>
        <w:tc>
          <w:tcPr>
            <w:tcW w:w="840" w:type="dxa"/>
            <w:vAlign w:val="bottom"/>
            <w:tcBorders>
              <w:bottom w:val="single" w:sz="8" w:color="auto"/>
            </w:tcBorders>
          </w:tcPr>
          <w:p>
            <w:pPr>
              <w:spacing w:after="0" w:line="20" w:lineRule="exact"/>
              <w:rPr>
                <w:sz w:val="1"/>
                <w:szCs w:val="1"/>
                <w:color w:val="auto"/>
              </w:rPr>
            </w:pPr>
          </w:p>
        </w:tc>
        <w:tc>
          <w:tcPr>
            <w:tcW w:w="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11.35</w:t>
            </w:r>
          </w:p>
        </w:tc>
        <w:tc>
          <w:tcPr>
            <w:tcW w:w="160" w:type="dxa"/>
            <w:vAlign w:val="bottom"/>
          </w:tcPr>
          <w:p>
            <w:pPr>
              <w:spacing w:after="0" w:line="20" w:lineRule="exact"/>
              <w:rPr>
                <w:sz w:val="1"/>
                <w:szCs w:val="1"/>
                <w:color w:val="auto"/>
              </w:rPr>
            </w:pPr>
          </w:p>
        </w:tc>
        <w:tc>
          <w:tcPr>
            <w:tcW w:w="880" w:type="dxa"/>
            <w:vAlign w:val="bottom"/>
            <w:vMerge w:val="restart"/>
          </w:tcPr>
          <w:p>
            <w:pPr>
              <w:jc w:val="right"/>
              <w:ind w:right="98"/>
              <w:spacing w:after="0"/>
              <w:rPr>
                <w:sz w:val="20"/>
                <w:szCs w:val="20"/>
                <w:color w:val="auto"/>
              </w:rPr>
            </w:pPr>
            <w:r>
              <w:rPr>
                <w:rFonts w:ascii="Times New Roman" w:cs="Times New Roman" w:eastAsia="Times New Roman" w:hAnsi="Times New Roman"/>
                <w:sz w:val="18"/>
                <w:szCs w:val="18"/>
                <w:color w:val="auto"/>
              </w:rPr>
              <w:t>7.29</w:t>
            </w:r>
          </w:p>
        </w:tc>
        <w:tc>
          <w:tcPr>
            <w:tcW w:w="3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vMerge w:val="restart"/>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line="20" w:lineRule="exact"/>
              <w:rPr>
                <w:sz w:val="1"/>
                <w:szCs w:val="1"/>
                <w:color w:val="auto"/>
              </w:rPr>
            </w:pPr>
          </w:p>
        </w:tc>
      </w:tr>
      <w:tr>
        <w:trPr>
          <w:trHeight w:val="196"/>
        </w:trPr>
        <w:tc>
          <w:tcPr>
            <w:tcW w:w="4720" w:type="dxa"/>
            <w:vAlign w:val="bottom"/>
            <w:vMerge w:val="continue"/>
          </w:tcPr>
          <w:p>
            <w:pPr>
              <w:spacing w:after="0"/>
              <w:rPr>
                <w:sz w:val="17"/>
                <w:szCs w:val="17"/>
                <w:color w:val="auto"/>
              </w:rPr>
            </w:pPr>
          </w:p>
        </w:tc>
        <w:tc>
          <w:tcPr>
            <w:tcW w:w="8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161,397</w:t>
            </w:r>
          </w:p>
        </w:tc>
        <w:tc>
          <w:tcPr>
            <w:tcW w:w="300" w:type="dxa"/>
            <w:vAlign w:val="bottom"/>
            <w:gridSpan w:val="2"/>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300" w:type="dxa"/>
            <w:vAlign w:val="bottom"/>
            <w:gridSpan w:val="2"/>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There were no options granted during 2023 and 2022. There were 322,793 options granted during 2021 with a weighted-average grant-date fair value of $16.44 per share.</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1" w:name="page92"/>
    <w:bookmarkEnd w:id="9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LULU’S FASHION LOUNGE HOLDINGS, INC.</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presents the range of assumptions used to estimate the fair value of options granted during 2021:</w:t>
      </w:r>
    </w:p>
    <w:p>
      <w:pPr>
        <w:spacing w:after="0" w:line="257" w:lineRule="exact"/>
        <w:rPr>
          <w:sz w:val="20"/>
          <w:szCs w:val="20"/>
          <w:color w:val="auto"/>
        </w:rPr>
      </w:pPr>
    </w:p>
    <w:tbl>
      <w:tblPr>
        <w:tblLayout w:type="fixed"/>
        <w:tblInd w:w="9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common stock</w:t>
            </w:r>
          </w:p>
        </w:tc>
        <w:tc>
          <w:tcPr>
            <w:tcW w:w="22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25.86</w:t>
            </w: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2280" w:type="dxa"/>
            <w:vAlign w:val="bottom"/>
          </w:tcPr>
          <w:p>
            <w:pPr>
              <w:spacing w:after="0"/>
              <w:rPr>
                <w:sz w:val="18"/>
                <w:szCs w:val="18"/>
                <w:color w:val="auto"/>
              </w:rPr>
            </w:pPr>
          </w:p>
        </w:tc>
        <w:tc>
          <w:tcPr>
            <w:tcW w:w="8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6.48</w:t>
            </w: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2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50.62 %</w:t>
            </w: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2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1.17 %</w:t>
            </w: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2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0 %</w:t>
            </w:r>
          </w:p>
        </w:tc>
      </w:tr>
    </w:tbl>
    <w:p>
      <w:pPr>
        <w:spacing w:after="0" w:line="196"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Fair Value of Common Stock – </w:t>
      </w:r>
      <w:r>
        <w:rPr>
          <w:rFonts w:ascii="Times New Roman" w:cs="Times New Roman" w:eastAsia="Times New Roman" w:hAnsi="Times New Roman"/>
          <w:sz w:val="18"/>
          <w:szCs w:val="18"/>
          <w:color w:val="auto"/>
        </w:rPr>
        <w:t>Given the absence of a public market prior to the IPO, the Board of Directors,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assistance of a third-party valuation specialist, determined the fair value of the Company’s common stock at the time of the grant of stock options by considering a number of objective and subjective factors, including the Company’s actual operating and financial performance, market conditions and performance of comparable publicly-traded companies, developments and milestones in the Company, the likelihood of achieving a liquidity event and transactions involving the Company’s common stock, among other factors. The fair value of the underlying common stock was determined by the Board of directors. The Company has not granted any stock options subsequent to the IPO.</w:t>
      </w:r>
    </w:p>
    <w:p>
      <w:pPr>
        <w:spacing w:after="0" w:line="183" w:lineRule="exact"/>
        <w:rPr>
          <w:sz w:val="20"/>
          <w:szCs w:val="20"/>
          <w:color w:val="auto"/>
        </w:rPr>
      </w:pPr>
    </w:p>
    <w:p>
      <w:pPr>
        <w:jc w:val="both"/>
        <w:ind w:left="60" w:right="79"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Risk-Free Interest Rate - </w:t>
      </w:r>
      <w:r>
        <w:rPr>
          <w:rFonts w:ascii="Times New Roman" w:cs="Times New Roman" w:eastAsia="Times New Roman" w:hAnsi="Times New Roman"/>
          <w:sz w:val="18"/>
          <w:szCs w:val="18"/>
          <w:color w:val="auto"/>
        </w:rPr>
        <w:t>The risk-free interest rate is based on the U.S. Treasury yield in effect at the time the options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granted for zero coupon U.S. Treasury notes with maturities approximately equal to the expected term of the option.</w:t>
      </w:r>
    </w:p>
    <w:p>
      <w:pPr>
        <w:spacing w:after="0" w:line="158" w:lineRule="exact"/>
        <w:rPr>
          <w:sz w:val="20"/>
          <w:szCs w:val="20"/>
          <w:color w:val="auto"/>
        </w:rPr>
      </w:pPr>
    </w:p>
    <w:p>
      <w:pPr>
        <w:jc w:val="both"/>
        <w:ind w:left="60" w:right="59"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Expected Term </w:t>
      </w:r>
      <w:r>
        <w:rPr>
          <w:rFonts w:ascii="Times New Roman" w:cs="Times New Roman" w:eastAsia="Times New Roman" w:hAnsi="Times New Roman"/>
          <w:sz w:val="18"/>
          <w:szCs w:val="18"/>
          <w:color w:val="auto"/>
        </w:rPr>
        <w:t>- The expected term is based upon the Company’s consideration of the historical life of options,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vesting period of the option granted, and the contractual period of the option granted. The Company has a limited history of granting options, accordingly, the expected life was calculated using the simplified method.</w:t>
      </w:r>
    </w:p>
    <w:p>
      <w:pPr>
        <w:spacing w:after="0" w:line="173" w:lineRule="exact"/>
        <w:rPr>
          <w:sz w:val="20"/>
          <w:szCs w:val="20"/>
          <w:color w:val="auto"/>
        </w:rPr>
      </w:pPr>
    </w:p>
    <w:p>
      <w:pPr>
        <w:jc w:val="both"/>
        <w:ind w:left="60" w:right="59"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Volatility </w:t>
      </w:r>
      <w:r>
        <w:rPr>
          <w:rFonts w:ascii="Times New Roman" w:cs="Times New Roman" w:eastAsia="Times New Roman" w:hAnsi="Times New Roman"/>
          <w:sz w:val="18"/>
          <w:szCs w:val="18"/>
          <w:color w:val="auto"/>
        </w:rPr>
        <w:t>- As the Company was not publicly traded prior to the IPO, the expected volatility for the Company’s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options was determined by using an average of historical volatilities of selected industry peers deemed to be comparable to the Company’s business corresponding to the expected term of the awards.</w:t>
      </w:r>
    </w:p>
    <w:p>
      <w:pPr>
        <w:spacing w:after="0" w:line="173" w:lineRule="exact"/>
        <w:rPr>
          <w:sz w:val="20"/>
          <w:szCs w:val="20"/>
          <w:color w:val="auto"/>
        </w:rPr>
      </w:pPr>
    </w:p>
    <w:p>
      <w:pPr>
        <w:jc w:val="both"/>
        <w:ind w:left="60" w:right="59"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Dividend Yield </w:t>
      </w:r>
      <w:r>
        <w:rPr>
          <w:rFonts w:ascii="Times New Roman" w:cs="Times New Roman" w:eastAsia="Times New Roman" w:hAnsi="Times New Roman"/>
          <w:sz w:val="18"/>
          <w:szCs w:val="18"/>
          <w:color w:val="auto"/>
        </w:rPr>
        <w:t>- The expected dividend rate is zero as the Company currently has no history or expectation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declaring dividends on its common stock.</w:t>
      </w:r>
    </w:p>
    <w:p>
      <w:pPr>
        <w:spacing w:after="0" w:line="160"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During 2023 and 2022, equity-based compensation expense of $1.2 million and $1.4 million, respectively, was recorded to general and administrative expense related to the stock options. As of December 31, 2023, there is zero unrecognized compensation cost related to the stock options.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Restricted Stock and RSUs</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Immediately before the completion of the IPO, the LP was liquidated and the unit holders of the LP received shares of the Company’s common stock in exchange for their units of the LP. The Class P unit holders (see below) received 1,964,103 shares of common stock, comprised of 1,536,304 shares of vested common stock and 427,799 shares of unvested restricted stock. Any such shares of restricted stock received in respect of unvested Class P units of the LP are subject to vesting and a risk of forfeiture to the same extent as the corresponding Class P units. The Company recorded equity-based compensation expense of $0.7 million and $2.6 million during 2023 and 2022, respectively, related to the exchanged restricted stock. As of December 31, 2023, the unrecognized equity-based compensation expense for all restricted stock is $0.4 million and will be recognized over a weighted-average period of 0.83 years.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2" w:name="page93"/>
    <w:bookmarkEnd w:id="9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LULU’S FASHION LOUNGE HOLDINGS, INC.</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summarizes the rollforward of unvested restricted stock in 2023:</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700" w:type="dxa"/>
            <w:vAlign w:val="bottom"/>
          </w:tcPr>
          <w:p>
            <w:pPr>
              <w:spacing w:after="0"/>
              <w:rPr>
                <w:sz w:val="13"/>
                <w:szCs w:val="13"/>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Unvested</w:t>
            </w:r>
          </w:p>
        </w:tc>
        <w:tc>
          <w:tcPr>
            <w:tcW w:w="120" w:type="dxa"/>
            <w:vAlign w:val="bottom"/>
          </w:tcPr>
          <w:p>
            <w:pPr>
              <w:spacing w:after="0"/>
              <w:rPr>
                <w:sz w:val="13"/>
                <w:szCs w:val="13"/>
                <w:color w:val="auto"/>
              </w:rPr>
            </w:pPr>
          </w:p>
        </w:tc>
        <w:tc>
          <w:tcPr>
            <w:tcW w:w="94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w w:val="99"/>
              </w:rPr>
              <w:t>Weighted-</w:t>
            </w:r>
          </w:p>
        </w:tc>
      </w:tr>
      <w:tr>
        <w:trPr>
          <w:trHeight w:val="148"/>
        </w:trPr>
        <w:tc>
          <w:tcPr>
            <w:tcW w:w="6700" w:type="dxa"/>
            <w:vAlign w:val="bottom"/>
          </w:tcPr>
          <w:p>
            <w:pPr>
              <w:spacing w:after="0"/>
              <w:rPr>
                <w:sz w:val="12"/>
                <w:szCs w:val="12"/>
                <w:color w:val="auto"/>
              </w:rPr>
            </w:pPr>
          </w:p>
        </w:tc>
        <w:tc>
          <w:tcPr>
            <w:tcW w:w="11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Restricted</w:t>
            </w:r>
          </w:p>
        </w:tc>
        <w:tc>
          <w:tcPr>
            <w:tcW w:w="120" w:type="dxa"/>
            <w:vAlign w:val="bottom"/>
          </w:tcPr>
          <w:p>
            <w:pPr>
              <w:spacing w:after="0"/>
              <w:rPr>
                <w:sz w:val="12"/>
                <w:szCs w:val="12"/>
                <w:color w:val="auto"/>
              </w:rPr>
            </w:pPr>
          </w:p>
        </w:tc>
        <w:tc>
          <w:tcPr>
            <w:tcW w:w="940" w:type="dxa"/>
            <w:vAlign w:val="bottom"/>
          </w:tcPr>
          <w:p>
            <w:pPr>
              <w:jc w:val="center"/>
              <w:ind w:right="15"/>
              <w:spacing w:after="0" w:line="149" w:lineRule="exact"/>
              <w:rPr>
                <w:sz w:val="20"/>
                <w:szCs w:val="20"/>
                <w:color w:val="auto"/>
              </w:rPr>
            </w:pPr>
            <w:r>
              <w:rPr>
                <w:rFonts w:ascii="Times New Roman" w:cs="Times New Roman" w:eastAsia="Times New Roman" w:hAnsi="Times New Roman"/>
                <w:sz w:val="14"/>
                <w:szCs w:val="14"/>
                <w:b w:val="1"/>
                <w:bCs w:val="1"/>
                <w:color w:val="auto"/>
              </w:rPr>
              <w:t>Average Fair</w:t>
            </w:r>
          </w:p>
        </w:tc>
      </w:tr>
      <w:tr>
        <w:trPr>
          <w:trHeight w:val="173"/>
        </w:trPr>
        <w:tc>
          <w:tcPr>
            <w:tcW w:w="6700" w:type="dxa"/>
            <w:vAlign w:val="bottom"/>
          </w:tcPr>
          <w:p>
            <w:pPr>
              <w:spacing w:after="0"/>
              <w:rPr>
                <w:sz w:val="15"/>
                <w:szCs w:val="15"/>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Value per Share</w:t>
            </w:r>
          </w:p>
        </w:tc>
      </w:tr>
      <w:tr>
        <w:trPr>
          <w:trHeight w:val="210"/>
        </w:trPr>
        <w:tc>
          <w:tcPr>
            <w:tcW w:w="6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2023</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78,303</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w:t>
            </w:r>
          </w:p>
        </w:tc>
      </w:tr>
      <w:tr>
        <w:trPr>
          <w:trHeight w:val="216"/>
        </w:trPr>
        <w:tc>
          <w:tcPr>
            <w:tcW w:w="6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Restricted stock granted</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Restricted stock vested</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(50,294)</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w:t>
            </w:r>
          </w:p>
        </w:tc>
      </w:tr>
      <w:tr>
        <w:trPr>
          <w:trHeight w:val="216"/>
        </w:trPr>
        <w:tc>
          <w:tcPr>
            <w:tcW w:w="6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Restricted stock forfeited</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(4,630)</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w:t>
            </w:r>
          </w:p>
        </w:tc>
      </w:tr>
      <w:tr>
        <w:trPr>
          <w:trHeight w:val="210"/>
        </w:trPr>
        <w:tc>
          <w:tcPr>
            <w:tcW w:w="6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23,379</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w:t>
            </w:r>
          </w:p>
        </w:tc>
      </w:tr>
      <w:tr>
        <w:trPr>
          <w:trHeight w:val="20"/>
        </w:trPr>
        <w:tc>
          <w:tcPr>
            <w:tcW w:w="67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bl>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fair value of restricted stock vested during 2023 was $0.1 million.</w:t>
      </w:r>
    </w:p>
    <w:p>
      <w:pPr>
        <w:spacing w:after="0" w:line="225" w:lineRule="exact"/>
        <w:rPr>
          <w:sz w:val="20"/>
          <w:szCs w:val="20"/>
          <w:color w:val="auto"/>
        </w:rPr>
      </w:pPr>
    </w:p>
    <w:p>
      <w:pPr>
        <w:jc w:val="both"/>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During 2023, the Company entered into employment agreements with Crystal Landsem, the Chief Executive Officer, (the “CEO Employment Agreement”) and Tiffany Smith, the Chief Financial Officer, (the “CFO Employment Agreement”), under which 1,811,572 and 161,088 RSUs were granted, respectively. Under the CEO Employment Agreement, Ms. Landsem received a grant of 1,811,572 RSUs, which vest in quarterly installments beginning on June 30, 2023 through December 31, 2026 and are subject to continued service requirements. Under the CFO Employment Agreement, Ms. Smith received 161,088 RSUs, granted in two parts, with 118,025 and 43,063 RSUs granted on March 17, 2023 and April 30, 2023, respectively, which in combination will vest in three equal installments on March 8, 2024, March 7, 2025 and March 6, 2026, and are subject to continued service requirements. On March 5, 2023, Mr. McCreight received a grant of 25,873 RSUs pursuant to the McCreight IPO Employment Agreement. These RSUs vest in 12 equal installments from April 30, 2023 through March 31, 2024, and are subject to continued service requirements. In addition, under Mr. McCreight’s employment agreement for his Executive Chairman role, entered into on November 11, 2022 (the “Executive Chairman Employment Agreement”), Mr. McCreight was entitled to receive a grant of RSUs equivalent to $2 million. The Company initially concluded that the award was subject to the guidance within ASC 718 and was liability-classified upon issuance. On March 17, 2023, the number of RSUs associated with the award became determinable, and the award became equity-classified as it no longer met the criteria for liability classification. Mr. McCreight’s 836,820 RSUs were granted in two parts, with 613,116 RSUs granted on March 17, 2023 and 223,704 RSUs granted on April 30, 2023, the combination of which vest in equal, quarterly installments on the date immediately following the last day of each calendar quarter, starting April 1, 2023, and are subject to continued service requirements.</w:t>
      </w:r>
    </w:p>
    <w:p>
      <w:pPr>
        <w:spacing w:after="0" w:line="192"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During the year ended 2023, the Company granted 3,032,824 RSUs (inclusive of the aforementioned RSU grants to Ms. Landsem and Ms. Smith), to certain executives and employees which vest over a three-year service period, and 1,270,290 RSUs (inclusive of the aforementioned RSU grants to the Executive Chairman) to certain directors which are subject to various vesting schedules as set forth in the Company’s Non-Employee Director Compensation Program and the Executive Chairman Employment Agreement. The Company recognized equity-based compensation expense of $12.4 million and $8.8 million during the year ended 2023 and 2022, respectively, related to the RSUs. As of December 31, 2023, the unrecognized equity-based compensation expense is $8.9 million and will be recognized over a weighted-average period of 2.43 years.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3" w:name="page94"/>
    <w:bookmarkEnd w:id="9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LULU’S FASHION LOUNGE HOLDINGS, INC.</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summarizes the rollforward of unvested RSUs in 2023:</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700" w:type="dxa"/>
            <w:vAlign w:val="bottom"/>
          </w:tcPr>
          <w:p>
            <w:pPr>
              <w:spacing w:after="0"/>
              <w:rPr>
                <w:sz w:val="13"/>
                <w:szCs w:val="13"/>
                <w:color w:val="auto"/>
              </w:rPr>
            </w:pPr>
          </w:p>
        </w:tc>
        <w:tc>
          <w:tcPr>
            <w:tcW w:w="11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Unvested</w:t>
            </w:r>
          </w:p>
        </w:tc>
        <w:tc>
          <w:tcPr>
            <w:tcW w:w="120" w:type="dxa"/>
            <w:vAlign w:val="bottom"/>
          </w:tcPr>
          <w:p>
            <w:pPr>
              <w:spacing w:after="0"/>
              <w:rPr>
                <w:sz w:val="13"/>
                <w:szCs w:val="13"/>
                <w:color w:val="auto"/>
              </w:rPr>
            </w:pPr>
          </w:p>
        </w:tc>
        <w:tc>
          <w:tcPr>
            <w:tcW w:w="94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0" w:type="dxa"/>
            <w:vAlign w:val="bottom"/>
          </w:tcPr>
          <w:p>
            <w:pPr>
              <w:spacing w:after="0"/>
              <w:rPr>
                <w:sz w:val="1"/>
                <w:szCs w:val="1"/>
                <w:color w:val="auto"/>
              </w:rPr>
            </w:pPr>
          </w:p>
        </w:tc>
      </w:tr>
      <w:tr>
        <w:trPr>
          <w:trHeight w:val="148"/>
        </w:trPr>
        <w:tc>
          <w:tcPr>
            <w:tcW w:w="67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center"/>
              <w:ind w:right="15"/>
              <w:spacing w:after="0" w:line="149" w:lineRule="exact"/>
              <w:rPr>
                <w:sz w:val="20"/>
                <w:szCs w:val="20"/>
                <w:color w:val="auto"/>
              </w:rPr>
            </w:pPr>
            <w:r>
              <w:rPr>
                <w:rFonts w:ascii="Times New Roman" w:cs="Times New Roman" w:eastAsia="Times New Roman" w:hAnsi="Times New Roman"/>
                <w:sz w:val="14"/>
                <w:szCs w:val="14"/>
                <w:b w:val="1"/>
                <w:bCs w:val="1"/>
                <w:color w:val="auto"/>
              </w:rPr>
              <w:t>Average Fair</w:t>
            </w:r>
          </w:p>
        </w:tc>
        <w:tc>
          <w:tcPr>
            <w:tcW w:w="0" w:type="dxa"/>
            <w:vAlign w:val="bottom"/>
          </w:tcPr>
          <w:p>
            <w:pPr>
              <w:spacing w:after="0"/>
              <w:rPr>
                <w:sz w:val="1"/>
                <w:szCs w:val="1"/>
                <w:color w:val="auto"/>
              </w:rPr>
            </w:pPr>
          </w:p>
        </w:tc>
      </w:tr>
      <w:tr>
        <w:trPr>
          <w:trHeight w:val="173"/>
        </w:trPr>
        <w:tc>
          <w:tcPr>
            <w:tcW w:w="6700" w:type="dxa"/>
            <w:vAlign w:val="bottom"/>
          </w:tcPr>
          <w:p>
            <w:pPr>
              <w:spacing w:after="0"/>
              <w:rPr>
                <w:sz w:val="15"/>
                <w:szCs w:val="15"/>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RSUs</w:t>
            </w: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Value per Share</w:t>
            </w:r>
          </w:p>
        </w:tc>
        <w:tc>
          <w:tcPr>
            <w:tcW w:w="0" w:type="dxa"/>
            <w:vAlign w:val="bottom"/>
          </w:tcPr>
          <w:p>
            <w:pPr>
              <w:spacing w:after="0"/>
              <w:rPr>
                <w:sz w:val="1"/>
                <w:szCs w:val="1"/>
                <w:color w:val="auto"/>
              </w:rPr>
            </w:pPr>
          </w:p>
        </w:tc>
      </w:tr>
      <w:tr>
        <w:trPr>
          <w:trHeight w:val="210"/>
        </w:trPr>
        <w:tc>
          <w:tcPr>
            <w:tcW w:w="6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2023</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1,336,674</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0" w:type="dxa"/>
            <w:vAlign w:val="bottom"/>
          </w:tcPr>
          <w:p>
            <w:pPr>
              <w:spacing w:after="0"/>
              <w:rPr>
                <w:sz w:val="1"/>
                <w:szCs w:val="1"/>
                <w:color w:val="auto"/>
              </w:rPr>
            </w:pPr>
          </w:p>
        </w:tc>
      </w:tr>
      <w:tr>
        <w:trPr>
          <w:trHeight w:val="243"/>
        </w:trPr>
        <w:tc>
          <w:tcPr>
            <w:tcW w:w="6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RSUs granted</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4,303,114</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RSUs vested</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(1,932,500)</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0" w:type="dxa"/>
            <w:vAlign w:val="bottom"/>
          </w:tcPr>
          <w:p>
            <w:pPr>
              <w:spacing w:after="0"/>
              <w:rPr>
                <w:sz w:val="1"/>
                <w:szCs w:val="1"/>
                <w:color w:val="auto"/>
              </w:rPr>
            </w:pPr>
          </w:p>
        </w:tc>
      </w:tr>
      <w:tr>
        <w:trPr>
          <w:trHeight w:val="216"/>
        </w:trPr>
        <w:tc>
          <w:tcPr>
            <w:tcW w:w="6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RSUs forfeited</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(138,882)</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0" w:type="dxa"/>
            <w:vAlign w:val="bottom"/>
          </w:tcPr>
          <w:p>
            <w:pPr>
              <w:spacing w:after="0"/>
              <w:rPr>
                <w:sz w:val="1"/>
                <w:szCs w:val="1"/>
                <w:color w:val="auto"/>
              </w:rPr>
            </w:pPr>
          </w:p>
        </w:tc>
      </w:tr>
      <w:tr>
        <w:trPr>
          <w:trHeight w:val="209"/>
        </w:trPr>
        <w:tc>
          <w:tcPr>
            <w:tcW w:w="670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3,568,406</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fair value of RSUs vested during 2023 was $4.4 million.</w:t>
      </w:r>
    </w:p>
    <w:p>
      <w:pPr>
        <w:spacing w:after="0" w:line="225" w:lineRule="exact"/>
        <w:rPr>
          <w:sz w:val="20"/>
          <w:szCs w:val="20"/>
          <w:color w:val="auto"/>
        </w:rPr>
      </w:pPr>
    </w:p>
    <w:p>
      <w:pPr>
        <w:jc w:val="both"/>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The Company recognized a tax benefit of $1.5 million and $0.8 million related to equity-based compensation expense in 2023 and 2022, respectively. There was no income tax benefit recognized related to equity-based compensation expense in 2021.</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Performance Stock Units (“PSUs”)</w:t>
      </w:r>
    </w:p>
    <w:p>
      <w:pPr>
        <w:spacing w:after="0" w:line="229"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Under the CEO Employment Agreement, Ms. Landsem received a grant of 1,811,571 PSUs on March 5, 2023 which vest in three equal annual installments of 603,857 PSUs subject to the achievement of trailing ten day volume-weighted average price targets of the Company’s common stock and her continued employment on the vesting dates. The Company recognized equity-based compensation expense of $2.1 million during 2023, related to the PSUs. As of December 31, 2023, the unrecognized equity-based compensation expense is $2.6 million and will be recognized over a weighted-average period of 2.18 years.</w:t>
      </w:r>
    </w:p>
    <w:p>
      <w:pPr>
        <w:spacing w:after="0" w:line="18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summarizes the rollforward of unvested PSUs during 2023:</w:t>
      </w:r>
    </w:p>
    <w:p>
      <w:pPr>
        <w:spacing w:after="0" w:line="300"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6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w w:val="99"/>
              </w:rPr>
              <w:t>Weighted-</w:t>
            </w:r>
          </w:p>
        </w:tc>
      </w:tr>
      <w:tr>
        <w:trPr>
          <w:trHeight w:val="216"/>
        </w:trPr>
        <w:tc>
          <w:tcPr>
            <w:tcW w:w="6700" w:type="dxa"/>
            <w:vAlign w:val="bottom"/>
          </w:tcPr>
          <w:p>
            <w:pPr>
              <w:spacing w:after="0"/>
              <w:rPr>
                <w:sz w:val="18"/>
                <w:szCs w:val="18"/>
                <w:color w:val="auto"/>
              </w:rPr>
            </w:pPr>
          </w:p>
        </w:tc>
        <w:tc>
          <w:tcPr>
            <w:tcW w:w="94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Unvested</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Average Fair</w:t>
            </w:r>
          </w:p>
        </w:tc>
      </w:tr>
      <w:tr>
        <w:trPr>
          <w:trHeight w:val="199"/>
        </w:trPr>
        <w:tc>
          <w:tcPr>
            <w:tcW w:w="670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PSUs</w:t>
            </w:r>
          </w:p>
        </w:tc>
        <w:tc>
          <w:tcPr>
            <w:tcW w:w="20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Value per Share</w:t>
            </w:r>
          </w:p>
        </w:tc>
      </w:tr>
      <w:tr>
        <w:trPr>
          <w:trHeight w:val="21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2023</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PSUs granted</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1,811,571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r>
      <w:tr>
        <w:trPr>
          <w:trHeight w:val="216"/>
        </w:trPr>
        <w:tc>
          <w:tcPr>
            <w:tcW w:w="6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PSUs vested</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7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PSUs forfeited</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1,811,571</w:t>
            </w:r>
          </w:p>
        </w:tc>
        <w:tc>
          <w:tcPr>
            <w:tcW w:w="3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r>
      <w:tr>
        <w:trPr>
          <w:trHeight w:val="20"/>
        </w:trPr>
        <w:tc>
          <w:tcPr>
            <w:tcW w:w="67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Class P Units</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384,522 of the outstanding Class P units included both a service condition and a performance condition, while the remainder of the Class P units only included a service condition. The performance-based vesting condition was satisfied upon completion of the IPO. Equity-based compensation expense of $1.9 million related to the Class P units was recorded to general and administrative expense in the statements of operations and comprehensive income (loss) during 2021.</w:t>
      </w:r>
    </w:p>
    <w:p>
      <w:pPr>
        <w:spacing w:after="0" w:line="180"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During 2021, the LP modified the vesting schedule related to 763,178 outstanding Class P units for two senior executives to accelerate vesting if the two senior executives perform service after the completion of the IPO over the subsequent 12-month period. The Company concluded that the amendment to the Class P units was a modification under ASC 718 and there was no incremental equity-based compensation expense to recognize. With the completion of the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4" w:name="page95"/>
    <w:bookmarkEnd w:id="9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LULU’S FASHION LOUNGE HOLDINGS, INC.</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Company’s IPO, the remaining unrecognized expense associated with the restricted stock, received in exchange at the IPO for the modified Class P units, was recognized over the subsequent 12-month period through November 2022.</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Class P - Distributions</w:t>
      </w:r>
    </w:p>
    <w:p>
      <w:pPr>
        <w:spacing w:after="0" w:line="229"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Distributions payable to former Class P unit holders (“FCPUs”) triggered upon the completion of the Company’s 2021 IPO were determined to be settled in 2022 as a result of agreements reached with the FCPUs, and were recorded as an increase to additional paid-in capital. The agreements provided for contingent payments to the FCPUs of up to $0.6 million if certain conditions were met, which were recorded as equity-based compensation expense and accrued expenses and other current liabilities in 2022 which was subsequently reversed during 2022, when the timeframe for the payment conditions expired.</w:t>
      </w:r>
    </w:p>
    <w:p>
      <w:pPr>
        <w:spacing w:after="0" w:line="183" w:lineRule="exact"/>
        <w:rPr>
          <w:sz w:val="20"/>
          <w:szCs w:val="20"/>
          <w:color w:val="auto"/>
        </w:rPr>
      </w:pPr>
    </w:p>
    <w:p>
      <w:pPr>
        <w:ind w:left="700" w:hanging="650"/>
        <w:spacing w:after="0"/>
        <w:tabs>
          <w:tab w:leader="none" w:pos="70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All of the Company’s income (loss) before income taxes is from the United States. The following table presents the components of the income tax provision (benefit) (in thousands):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0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09"/>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16"/>
        </w:trPr>
        <w:tc>
          <w:tcPr>
            <w:tcW w:w="6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Federal</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2,325</w:t>
            </w:r>
          </w:p>
        </w:tc>
        <w:tc>
          <w:tcPr>
            <w:tcW w:w="180" w:type="dxa"/>
            <w:vAlign w:val="bottom"/>
          </w:tcPr>
          <w:p>
            <w:pPr>
              <w:spacing w:after="0"/>
              <w:rPr>
                <w:sz w:val="18"/>
                <w:szCs w:val="18"/>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5,919</w:t>
            </w:r>
          </w:p>
        </w:tc>
      </w:tr>
      <w:tr>
        <w:trPr>
          <w:trHeight w:val="216"/>
        </w:trPr>
        <w:tc>
          <w:tcPr>
            <w:tcW w:w="6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State</w:t>
            </w: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1,956</w:t>
            </w:r>
          </w:p>
        </w:tc>
      </w:tr>
      <w:tr>
        <w:trPr>
          <w:trHeight w:val="210"/>
        </w:trPr>
        <w:tc>
          <w:tcPr>
            <w:tcW w:w="60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current provision (benefit)</w:t>
            </w: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2,389</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7,875</w:t>
            </w:r>
          </w:p>
        </w:tc>
      </w:tr>
      <w:tr>
        <w:trPr>
          <w:trHeight w:val="209"/>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Deferred:</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16"/>
        </w:trPr>
        <w:tc>
          <w:tcPr>
            <w:tcW w:w="6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Federal</w:t>
            </w:r>
          </w:p>
        </w:tc>
        <w:tc>
          <w:tcPr>
            <w:tcW w:w="18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(2,204)</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1,263</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(1,341)</w:t>
            </w:r>
          </w:p>
        </w:tc>
      </w:tr>
      <w:tr>
        <w:trPr>
          <w:trHeight w:val="216"/>
        </w:trPr>
        <w:tc>
          <w:tcPr>
            <w:tcW w:w="6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State</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(337)</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r>
      <w:tr>
        <w:trPr>
          <w:trHeight w:val="210"/>
        </w:trPr>
        <w:tc>
          <w:tcPr>
            <w:tcW w:w="60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deferred provision (benefit)</w:t>
            </w:r>
          </w:p>
        </w:tc>
        <w:tc>
          <w:tcPr>
            <w:tcW w:w="18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(2,541)</w:t>
            </w:r>
          </w:p>
        </w:tc>
        <w:tc>
          <w:tcPr>
            <w:tcW w:w="1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1,658</w:t>
            </w:r>
          </w:p>
        </w:tc>
        <w:tc>
          <w:tcPr>
            <w:tcW w:w="1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(1,663)</w:t>
            </w:r>
          </w:p>
        </w:tc>
      </w:tr>
      <w:tr>
        <w:trPr>
          <w:trHeight w:val="210"/>
        </w:trPr>
        <w:tc>
          <w:tcPr>
            <w:tcW w:w="6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(1,676)</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4,047</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6,212</w:t>
            </w:r>
          </w:p>
        </w:tc>
      </w:tr>
      <w:tr>
        <w:trPr>
          <w:trHeight w:val="20"/>
        </w:trPr>
        <w:tc>
          <w:tcPr>
            <w:tcW w:w="6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presents a reconciliation of the statutory federal rate to the Company’s effective tax rate:</w:t>
      </w:r>
    </w:p>
    <w:p>
      <w:pPr>
        <w:spacing w:after="0" w:line="327"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94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auto"/>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auto"/>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bottom w:val="single" w:sz="8" w:color="auto"/>
            </w:tcBorders>
          </w:tcPr>
          <w:p>
            <w:pPr>
              <w:spacing w:after="0"/>
              <w:rPr>
                <w:sz w:val="15"/>
                <w:szCs w:val="15"/>
                <w:color w:val="auto"/>
              </w:rPr>
            </w:pPr>
          </w:p>
        </w:tc>
      </w:tr>
      <w:tr>
        <w:trPr>
          <w:trHeight w:val="210"/>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statutory rate</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16"/>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income taxes, net of federal tax benefit</w:t>
            </w:r>
          </w:p>
        </w:tc>
        <w:tc>
          <w:tcPr>
            <w:tcW w:w="8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(0.4)</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60" w:type="dxa"/>
            <w:vAlign w:val="bottom"/>
          </w:tcPr>
          <w:p>
            <w:pPr>
              <w:spacing w:after="0"/>
              <w:rPr>
                <w:sz w:val="18"/>
                <w:szCs w:val="18"/>
                <w:color w:val="auto"/>
              </w:rPr>
            </w:pPr>
          </w:p>
        </w:tc>
      </w:tr>
      <w:tr>
        <w:trPr>
          <w:trHeight w:val="216"/>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Non-deductible equity-based compensation expense</w:t>
            </w:r>
          </w:p>
        </w:tc>
        <w:tc>
          <w:tcPr>
            <w:tcW w:w="8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(9.1)</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60" w:type="dxa"/>
            <w:vAlign w:val="bottom"/>
            <w:shd w:val="clear" w:color="auto" w:fill="CCEEFF"/>
          </w:tcPr>
          <w:p>
            <w:pPr>
              <w:spacing w:after="0"/>
              <w:rPr>
                <w:sz w:val="18"/>
                <w:szCs w:val="18"/>
                <w:color w:val="auto"/>
              </w:rPr>
            </w:pPr>
          </w:p>
        </w:tc>
      </w:tr>
      <w:tr>
        <w:trPr>
          <w:trHeight w:val="216"/>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Non-deductible officer compensation</w:t>
            </w:r>
          </w:p>
        </w:tc>
        <w:tc>
          <w:tcPr>
            <w:tcW w:w="8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(3.0)</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60" w:type="dxa"/>
            <w:vAlign w:val="bottom"/>
          </w:tcPr>
          <w:p>
            <w:pPr>
              <w:spacing w:after="0"/>
              <w:rPr>
                <w:sz w:val="18"/>
                <w:szCs w:val="18"/>
                <w:color w:val="auto"/>
              </w:rPr>
            </w:pPr>
          </w:p>
        </w:tc>
      </w:tr>
      <w:tr>
        <w:trPr>
          <w:trHeight w:val="216"/>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uncertain tax position</w:t>
            </w:r>
          </w:p>
        </w:tc>
        <w:tc>
          <w:tcPr>
            <w:tcW w:w="8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(0.3)</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(0.9)</w:t>
            </w:r>
          </w:p>
        </w:tc>
      </w:tr>
      <w:tr>
        <w:trPr>
          <w:trHeight w:val="216"/>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Prior year adjustments</w:t>
            </w:r>
          </w:p>
        </w:tc>
        <w:tc>
          <w:tcPr>
            <w:tcW w:w="104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60" w:type="dxa"/>
            <w:vAlign w:val="bottom"/>
          </w:tcPr>
          <w:p>
            <w:pPr>
              <w:spacing w:after="0"/>
              <w:rPr>
                <w:sz w:val="18"/>
                <w:szCs w:val="18"/>
                <w:color w:val="auto"/>
              </w:rPr>
            </w:pPr>
          </w:p>
        </w:tc>
      </w:tr>
      <w:tr>
        <w:trPr>
          <w:trHeight w:val="216"/>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2018 amended return</w:t>
            </w:r>
          </w:p>
        </w:tc>
        <w:tc>
          <w:tcPr>
            <w:tcW w:w="104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(10.2)</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8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(0.2)</w:t>
            </w:r>
          </w:p>
        </w:tc>
        <w:tc>
          <w:tcPr>
            <w:tcW w:w="180" w:type="dxa"/>
            <w:vAlign w:val="bottom"/>
          </w:tcPr>
          <w:p>
            <w:pPr>
              <w:spacing w:after="0"/>
              <w:rPr>
                <w:sz w:val="18"/>
                <w:szCs w:val="18"/>
                <w:color w:val="auto"/>
              </w:rPr>
            </w:pPr>
          </w:p>
        </w:tc>
        <w:tc>
          <w:tcPr>
            <w:tcW w:w="8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(0.4)</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60" w:type="dxa"/>
            <w:vAlign w:val="bottom"/>
          </w:tcPr>
          <w:p>
            <w:pPr>
              <w:spacing w:after="0"/>
              <w:rPr>
                <w:sz w:val="18"/>
                <w:szCs w:val="18"/>
                <w:color w:val="auto"/>
              </w:rPr>
            </w:pPr>
          </w:p>
        </w:tc>
      </w:tr>
      <w:tr>
        <w:trPr>
          <w:trHeight w:val="209"/>
        </w:trPr>
        <w:tc>
          <w:tcPr>
            <w:tcW w:w="594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Effective tax rate</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0"/>
        </w:trPr>
        <w:tc>
          <w:tcPr>
            <w:tcW w:w="59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The 2022 equity-based compensation shortfall rate impact associated with Executive Chairman has been reclassified from non-deductible equity-based compensation expense rate impact to non-deductible officer compensation rate impact in the table above to conform to the current year presentation.</w:t>
      </w:r>
    </w:p>
    <w:p>
      <w:pPr>
        <w:spacing w:after="0" w:line="176"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2021 non-deductible officer compensation rate impact has been reclassified from non-deductible equity-based compensation expense rate impact in the table above to conform to the current year presentation.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5" w:name="page96"/>
    <w:bookmarkEnd w:id="9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LULU’S FASHION LOUNGE HOLDINGS, INC.</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Deferred income taxes reflect the net effects of (a) temporary differences between the carrying amounts of assets and liabilities for financial reporting purposes and the amount used for income tax purposes, and (b) operating losses and tax credit carryforwards.</w:t>
      </w:r>
    </w:p>
    <w:p>
      <w:pPr>
        <w:spacing w:after="0" w:line="176"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significant components of the Company’s deferred tax assets and liabilities (in thousands) as of:</w:t>
      </w:r>
    </w:p>
    <w:p>
      <w:pPr>
        <w:spacing w:after="0" w:line="263"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6820" w:type="dxa"/>
            <w:vAlign w:val="bottom"/>
          </w:tcPr>
          <w:p>
            <w:pPr>
              <w:spacing w:after="0"/>
              <w:rPr>
                <w:sz w:val="16"/>
                <w:szCs w:val="16"/>
                <w:color w:val="auto"/>
              </w:rPr>
            </w:pPr>
          </w:p>
        </w:tc>
        <w:tc>
          <w:tcPr>
            <w:tcW w:w="11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6"/>
                <w:szCs w:val="16"/>
                <w:color w:val="auto"/>
              </w:rPr>
            </w:pP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January 1,</w:t>
            </w:r>
          </w:p>
        </w:tc>
      </w:tr>
      <w:tr>
        <w:trPr>
          <w:trHeight w:val="226"/>
        </w:trPr>
        <w:tc>
          <w:tcPr>
            <w:tcW w:w="68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9"/>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6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Accruals and allowances</w:t>
            </w:r>
          </w:p>
        </w:tc>
        <w:tc>
          <w:tcPr>
            <w:tcW w:w="2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1,603</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1,928</w:t>
            </w:r>
          </w:p>
        </w:tc>
      </w:tr>
      <w:tr>
        <w:trPr>
          <w:trHeight w:val="216"/>
        </w:trPr>
        <w:tc>
          <w:tcPr>
            <w:tcW w:w="6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disallowance</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1,910</w:t>
            </w:r>
          </w:p>
        </w:tc>
      </w:tr>
      <w:tr>
        <w:trPr>
          <w:trHeight w:val="216"/>
        </w:trPr>
        <w:tc>
          <w:tcPr>
            <w:tcW w:w="6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Inventory capitalization and other adjustments</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1,405</w:t>
            </w:r>
          </w:p>
        </w:tc>
      </w:tr>
      <w:tr>
        <w:trPr>
          <w:trHeight w:val="216"/>
        </w:trPr>
        <w:tc>
          <w:tcPr>
            <w:tcW w:w="6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Deferred revenue</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w:t>
            </w:r>
          </w:p>
        </w:tc>
      </w:tr>
      <w:tr>
        <w:trPr>
          <w:trHeight w:val="216"/>
        </w:trPr>
        <w:tc>
          <w:tcPr>
            <w:tcW w:w="6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Equity-based compensation</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w:t>
            </w:r>
          </w:p>
        </w:tc>
      </w:tr>
      <w:tr>
        <w:trPr>
          <w:trHeight w:val="216"/>
        </w:trPr>
        <w:tc>
          <w:tcPr>
            <w:tcW w:w="6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operating losses and tax credit carryforwards</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216"/>
        </w:trPr>
        <w:tc>
          <w:tcPr>
            <w:tcW w:w="6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R&amp;D capitalization</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1,113</w:t>
            </w:r>
          </w:p>
        </w:tc>
      </w:tr>
      <w:tr>
        <w:trPr>
          <w:trHeight w:val="216"/>
        </w:trPr>
        <w:tc>
          <w:tcPr>
            <w:tcW w:w="6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Lease liabilities</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8,319</w:t>
            </w:r>
          </w:p>
        </w:tc>
      </w:tr>
      <w:tr>
        <w:trPr>
          <w:trHeight w:val="216"/>
        </w:trPr>
        <w:tc>
          <w:tcPr>
            <w:tcW w:w="68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w:t>
            </w:r>
          </w:p>
        </w:tc>
      </w:tr>
      <w:tr>
        <w:trPr>
          <w:trHeight w:val="209"/>
        </w:trPr>
        <w:tc>
          <w:tcPr>
            <w:tcW w:w="6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Gross deferred tax assets</w:t>
            </w: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20,107</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17,162</w:t>
            </w:r>
          </w:p>
        </w:tc>
      </w:tr>
      <w:tr>
        <w:trPr>
          <w:trHeight w:val="210"/>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6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(9,114)</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(7,825)</w:t>
            </w:r>
          </w:p>
        </w:tc>
      </w:tr>
      <w:tr>
        <w:trPr>
          <w:trHeight w:val="216"/>
        </w:trPr>
        <w:tc>
          <w:tcPr>
            <w:tcW w:w="6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Lease right-of-use asset</w:t>
            </w:r>
          </w:p>
        </w:tc>
        <w:tc>
          <w:tcPr>
            <w:tcW w:w="22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(7,191)</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(8,074)</w:t>
            </w:r>
          </w:p>
        </w:tc>
      </w:tr>
      <w:tr>
        <w:trPr>
          <w:trHeight w:val="216"/>
        </w:trPr>
        <w:tc>
          <w:tcPr>
            <w:tcW w:w="6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8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Gross deferred tax liabilities</w:t>
            </w:r>
          </w:p>
        </w:tc>
        <w:tc>
          <w:tcPr>
            <w:tcW w:w="22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(16,305)</w:t>
            </w:r>
          </w:p>
        </w:tc>
        <w:tc>
          <w:tcPr>
            <w:tcW w:w="2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(15,899)</w:t>
            </w:r>
          </w:p>
        </w:tc>
      </w:tr>
      <w:tr>
        <w:trPr>
          <w:trHeight w:val="210"/>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deferred tax assets</w:t>
            </w:r>
          </w:p>
        </w:tc>
        <w:tc>
          <w:tcPr>
            <w:tcW w:w="22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3,802</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w:t>
            </w:r>
          </w:p>
        </w:tc>
      </w:tr>
      <w:tr>
        <w:trPr>
          <w:trHeight w:val="20"/>
        </w:trPr>
        <w:tc>
          <w:tcPr>
            <w:tcW w:w="68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219" w:firstLine="324"/>
        <w:spacing w:after="0" w:line="282" w:lineRule="auto"/>
        <w:rPr>
          <w:sz w:val="20"/>
          <w:szCs w:val="20"/>
          <w:color w:val="auto"/>
        </w:rPr>
      </w:pPr>
      <w:r>
        <w:rPr>
          <w:rFonts w:ascii="Times New Roman" w:cs="Times New Roman" w:eastAsia="Times New Roman" w:hAnsi="Times New Roman"/>
          <w:sz w:val="18"/>
          <w:szCs w:val="18"/>
          <w:color w:val="auto"/>
        </w:rPr>
        <w:t>Net deferred tax assets are included in other noncurrent assets on the consolidated balance sheets as of December 31, 2023 and January 1, 2023.</w:t>
      </w:r>
    </w:p>
    <w:p>
      <w:pPr>
        <w:spacing w:after="0" w:line="162" w:lineRule="exact"/>
        <w:rPr>
          <w:sz w:val="20"/>
          <w:szCs w:val="20"/>
          <w:color w:val="auto"/>
        </w:rPr>
      </w:pPr>
    </w:p>
    <w:p>
      <w:pPr>
        <w:jc w:val="both"/>
        <w:ind w:left="60" w:right="59" w:firstLine="369"/>
        <w:spacing w:after="0" w:line="254" w:lineRule="auto"/>
        <w:rPr>
          <w:sz w:val="20"/>
          <w:szCs w:val="20"/>
          <w:color w:val="auto"/>
        </w:rPr>
      </w:pPr>
      <w:r>
        <w:rPr>
          <w:rFonts w:ascii="Times New Roman" w:cs="Times New Roman" w:eastAsia="Times New Roman" w:hAnsi="Times New Roman"/>
          <w:sz w:val="18"/>
          <w:szCs w:val="18"/>
          <w:color w:val="auto"/>
        </w:rPr>
        <w:t>The tax benefit of net operating losses, temporary differences and credit carryforwards is required to be recorded as an asset to the extent that management assesses the realization is “more likely than not.” Realization of the future tax benefit is dependent on the Company’s ability to generate sufficient taxable income within the carryforward period. A valuation allowance is recognized if, based on the weight of available evidence, it is more-likely-than-not that some portion, or all, of the deferred tax asset will not be realized. Management must analyze all available positive and negative evidence regarding realization of the deferred tax assets and make an assessment of the likelihood of sufficient future taxable income. The Company has not provided a valuation allowance on our federal and state deferred tax assets as we have determined that it its more-likely-than-not that they are realizable based upon the available positive evidence such as cumulative taxable income and estimated future taxable income.</w:t>
      </w:r>
    </w:p>
    <w:p>
      <w:pPr>
        <w:spacing w:after="0" w:line="188"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As of December 31, 2023, we had approximately $3.8 million in net DTAs. These DTAs include approximately $0.6 million related to net operating loss carryforwards that can be used to offset taxable income in future periods and reduce our income taxes payable in those future periods. Some of these net operating loss carryforwards will expire if they are not used within certain periods. At this time, based on evidence currently available, we consider it more likely than not that we will have sufficient taxable income in the future that will allow us to realize the DTAs; however, failure to generate sufficient taxable income could result in some or all DTAs not being utilized in the future. If we are unable to generate sufficient future taxable income, a valuation allowance to reduce our DTAs may be required which would materially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6" w:name="page97"/>
    <w:bookmarkEnd w:id="9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LULU’S FASHION LOUNGE HOLDINGS, INC.</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increase our expenses in the period the allowance is recognized and materially adversely affect our results of operations and statement of financial conditions</w:t>
      </w:r>
      <w:r>
        <w:rPr>
          <w:rFonts w:ascii="Times New Roman" w:cs="Times New Roman" w:eastAsia="Times New Roman" w:hAnsi="Times New Roman"/>
          <w:sz w:val="18"/>
          <w:szCs w:val="18"/>
          <w:color w:val="222222"/>
        </w:rPr>
        <w:t>.</w:t>
      </w:r>
    </w:p>
    <w:p>
      <w:pPr>
        <w:spacing w:after="0" w:line="162"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As of December 31, 2023, the Company has federal and state net operating loss carryforwards of $1.9 million and $2.8 million, respectively. The federal net operating loss can be carried forward indefinitely and the state net operating loss carryforwards will begin to expire in 2038 if unused. The Company also has a state tax credit carryforward of an immaterial amount. The state tax credits will begin to expire in 2026 if unused. Lastly, the Company currently has $8.3 million of a Federal disallowed interest expense carryforward under Section 163(j) of the Internal Revenue Code, which can be carried forward indefinitely.</w:t>
      </w:r>
    </w:p>
    <w:p>
      <w:pPr>
        <w:spacing w:after="0" w:line="187"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Utilization of our net operating loss carryforwards, interest expense carryforwards, and tax credits may be subject to an annual limitation due to ownership changes that may have occurred or that could occur in the future, as required by Section 382 of the Internal Revenue Code and similar state provisions. These ownership change limitations may limit the amount of net operating loss carryforwards or interest expense carryforwards and tax credits that can be utilized annually to offset future taxable income and tax, respectively.</w:t>
      </w:r>
    </w:p>
    <w:p>
      <w:pPr>
        <w:spacing w:after="0" w:line="183" w:lineRule="exact"/>
        <w:rPr>
          <w:sz w:val="20"/>
          <w:szCs w:val="20"/>
          <w:color w:val="auto"/>
        </w:rPr>
      </w:pPr>
    </w:p>
    <w:p>
      <w:pPr>
        <w:jc w:val="both"/>
        <w:ind w:left="60" w:right="79" w:firstLine="324"/>
        <w:spacing w:after="0" w:line="261" w:lineRule="auto"/>
        <w:rPr>
          <w:sz w:val="20"/>
          <w:szCs w:val="20"/>
          <w:color w:val="auto"/>
        </w:rPr>
      </w:pPr>
      <w:r>
        <w:rPr>
          <w:rFonts w:ascii="Times New Roman" w:cs="Times New Roman" w:eastAsia="Times New Roman" w:hAnsi="Times New Roman"/>
          <w:sz w:val="18"/>
          <w:szCs w:val="18"/>
          <w:color w:val="auto"/>
        </w:rPr>
        <w:t>As of December 31, 2023 and January 1, 2023, the Company’s uncertain tax positions and related accrued interest and penalties were not material. The Company’s policy is to recognize interest and penalties related to unrecognized tax benefits in the financial statements as a component of income tax expense. The Company does not anticipate that the uncertain tax positions balance as of December 31, 2023 will change significantly over the next 12 months.</w:t>
      </w:r>
    </w:p>
    <w:p>
      <w:pPr>
        <w:spacing w:after="0" w:line="180"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The Company’s federal income tax returns are not subject to examination by taxing authorities for fiscal years before 2020. The Company’s California income tax returns are not subject to examinations by taxing authorities for fiscal years before 2016.</w:t>
      </w:r>
    </w:p>
    <w:p>
      <w:pPr>
        <w:spacing w:after="0" w:line="172" w:lineRule="exact"/>
        <w:rPr>
          <w:sz w:val="20"/>
          <w:szCs w:val="20"/>
          <w:color w:val="auto"/>
        </w:rPr>
      </w:pPr>
    </w:p>
    <w:p>
      <w:pPr>
        <w:ind w:left="700" w:hanging="650"/>
        <w:spacing w:after="0"/>
        <w:tabs>
          <w:tab w:leader="none" w:pos="70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Transactions with the LP</w:t>
      </w:r>
    </w:p>
    <w:p>
      <w:pPr>
        <w:spacing w:after="0" w:line="229"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 xml:space="preserve">Certain of the Company’s transactions with the LP are classified as a component within additional paid-in capital in the consolidated statements of stockholders’ deficit as there are no defined payments or other terms associated with these transactions. Such transactions included equity-based compensation related to outstanding Class P units of $4.5 million during 2021. </w:t>
      </w:r>
      <w:r>
        <w:rPr>
          <w:rFonts w:ascii="Times New Roman" w:cs="Times New Roman" w:eastAsia="Times New Roman" w:hAnsi="Times New Roman"/>
          <w:sz w:val="18"/>
          <w:szCs w:val="18"/>
          <w:color w:val="222222"/>
        </w:rPr>
        <w:t>With the completion of the IPO, the performance condition for pre-vesting distributions related to the Class 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22222"/>
        </w:rPr>
        <w:t xml:space="preserve">units was met and the Company recognized a cumulative catch-up to general and administrative expenses of $2.6 million during 2021 </w:t>
      </w:r>
      <w:r>
        <w:rPr>
          <w:rFonts w:ascii="Times New Roman" w:cs="Times New Roman" w:eastAsia="Times New Roman" w:hAnsi="Times New Roman"/>
          <w:sz w:val="18"/>
          <w:szCs w:val="18"/>
          <w:color w:val="000000"/>
        </w:rPr>
        <w:t>and $2.6 million payable to the Class P unit holders is included in accrued expense and other current liabilities</w:t>
      </w:r>
      <w:r>
        <w:rPr>
          <w:rFonts w:ascii="Times New Roman" w:cs="Times New Roman" w:eastAsia="Times New Roman" w:hAnsi="Times New Roman"/>
          <w:sz w:val="18"/>
          <w:szCs w:val="18"/>
          <w:color w:val="222222"/>
        </w:rPr>
        <w:t xml:space="preserve"> </w:t>
      </w:r>
      <w:r>
        <w:rPr>
          <w:rFonts w:ascii="Times New Roman" w:cs="Times New Roman" w:eastAsia="Times New Roman" w:hAnsi="Times New Roman"/>
          <w:sz w:val="18"/>
          <w:szCs w:val="18"/>
          <w:color w:val="000000"/>
        </w:rPr>
        <w:t>as of January 2, 2022</w:t>
      </w:r>
      <w:r>
        <w:rPr>
          <w:rFonts w:ascii="Times New Roman" w:cs="Times New Roman" w:eastAsia="Times New Roman" w:hAnsi="Times New Roman"/>
          <w:sz w:val="18"/>
          <w:szCs w:val="18"/>
          <w:color w:val="222222"/>
        </w:rPr>
        <w:t>.</w:t>
      </w:r>
    </w:p>
    <w:p>
      <w:pPr>
        <w:spacing w:after="0" w:line="189"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Immediately prior to the completion of the IPO, 215,702 shares of common stock were issued to the LP as a stock dividend for $3.5 million based on the Company’s IPO price of $16.00 per share during 2021.</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Series B-1 Redeemable Preferred Stock Issuance</w:t>
      </w:r>
    </w:p>
    <w:p>
      <w:pPr>
        <w:spacing w:after="0" w:line="22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The Series B-1 Preferred Stock shares purchased by current executives were recorded at fair value and the excess of the fair value of $2.02 per share over the consideration paid of $1.00 per share was recorded as equity-based compensation of $1.5 million in 2021.</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7" w:name="page98"/>
    <w:bookmarkEnd w:id="9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LULU’S FASHION LOUNGE HOLDINGS, INC.</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Management &amp; Consulting Fees</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The Company has accrued for management and consulting fees to H.I.G. Capital, LLC (“H.I.G.”, the LP’s ultimate parent), Institutional Venture Partners (Series A Preferred Stockholder), and certain board members. Expenses for such services were $0.4 million to H.I.G and $0.3 million to other related parties during 2021. All outstanding management fees were settled at the time of our IPO and the management and consulting agreements were terminated upon the IPO.</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Significant Shareholder Relationships</w:t>
      </w:r>
    </w:p>
    <w:p>
      <w:pPr>
        <w:spacing w:after="0" w:line="22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The Company identified three shareholders with aggregate ownership interest in the Company greater than 10%. The Company reviewed the respective investment portfolio holdings of these shareholders and identified investments in other entities that the Company engages in business with. All of these business relationships were obtained without the support of these shareholders, and as such, are believed to be at terms comparable to those that would be obtained through arm’s length dealings with unrelated third parties.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229"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Until June 2021, the Company leased operations and warehouse spaces from a limited partner of the LP and a Series B Preferred Stockholder of the Company. After June 2021, the Company continued to lease a retail space from this limited partner and Series B Preferred Stockholder. Following the liquidation of the LP and the redemption of the Series B Preferred Stock in November 2021, the Company leased this retail space from the same party, who remains related as a common stockholder of the Company. The lease expired on October 31, 2022. Total rent expense to the related party was zero, $0.1 million and $0.1 million during 2023, 2022 and 2021, respectively.</w:t>
      </w:r>
    </w:p>
    <w:p>
      <w:pPr>
        <w:spacing w:after="0" w:line="183" w:lineRule="exact"/>
        <w:rPr>
          <w:sz w:val="20"/>
          <w:szCs w:val="20"/>
          <w:color w:val="auto"/>
        </w:rPr>
      </w:pPr>
    </w:p>
    <w:p>
      <w:pPr>
        <w:ind w:left="700" w:hanging="650"/>
        <w:spacing w:after="0"/>
        <w:tabs>
          <w:tab w:leader="none" w:pos="70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Defined Contribution Plans</w:t>
      </w:r>
    </w:p>
    <w:p>
      <w:pPr>
        <w:spacing w:after="0" w:line="229"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The Company sponsors a participant-directed 401(k) profit sharing plan for employees who have been working at the Company for at least three months and are at least 18 years of age. Participants may make wage-deferred contributions up to the maximum allowed by law. The Company matches 100% of each participating employee’s deferral up to a maximum of 4% of eligible compensation. The Company may make additional discretionary matching contributions up to 6% of eligible compensation. The Company made matching contributions of $1.1 million, $1.0 million, and $0.9 million during 2023, 2022, and 2021, respectively.</w:t>
      </w:r>
    </w:p>
    <w:p>
      <w:pPr>
        <w:spacing w:after="0" w:line="183" w:lineRule="exact"/>
        <w:rPr>
          <w:sz w:val="20"/>
          <w:szCs w:val="20"/>
          <w:color w:val="auto"/>
        </w:rPr>
      </w:pPr>
    </w:p>
    <w:p>
      <w:pPr>
        <w:ind w:left="700" w:hanging="650"/>
        <w:spacing w:after="0"/>
        <w:tabs>
          <w:tab w:leader="none" w:pos="70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229" w:lineRule="exact"/>
        <w:rPr>
          <w:sz w:val="20"/>
          <w:szCs w:val="20"/>
          <w:color w:val="auto"/>
        </w:rPr>
      </w:pPr>
    </w:p>
    <w:p>
      <w:pPr>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No material events have occurred that required recognition or disclosure in these financial statements. See “Business —Recent Developments for leadership changes”.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8" w:name="page99"/>
    <w:bookmarkEnd w:id="9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Limitations on effectiveness of controls and procedures</w:t>
      </w:r>
    </w:p>
    <w:p>
      <w:pPr>
        <w:spacing w:after="0" w:line="22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Chief Executive Officer and Chief Financial Officer, we conducted an evaluation of the effectiveness of the design and operation of our disclosure controls and procedures pursuant to Rule 13a-15(e) and Rule 15d-15(e) under the Securities Exchange Act of 1934, as amended, as of December 31, 2023. Based on that evaluation, our Chief Executive Officer and Chief Financial Officer concluded that our disclosure controls and procedures were effective as of December 31, 2023, such that the information required to be included in our SEC reports is: (i) recorded, processed, summarized and reported within the time periods specified in SEC rules and forms relating to the Company, including our consolidated subsidiaries; and (ii) accumulated and communicated to our management, including our Chief Executive Officer and Chief Financial Officer, as appropriate to allow timely decisions regarding required disclosure.</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Management, including our Chief Executive Officer and Chief Financial Officer, is responsible for establishing and maintaining adequate internal control over financial reporting as defined in Rules 13a-15(f) and 15d-15(f) under the Exchange Act. Our internal control over financial reporting is a process designed to provide reasonable assurance regarding the preparation of reliable financial statements in accordance with U.S. GAAP.</w:t>
      </w:r>
    </w:p>
    <w:p>
      <w:pPr>
        <w:spacing w:after="0" w:line="180"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 We continue to review our internal control over financial reporting and may from time to time make changes aimed at enhancing their effectiveness and to ensure that our systems evolve with our business.</w:t>
      </w:r>
    </w:p>
    <w:p>
      <w:pPr>
        <w:spacing w:after="0" w:line="183"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 xml:space="preserve">Under the supervision and with the participation of our management, including our Chief Executive Officer and Chief Financial Officer, we have conducted an evaluation of the effectiveness of our internal control over financial reporting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(COSO). Based on that evaluation under the COSO criteria, management determined that our internal control over financial reporting was effective as of December 31, 2023.</w:t>
      </w:r>
    </w:p>
    <w:p>
      <w:pPr>
        <w:spacing w:after="0" w:line="183"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This Form 10-K does not include an attestation report on internal controls over financial reporting by our independent registered accounting firm. Our independent registered accounting firm will not be required to opine on the effectiveness of our internal control over financial reporting pursuant to Section 404 until we are no longer an “emerging growth company” as defined in the JOBS Act.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9" w:name="page100"/>
    <w:bookmarkEnd w:id="9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Rules 13a-15(f) and 15d-15(f) under the Exchange Act) during the quarter ended December 31, 2023 that have materially affected, or are reasonably likely to materially affect, our internal control over financial reporting.</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During the fiscal quarter ended December 31, 2023, no director or officer of the Company adopted or terminated a “Rule 10b5-1 trading arrangement” or a “non-Rule 10b5-1 trading arrangement” (in each case, as defined in Item 408 of Regulation S-K).</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0" w:name="page101"/>
    <w:bookmarkEnd w:id="10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9"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 xml:space="preserve">We have adopted a written code of ethics, entitled “Code of Business Conduct and Ethics,” that applies to all of our directors, executive officers and employees, including our principal executive officer, principal financial officer, principal accounting officer and controller, or persons performing similar functions. We make available our Code of Business Conduct and Ethics free of charge through our investor relations website, which is located at </w:t>
      </w:r>
      <w:r>
        <w:rPr>
          <w:rFonts w:ascii="Times New Roman" w:cs="Times New Roman" w:eastAsia="Times New Roman" w:hAnsi="Times New Roman"/>
          <w:sz w:val="18"/>
          <w:szCs w:val="18"/>
          <w:i w:val="1"/>
          <w:iCs w:val="1"/>
          <w:color w:val="auto"/>
        </w:rPr>
        <w:t>https://investors.lulus.com</w:t>
      </w:r>
      <w:r>
        <w:rPr>
          <w:rFonts w:ascii="Times New Roman" w:cs="Times New Roman" w:eastAsia="Times New Roman" w:hAnsi="Times New Roman"/>
          <w:sz w:val="18"/>
          <w:szCs w:val="18"/>
          <w:color w:val="auto"/>
        </w:rPr>
        <w:t>. We intend to post on our website all disclosures that are required by law or Nasdaq listing standards concerning any amendments to our code of ethics.</w:t>
      </w:r>
    </w:p>
    <w:p>
      <w:pPr>
        <w:spacing w:after="0" w:line="187"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remaining information required by this item is incorporated by reference to the Company’s Proxy Statement for its 2024 Annual Meeting of Stockholders.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9"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Company’s Proxy Statement for its 2024 Annual Meeting of Stockholders.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229"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Company’s Proxy Statement for its 2024 Annual Meeting of Stockholders.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9"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Company’s Proxy Statement for its 2024 Annual Meeting of Stockholders.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229"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Information about aggregate fees billed to us by our principal accountant, Deloitte &amp; Touche LLP (PCAOB ID No. 34) is incorporated herein by reference to the Company’s Proxy Statement for its 2024 Annual Meeting of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1" w:name="page102"/>
    <w:bookmarkEnd w:id="10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15. Exhibit and Financial Statement Schedules</w:t>
      </w:r>
    </w:p>
    <w:p>
      <w:pPr>
        <w:spacing w:after="0" w:line="229" w:lineRule="exact"/>
        <w:rPr>
          <w:sz w:val="20"/>
          <w:szCs w:val="20"/>
          <w:color w:val="auto"/>
        </w:rPr>
      </w:pPr>
    </w:p>
    <w:p>
      <w:pPr>
        <w:ind w:left="380" w:hanging="330"/>
        <w:spacing w:after="0"/>
        <w:tabs>
          <w:tab w:leader="none" w:pos="3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documents are filed as part of this Annual Report on Form 10-K:</w:t>
      </w:r>
    </w:p>
    <w:p>
      <w:pPr>
        <w:spacing w:after="0" w:line="225"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consolidated financial statements are filed as part of this Annual Report on Form 10-K under, Part II, “Item 8. Financial Statements and Supplementary Data.”</w:t>
      </w:r>
    </w:p>
    <w:p>
      <w:pPr>
        <w:spacing w:after="0" w:line="161" w:lineRule="exact"/>
        <w:rPr>
          <w:rFonts w:ascii="Times New Roman" w:cs="Times New Roman" w:eastAsia="Times New Roman" w:hAnsi="Times New Roman"/>
          <w:sz w:val="18"/>
          <w:szCs w:val="18"/>
          <w:color w:val="auto"/>
        </w:rPr>
      </w:pPr>
    </w:p>
    <w:p>
      <w:pPr>
        <w:jc w:val="both"/>
        <w:ind w:left="1040" w:right="79" w:hanging="315"/>
        <w:spacing w:after="0" w:line="266" w:lineRule="auto"/>
        <w:tabs>
          <w:tab w:leader="none" w:pos="104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statement schedules are omitted because they are either not applicable, or the required information is included in the consolidated financial statements or notes thereto under Part II, “Item 8. Financial Statements and Supplementary Data” in this Annual Report on Form 10-K</w:t>
      </w:r>
    </w:p>
    <w:p>
      <w:pPr>
        <w:spacing w:after="0" w:line="175"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exhibits listed in the following Exhibit Index are filed, furnished or incorporated by reference as part of this Annual Report on Form 10-K.</w:t>
      </w:r>
    </w:p>
    <w:p>
      <w:pPr>
        <w:spacing w:after="0" w:line="158"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INDEX TO EXHIBITS</w:t>
      </w:r>
    </w:p>
    <w:p>
      <w:pPr>
        <w:spacing w:after="0" w:line="30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8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960" w:type="dxa"/>
            <w:vAlign w:val="bottom"/>
            <w:tcBorders>
              <w:bottom w:val="single" w:sz="8" w:color="auto"/>
            </w:tcBorders>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60" w:type="dxa"/>
            <w:vAlign w:val="bottom"/>
          </w:tcPr>
          <w:p>
            <w:pPr>
              <w:spacing w:after="0"/>
              <w:rPr>
                <w:sz w:val="15"/>
                <w:szCs w:val="15"/>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Filed/</w:t>
            </w:r>
          </w:p>
        </w:tc>
        <w:tc>
          <w:tcPr>
            <w:tcW w:w="0" w:type="dxa"/>
            <w:vAlign w:val="bottom"/>
          </w:tcPr>
          <w:p>
            <w:pPr>
              <w:spacing w:after="0"/>
              <w:rPr>
                <w:sz w:val="1"/>
                <w:szCs w:val="1"/>
                <w:color w:val="auto"/>
              </w:rPr>
            </w:pPr>
          </w:p>
        </w:tc>
      </w:tr>
      <w:tr>
        <w:trPr>
          <w:trHeight w:val="187"/>
        </w:trPr>
        <w:tc>
          <w:tcPr>
            <w:tcW w:w="800" w:type="dxa"/>
            <w:vAlign w:val="bottom"/>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Exhibit</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Filing</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Furnished</w:t>
            </w:r>
          </w:p>
        </w:tc>
        <w:tc>
          <w:tcPr>
            <w:tcW w:w="0" w:type="dxa"/>
            <w:vAlign w:val="bottom"/>
          </w:tcPr>
          <w:p>
            <w:pPr>
              <w:spacing w:after="0"/>
              <w:rPr>
                <w:sz w:val="1"/>
                <w:szCs w:val="1"/>
                <w:color w:val="auto"/>
              </w:rPr>
            </w:pPr>
          </w:p>
        </w:tc>
      </w:tr>
      <w:tr>
        <w:trPr>
          <w:trHeight w:val="65"/>
        </w:trPr>
        <w:tc>
          <w:tcPr>
            <w:tcW w:w="8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60" w:type="dxa"/>
            <w:vAlign w:val="bottom"/>
            <w:vMerge w:val="restart"/>
          </w:tcPr>
          <w:p>
            <w:pPr>
              <w:spacing w:after="0"/>
              <w:rPr>
                <w:sz w:val="5"/>
                <w:szCs w:val="5"/>
                <w:color w:val="auto"/>
              </w:rPr>
            </w:pPr>
          </w:p>
        </w:tc>
        <w:tc>
          <w:tcPr>
            <w:tcW w:w="3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560" w:type="dxa"/>
            <w:vAlign w:val="bottom"/>
            <w:gridSpan w:val="24"/>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Exhibit Description</w:t>
            </w:r>
          </w:p>
        </w:tc>
        <w:tc>
          <w:tcPr>
            <w:tcW w:w="140" w:type="dxa"/>
            <w:vAlign w:val="bottom"/>
            <w:vMerge w:val="restart"/>
          </w:tcPr>
          <w:p>
            <w:pPr>
              <w:spacing w:after="0"/>
              <w:rPr>
                <w:sz w:val="5"/>
                <w:szCs w:val="5"/>
                <w:color w:val="auto"/>
              </w:rPr>
            </w:pPr>
          </w:p>
        </w:tc>
        <w:tc>
          <w:tcPr>
            <w:tcW w:w="54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40" w:type="dxa"/>
            <w:vAlign w:val="bottom"/>
            <w:vMerge w:val="restart"/>
          </w:tcPr>
          <w:p>
            <w:pPr>
              <w:spacing w:after="0"/>
              <w:rPr>
                <w:sz w:val="5"/>
                <w:szCs w:val="5"/>
                <w:color w:val="auto"/>
              </w:rPr>
            </w:pPr>
          </w:p>
        </w:tc>
        <w:tc>
          <w:tcPr>
            <w:tcW w:w="940" w:type="dxa"/>
            <w:vAlign w:val="bottom"/>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60" w:type="dxa"/>
            <w:vAlign w:val="bottom"/>
            <w:vMerge w:val="restart"/>
          </w:tcPr>
          <w:p>
            <w:pPr>
              <w:spacing w:after="0"/>
              <w:rPr>
                <w:sz w:val="5"/>
                <w:szCs w:val="5"/>
                <w:color w:val="auto"/>
              </w:rPr>
            </w:pPr>
          </w:p>
        </w:tc>
        <w:tc>
          <w:tcPr>
            <w:tcW w:w="5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0" w:type="dxa"/>
            <w:vAlign w:val="bottom"/>
            <w:vMerge w:val="restart"/>
          </w:tcPr>
          <w:p>
            <w:pPr>
              <w:spacing w:after="0"/>
              <w:rPr>
                <w:sz w:val="5"/>
                <w:szCs w:val="5"/>
                <w:color w:val="auto"/>
              </w:rPr>
            </w:pPr>
          </w:p>
        </w:tc>
        <w:tc>
          <w:tcPr>
            <w:tcW w:w="136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800" w:type="dxa"/>
            <w:vAlign w:val="bottom"/>
            <w:tcBorders>
              <w:bottom w:val="single" w:sz="8" w:color="auto"/>
            </w:tcBorders>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gridSpan w:val="24"/>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540" w:type="dxa"/>
            <w:vAlign w:val="bottom"/>
            <w:tcBorders>
              <w:bottom w:val="single" w:sz="8" w:color="auto"/>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520" w:type="dxa"/>
            <w:vAlign w:val="bottom"/>
            <w:tcBorders>
              <w:bottom w:val="single" w:sz="8" w:color="auto"/>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160" w:type="dxa"/>
            <w:vAlign w:val="bottom"/>
          </w:tcPr>
          <w:p>
            <w:pPr>
              <w:spacing w:after="0"/>
              <w:rPr>
                <w:sz w:val="15"/>
                <w:szCs w:val="15"/>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Herewith</w:t>
            </w:r>
          </w:p>
        </w:tc>
        <w:tc>
          <w:tcPr>
            <w:tcW w:w="0" w:type="dxa"/>
            <w:vAlign w:val="bottom"/>
          </w:tcPr>
          <w:p>
            <w:pPr>
              <w:spacing w:after="0"/>
              <w:rPr>
                <w:sz w:val="1"/>
                <w:szCs w:val="1"/>
                <w:color w:val="auto"/>
              </w:rPr>
            </w:pPr>
          </w:p>
        </w:tc>
      </w:tr>
      <w:tr>
        <w:trPr>
          <w:trHeight w:val="385"/>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160" w:type="dxa"/>
            <w:vAlign w:val="bottom"/>
          </w:tcPr>
          <w:p>
            <w:pPr>
              <w:spacing w:after="0"/>
              <w:rPr>
                <w:sz w:val="24"/>
                <w:szCs w:val="24"/>
                <w:color w:val="auto"/>
              </w:rPr>
            </w:pPr>
          </w:p>
        </w:tc>
        <w:tc>
          <w:tcPr>
            <w:tcW w:w="3500" w:type="dxa"/>
            <w:vAlign w:val="bottom"/>
            <w:gridSpan w:val="28"/>
          </w:tcPr>
          <w:p>
            <w:pPr>
              <w:spacing w:after="0"/>
              <w:rPr>
                <w:rFonts w:ascii="Times New Roman" w:cs="Times New Roman" w:eastAsia="Times New Roman" w:hAnsi="Times New Roman"/>
                <w:sz w:val="18"/>
                <w:szCs w:val="18"/>
                <w:color w:val="0000EE"/>
              </w:rPr>
            </w:pPr>
            <w:hyperlink r:id="rId124">
              <w:r>
                <w:rPr>
                  <w:rFonts w:ascii="Times New Roman" w:cs="Times New Roman" w:eastAsia="Times New Roman" w:hAnsi="Times New Roman"/>
                  <w:sz w:val="18"/>
                  <w:szCs w:val="18"/>
                  <w:color w:val="0000EE"/>
                </w:rPr>
                <w:t>Amended and Restated Certificate of</w:t>
              </w:r>
            </w:hyperlink>
          </w:p>
        </w:tc>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10-Q</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001-41059</w:t>
            </w:r>
          </w:p>
        </w:tc>
        <w:tc>
          <w:tcPr>
            <w:tcW w:w="160" w:type="dxa"/>
            <w:vAlign w:val="bottom"/>
          </w:tcPr>
          <w:p>
            <w:pPr>
              <w:spacing w:after="0"/>
              <w:rPr>
                <w:sz w:val="24"/>
                <w:szCs w:val="24"/>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4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12/16/2021</w:t>
            </w: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500" w:type="dxa"/>
            <w:vAlign w:val="bottom"/>
            <w:gridSpan w:val="28"/>
          </w:tcPr>
          <w:p>
            <w:pPr>
              <w:spacing w:after="0" w:line="196" w:lineRule="exact"/>
              <w:rPr>
                <w:rFonts w:ascii="Times New Roman" w:cs="Times New Roman" w:eastAsia="Times New Roman" w:hAnsi="Times New Roman"/>
                <w:sz w:val="18"/>
                <w:szCs w:val="18"/>
                <w:color w:val="0000EE"/>
              </w:rPr>
            </w:pPr>
            <w:hyperlink r:id="rId124">
              <w:r>
                <w:rPr>
                  <w:rFonts w:ascii="Times New Roman" w:cs="Times New Roman" w:eastAsia="Times New Roman" w:hAnsi="Times New Roman"/>
                  <w:sz w:val="18"/>
                  <w:szCs w:val="18"/>
                  <w:color w:val="0000EE"/>
                </w:rPr>
                <w:t>Incorporation of Lulu’s Fashion Lounge</w:t>
              </w:r>
            </w:hyperlink>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7"/>
              </w:rPr>
            </w:pPr>
            <w:hyperlink r:id="rId124">
              <w:r>
                <w:rPr>
                  <w:rFonts w:ascii="Times New Roman" w:cs="Times New Roman" w:eastAsia="Times New Roman" w:hAnsi="Times New Roman"/>
                  <w:sz w:val="18"/>
                  <w:szCs w:val="18"/>
                  <w:color w:val="0000EE"/>
                  <w:w w:val="97"/>
                </w:rPr>
                <w:t>Holdings, Inc.</w:t>
              </w:r>
            </w:hyperlink>
          </w:p>
        </w:tc>
        <w:tc>
          <w:tcPr>
            <w:tcW w:w="1860" w:type="dxa"/>
            <w:vAlign w:val="bottom"/>
            <w:tcBorders>
              <w:top w:val="single" w:sz="8" w:color="0000EE"/>
            </w:tcBorders>
            <w:gridSpan w:val="9"/>
          </w:tcPr>
          <w:p>
            <w:pPr>
              <w:spacing w:after="0"/>
              <w:rPr>
                <w:sz w:val="17"/>
                <w:szCs w:val="17"/>
                <w:color w:val="auto"/>
              </w:rPr>
            </w:pPr>
          </w:p>
        </w:tc>
        <w:tc>
          <w:tcPr>
            <w:tcW w:w="620" w:type="dxa"/>
            <w:vAlign w:val="bottom"/>
            <w:gridSpan w:val="15"/>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160" w:type="dxa"/>
            <w:vAlign w:val="bottom"/>
          </w:tcPr>
          <w:p>
            <w:pPr>
              <w:spacing w:after="0"/>
              <w:rPr>
                <w:sz w:val="17"/>
                <w:szCs w:val="17"/>
                <w:color w:val="auto"/>
              </w:rPr>
            </w:pPr>
          </w:p>
        </w:tc>
        <w:tc>
          <w:tcPr>
            <w:tcW w:w="296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125">
              <w:r>
                <w:rPr>
                  <w:rFonts w:ascii="Times New Roman" w:cs="Times New Roman" w:eastAsia="Times New Roman" w:hAnsi="Times New Roman"/>
                  <w:sz w:val="18"/>
                  <w:szCs w:val="18"/>
                  <w:color w:val="0000EE"/>
                  <w:w w:val="99"/>
                </w:rPr>
                <w:t>Amended and Restated Bylaws of Lulu’s</w:t>
              </w:r>
            </w:hyperlink>
          </w:p>
        </w:tc>
        <w:tc>
          <w:tcPr>
            <w:tcW w:w="540" w:type="dxa"/>
            <w:vAlign w:val="bottom"/>
            <w:gridSpan w:val="12"/>
          </w:tcPr>
          <w:p>
            <w:pPr>
              <w:spacing w:after="0"/>
              <w:rPr>
                <w:sz w:val="17"/>
                <w:szCs w:val="17"/>
                <w:color w:val="auto"/>
              </w:rPr>
            </w:pPr>
          </w:p>
        </w:tc>
        <w:tc>
          <w:tcPr>
            <w:tcW w:w="6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10-Q</w:t>
            </w:r>
          </w:p>
        </w:tc>
        <w:tc>
          <w:tcPr>
            <w:tcW w:w="9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001-41059</w:t>
            </w:r>
          </w:p>
        </w:tc>
        <w:tc>
          <w:tcPr>
            <w:tcW w:w="160" w:type="dxa"/>
            <w:vAlign w:val="bottom"/>
          </w:tcPr>
          <w:p>
            <w:pPr>
              <w:spacing w:after="0"/>
              <w:rPr>
                <w:sz w:val="17"/>
                <w:szCs w:val="17"/>
                <w:color w:val="auto"/>
              </w:rPr>
            </w:pPr>
          </w:p>
        </w:tc>
        <w:tc>
          <w:tcPr>
            <w:tcW w:w="5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3.2</w:t>
            </w:r>
          </w:p>
        </w:tc>
        <w:tc>
          <w:tcPr>
            <w:tcW w:w="140" w:type="dxa"/>
            <w:vAlign w:val="bottom"/>
          </w:tcPr>
          <w:p>
            <w:pPr>
              <w:spacing w:after="0"/>
              <w:rPr>
                <w:sz w:val="17"/>
                <w:szCs w:val="17"/>
                <w:color w:val="auto"/>
              </w:rPr>
            </w:pPr>
          </w:p>
        </w:tc>
        <w:tc>
          <w:tcPr>
            <w:tcW w:w="12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12/16/2021</w:t>
            </w: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500" w:type="dxa"/>
            <w:vAlign w:val="bottom"/>
            <w:gridSpan w:val="28"/>
          </w:tcPr>
          <w:p>
            <w:pPr>
              <w:spacing w:after="0" w:line="196" w:lineRule="exact"/>
              <w:rPr>
                <w:rFonts w:ascii="Times New Roman" w:cs="Times New Roman" w:eastAsia="Times New Roman" w:hAnsi="Times New Roman"/>
                <w:sz w:val="18"/>
                <w:szCs w:val="18"/>
                <w:color w:val="0000EE"/>
              </w:rPr>
            </w:pPr>
            <w:hyperlink r:id="rId125">
              <w:r>
                <w:rPr>
                  <w:rFonts w:ascii="Times New Roman" w:cs="Times New Roman" w:eastAsia="Times New Roman" w:hAnsi="Times New Roman"/>
                  <w:sz w:val="18"/>
                  <w:szCs w:val="18"/>
                  <w:color w:val="0000EE"/>
                </w:rPr>
                <w:t>Fashion Lounge Holdings, Inc.</w:t>
              </w:r>
            </w:hyperlink>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160" w:type="dxa"/>
            <w:vAlign w:val="bottom"/>
          </w:tcPr>
          <w:p>
            <w:pPr>
              <w:spacing w:after="0"/>
              <w:rPr>
                <w:sz w:val="17"/>
                <w:szCs w:val="17"/>
                <w:color w:val="auto"/>
              </w:rPr>
            </w:pPr>
          </w:p>
        </w:tc>
        <w:tc>
          <w:tcPr>
            <w:tcW w:w="256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126">
              <w:r>
                <w:rPr>
                  <w:rFonts w:ascii="Times New Roman" w:cs="Times New Roman" w:eastAsia="Times New Roman" w:hAnsi="Times New Roman"/>
                  <w:sz w:val="18"/>
                  <w:szCs w:val="18"/>
                  <w:color w:val="0000EE"/>
                  <w:w w:val="99"/>
                </w:rPr>
                <w:t>Form of Common Stock Certificate</w:t>
              </w:r>
            </w:hyperlink>
          </w:p>
        </w:tc>
        <w:tc>
          <w:tcPr>
            <w:tcW w:w="940" w:type="dxa"/>
            <w:vAlign w:val="bottom"/>
            <w:gridSpan w:val="20"/>
          </w:tcPr>
          <w:p>
            <w:pPr>
              <w:spacing w:after="0"/>
              <w:rPr>
                <w:sz w:val="17"/>
                <w:szCs w:val="17"/>
                <w:color w:val="auto"/>
              </w:rPr>
            </w:pPr>
          </w:p>
        </w:tc>
        <w:tc>
          <w:tcPr>
            <w:tcW w:w="6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S-1/A</w:t>
            </w:r>
          </w:p>
        </w:tc>
        <w:tc>
          <w:tcPr>
            <w:tcW w:w="9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333-260194</w:t>
            </w:r>
          </w:p>
        </w:tc>
        <w:tc>
          <w:tcPr>
            <w:tcW w:w="160" w:type="dxa"/>
            <w:vAlign w:val="bottom"/>
          </w:tcPr>
          <w:p>
            <w:pPr>
              <w:spacing w:after="0"/>
              <w:rPr>
                <w:sz w:val="17"/>
                <w:szCs w:val="17"/>
                <w:color w:val="auto"/>
              </w:rPr>
            </w:pPr>
          </w:p>
        </w:tc>
        <w:tc>
          <w:tcPr>
            <w:tcW w:w="5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4.1</w:t>
            </w:r>
          </w:p>
        </w:tc>
        <w:tc>
          <w:tcPr>
            <w:tcW w:w="140" w:type="dxa"/>
            <w:vAlign w:val="bottom"/>
          </w:tcPr>
          <w:p>
            <w:pPr>
              <w:spacing w:after="0"/>
              <w:rPr>
                <w:sz w:val="17"/>
                <w:szCs w:val="17"/>
                <w:color w:val="auto"/>
              </w:rPr>
            </w:pPr>
          </w:p>
        </w:tc>
        <w:tc>
          <w:tcPr>
            <w:tcW w:w="12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11/01/2021</w:t>
            </w: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160" w:type="dxa"/>
            <w:vAlign w:val="bottom"/>
          </w:tcPr>
          <w:p>
            <w:pPr>
              <w:spacing w:after="0"/>
              <w:rPr>
                <w:sz w:val="17"/>
                <w:szCs w:val="17"/>
                <w:color w:val="auto"/>
              </w:rPr>
            </w:pPr>
          </w:p>
        </w:tc>
        <w:tc>
          <w:tcPr>
            <w:tcW w:w="296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127">
              <w:r>
                <w:rPr>
                  <w:rFonts w:ascii="Times New Roman" w:cs="Times New Roman" w:eastAsia="Times New Roman" w:hAnsi="Times New Roman"/>
                  <w:sz w:val="18"/>
                  <w:szCs w:val="18"/>
                  <w:color w:val="0000EE"/>
                  <w:w w:val="99"/>
                </w:rPr>
                <w:t>Investors’ Rights Agreement, dated as of</w:t>
              </w:r>
            </w:hyperlink>
          </w:p>
        </w:tc>
        <w:tc>
          <w:tcPr>
            <w:tcW w:w="540" w:type="dxa"/>
            <w:vAlign w:val="bottom"/>
            <w:gridSpan w:val="12"/>
          </w:tcPr>
          <w:p>
            <w:pPr>
              <w:spacing w:after="0"/>
              <w:rPr>
                <w:sz w:val="17"/>
                <w:szCs w:val="17"/>
                <w:color w:val="auto"/>
              </w:rPr>
            </w:pPr>
          </w:p>
        </w:tc>
        <w:tc>
          <w:tcPr>
            <w:tcW w:w="6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S-1</w:t>
            </w:r>
          </w:p>
        </w:tc>
        <w:tc>
          <w:tcPr>
            <w:tcW w:w="9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333-260194</w:t>
            </w:r>
          </w:p>
        </w:tc>
        <w:tc>
          <w:tcPr>
            <w:tcW w:w="160" w:type="dxa"/>
            <w:vAlign w:val="bottom"/>
          </w:tcPr>
          <w:p>
            <w:pPr>
              <w:spacing w:after="0"/>
              <w:rPr>
                <w:sz w:val="17"/>
                <w:szCs w:val="17"/>
                <w:color w:val="auto"/>
              </w:rPr>
            </w:pPr>
          </w:p>
        </w:tc>
        <w:tc>
          <w:tcPr>
            <w:tcW w:w="5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4.2</w:t>
            </w:r>
          </w:p>
        </w:tc>
        <w:tc>
          <w:tcPr>
            <w:tcW w:w="140" w:type="dxa"/>
            <w:vAlign w:val="bottom"/>
          </w:tcPr>
          <w:p>
            <w:pPr>
              <w:spacing w:after="0"/>
              <w:rPr>
                <w:sz w:val="17"/>
                <w:szCs w:val="17"/>
                <w:color w:val="auto"/>
              </w:rPr>
            </w:pPr>
          </w:p>
        </w:tc>
        <w:tc>
          <w:tcPr>
            <w:tcW w:w="12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10/12/2021</w:t>
            </w: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2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8"/>
              </w:rPr>
            </w:pPr>
            <w:hyperlink r:id="rId127">
              <w:r>
                <w:rPr>
                  <w:rFonts w:ascii="Times New Roman" w:cs="Times New Roman" w:eastAsia="Times New Roman" w:hAnsi="Times New Roman"/>
                  <w:sz w:val="18"/>
                  <w:szCs w:val="18"/>
                  <w:color w:val="0000EE"/>
                  <w:w w:val="98"/>
                </w:rPr>
                <w:t>April 12, 2018, among the Lulu’s Fashion</w:t>
              </w:r>
            </w:hyperlink>
          </w:p>
        </w:tc>
        <w:tc>
          <w:tcPr>
            <w:tcW w:w="480" w:type="dxa"/>
            <w:vAlign w:val="bottom"/>
            <w:gridSpan w:val="11"/>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30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w w:val="99"/>
              </w:rPr>
            </w:pPr>
            <w:hyperlink r:id="rId127">
              <w:r>
                <w:rPr>
                  <w:rFonts w:ascii="Times New Roman" w:cs="Times New Roman" w:eastAsia="Times New Roman" w:hAnsi="Times New Roman"/>
                  <w:sz w:val="18"/>
                  <w:szCs w:val="18"/>
                  <w:color w:val="0000EE"/>
                  <w:w w:val="99"/>
                </w:rPr>
                <w:t>Lounge Holdings, Inc., the Investors listed on</w:t>
              </w:r>
            </w:hyperlink>
          </w:p>
        </w:tc>
        <w:tc>
          <w:tcPr>
            <w:tcW w:w="200" w:type="dxa"/>
            <w:vAlign w:val="bottom"/>
            <w:gridSpan w:val="4"/>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500" w:type="dxa"/>
            <w:vAlign w:val="bottom"/>
            <w:gridSpan w:val="28"/>
          </w:tcPr>
          <w:p>
            <w:pPr>
              <w:spacing w:after="0" w:line="196" w:lineRule="exact"/>
              <w:rPr>
                <w:rFonts w:ascii="Times New Roman" w:cs="Times New Roman" w:eastAsia="Times New Roman" w:hAnsi="Times New Roman"/>
                <w:sz w:val="18"/>
                <w:szCs w:val="18"/>
                <w:color w:val="0000EE"/>
              </w:rPr>
            </w:pPr>
            <w:hyperlink r:id="rId127">
              <w:r>
                <w:rPr>
                  <w:rFonts w:ascii="Times New Roman" w:cs="Times New Roman" w:eastAsia="Times New Roman" w:hAnsi="Times New Roman"/>
                  <w:sz w:val="18"/>
                  <w:szCs w:val="18"/>
                  <w:color w:val="0000EE"/>
                </w:rPr>
                <w:t>Schedule A thereto, Lulu’s Holdings, L.P. and</w:t>
              </w:r>
            </w:hyperlink>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300" w:type="dxa"/>
            <w:vAlign w:val="bottom"/>
            <w:tcBorders>
              <w:top w:val="single" w:sz="8" w:color="0000EE"/>
            </w:tcBorders>
            <w:gridSpan w:val="24"/>
          </w:tcPr>
          <w:p>
            <w:pPr>
              <w:spacing w:after="0" w:line="196" w:lineRule="exact"/>
              <w:rPr>
                <w:rFonts w:ascii="Times New Roman" w:cs="Times New Roman" w:eastAsia="Times New Roman" w:hAnsi="Times New Roman"/>
                <w:sz w:val="18"/>
                <w:szCs w:val="18"/>
                <w:color w:val="0000EE"/>
              </w:rPr>
            </w:pPr>
            <w:hyperlink r:id="rId127">
              <w:r>
                <w:rPr>
                  <w:rFonts w:ascii="Times New Roman" w:cs="Times New Roman" w:eastAsia="Times New Roman" w:hAnsi="Times New Roman"/>
                  <w:sz w:val="18"/>
                  <w:szCs w:val="18"/>
                  <w:color w:val="0000EE"/>
                </w:rPr>
                <w:t>LFL Acquisition Corp.</w:t>
              </w:r>
            </w:hyperlink>
          </w:p>
        </w:tc>
        <w:tc>
          <w:tcPr>
            <w:tcW w:w="200" w:type="dxa"/>
            <w:vAlign w:val="bottom"/>
            <w:gridSpan w:val="4"/>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160" w:type="dxa"/>
            <w:vAlign w:val="bottom"/>
          </w:tcPr>
          <w:p>
            <w:pPr>
              <w:spacing w:after="0"/>
              <w:rPr>
                <w:sz w:val="17"/>
                <w:szCs w:val="17"/>
                <w:color w:val="auto"/>
              </w:rPr>
            </w:pPr>
          </w:p>
        </w:tc>
        <w:tc>
          <w:tcPr>
            <w:tcW w:w="296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8"/>
              </w:rPr>
            </w:pPr>
            <w:hyperlink r:id="rId128">
              <w:r>
                <w:rPr>
                  <w:rFonts w:ascii="Times New Roman" w:cs="Times New Roman" w:eastAsia="Times New Roman" w:hAnsi="Times New Roman"/>
                  <w:sz w:val="18"/>
                  <w:szCs w:val="18"/>
                  <w:color w:val="0000EE"/>
                  <w:w w:val="98"/>
                </w:rPr>
                <w:t>Description of the Registrant’s Securities</w:t>
              </w:r>
            </w:hyperlink>
          </w:p>
        </w:tc>
        <w:tc>
          <w:tcPr>
            <w:tcW w:w="540" w:type="dxa"/>
            <w:vAlign w:val="bottom"/>
            <w:gridSpan w:val="12"/>
          </w:tcPr>
          <w:p>
            <w:pPr>
              <w:spacing w:after="0"/>
              <w:rPr>
                <w:sz w:val="17"/>
                <w:szCs w:val="17"/>
                <w:color w:val="auto"/>
              </w:rPr>
            </w:pPr>
          </w:p>
        </w:tc>
        <w:tc>
          <w:tcPr>
            <w:tcW w:w="6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10-K</w:t>
            </w:r>
          </w:p>
        </w:tc>
        <w:tc>
          <w:tcPr>
            <w:tcW w:w="9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001-41059</w:t>
            </w:r>
          </w:p>
        </w:tc>
        <w:tc>
          <w:tcPr>
            <w:tcW w:w="160" w:type="dxa"/>
            <w:vAlign w:val="bottom"/>
          </w:tcPr>
          <w:p>
            <w:pPr>
              <w:spacing w:after="0"/>
              <w:rPr>
                <w:sz w:val="17"/>
                <w:szCs w:val="17"/>
                <w:color w:val="auto"/>
              </w:rPr>
            </w:pPr>
          </w:p>
        </w:tc>
        <w:tc>
          <w:tcPr>
            <w:tcW w:w="5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4.3</w:t>
            </w:r>
          </w:p>
        </w:tc>
        <w:tc>
          <w:tcPr>
            <w:tcW w:w="140" w:type="dxa"/>
            <w:vAlign w:val="bottom"/>
          </w:tcPr>
          <w:p>
            <w:pPr>
              <w:spacing w:after="0"/>
              <w:rPr>
                <w:sz w:val="17"/>
                <w:szCs w:val="17"/>
                <w:color w:val="auto"/>
              </w:rPr>
            </w:pPr>
          </w:p>
        </w:tc>
        <w:tc>
          <w:tcPr>
            <w:tcW w:w="12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03/31/2022</w:t>
            </w: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60" w:type="dxa"/>
            <w:vAlign w:val="bottom"/>
          </w:tcPr>
          <w:p>
            <w:pPr>
              <w:spacing w:after="0"/>
              <w:rPr>
                <w:sz w:val="17"/>
                <w:szCs w:val="17"/>
                <w:color w:val="auto"/>
              </w:rPr>
            </w:pPr>
          </w:p>
        </w:tc>
        <w:tc>
          <w:tcPr>
            <w:tcW w:w="294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129">
              <w:r>
                <w:rPr>
                  <w:rFonts w:ascii="Times New Roman" w:cs="Times New Roman" w:eastAsia="Times New Roman" w:hAnsi="Times New Roman"/>
                  <w:sz w:val="18"/>
                  <w:szCs w:val="18"/>
                  <w:color w:val="0000EE"/>
                  <w:w w:val="99"/>
                </w:rPr>
                <w:t>Omnibus Equity Plan and Form of Stock</w:t>
              </w:r>
            </w:hyperlink>
          </w:p>
        </w:tc>
        <w:tc>
          <w:tcPr>
            <w:tcW w:w="560" w:type="dxa"/>
            <w:vAlign w:val="bottom"/>
            <w:gridSpan w:val="13"/>
          </w:tcPr>
          <w:p>
            <w:pPr>
              <w:spacing w:after="0"/>
              <w:rPr>
                <w:sz w:val="17"/>
                <w:szCs w:val="17"/>
                <w:color w:val="auto"/>
              </w:rPr>
            </w:pPr>
          </w:p>
        </w:tc>
        <w:tc>
          <w:tcPr>
            <w:tcW w:w="6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10-K</w:t>
            </w:r>
          </w:p>
        </w:tc>
        <w:tc>
          <w:tcPr>
            <w:tcW w:w="9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001-41059</w:t>
            </w:r>
          </w:p>
        </w:tc>
        <w:tc>
          <w:tcPr>
            <w:tcW w:w="160" w:type="dxa"/>
            <w:vAlign w:val="bottom"/>
          </w:tcPr>
          <w:p>
            <w:pPr>
              <w:spacing w:after="0"/>
              <w:rPr>
                <w:sz w:val="17"/>
                <w:szCs w:val="17"/>
                <w:color w:val="auto"/>
              </w:rPr>
            </w:pPr>
          </w:p>
        </w:tc>
        <w:tc>
          <w:tcPr>
            <w:tcW w:w="5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40" w:type="dxa"/>
            <w:vAlign w:val="bottom"/>
          </w:tcPr>
          <w:p>
            <w:pPr>
              <w:spacing w:after="0"/>
              <w:rPr>
                <w:sz w:val="17"/>
                <w:szCs w:val="17"/>
                <w:color w:val="auto"/>
              </w:rPr>
            </w:pPr>
          </w:p>
        </w:tc>
        <w:tc>
          <w:tcPr>
            <w:tcW w:w="12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03/31/2022</w:t>
            </w: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4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w w:val="99"/>
              </w:rPr>
            </w:pPr>
            <w:hyperlink r:id="rId129">
              <w:r>
                <w:rPr>
                  <w:rFonts w:ascii="Times New Roman" w:cs="Times New Roman" w:eastAsia="Times New Roman" w:hAnsi="Times New Roman"/>
                  <w:sz w:val="18"/>
                  <w:szCs w:val="18"/>
                  <w:color w:val="0000EE"/>
                  <w:w w:val="99"/>
                </w:rPr>
                <w:t>Option Agreement and Restricted Stock Unit</w:t>
              </w:r>
            </w:hyperlink>
          </w:p>
        </w:tc>
        <w:tc>
          <w:tcPr>
            <w:tcW w:w="260" w:type="dxa"/>
            <w:vAlign w:val="bottom"/>
            <w:gridSpan w:val="7"/>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7"/>
              </w:rPr>
            </w:pPr>
            <w:hyperlink r:id="rId129">
              <w:r>
                <w:rPr>
                  <w:rFonts w:ascii="Times New Roman" w:cs="Times New Roman" w:eastAsia="Times New Roman" w:hAnsi="Times New Roman"/>
                  <w:sz w:val="18"/>
                  <w:szCs w:val="18"/>
                  <w:color w:val="0000EE"/>
                  <w:w w:val="97"/>
                </w:rPr>
                <w:t>Agreement</w:t>
              </w:r>
            </w:hyperlink>
          </w:p>
        </w:tc>
        <w:tc>
          <w:tcPr>
            <w:tcW w:w="2700" w:type="dxa"/>
            <w:vAlign w:val="bottom"/>
            <w:gridSpan w:val="25"/>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160" w:type="dxa"/>
            <w:vAlign w:val="bottom"/>
          </w:tcPr>
          <w:p>
            <w:pPr>
              <w:spacing w:after="0"/>
              <w:rPr>
                <w:sz w:val="17"/>
                <w:szCs w:val="17"/>
                <w:color w:val="auto"/>
              </w:rPr>
            </w:pPr>
          </w:p>
        </w:tc>
        <w:tc>
          <w:tcPr>
            <w:tcW w:w="270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130">
              <w:r>
                <w:rPr>
                  <w:rFonts w:ascii="Times New Roman" w:cs="Times New Roman" w:eastAsia="Times New Roman" w:hAnsi="Times New Roman"/>
                  <w:sz w:val="18"/>
                  <w:szCs w:val="18"/>
                  <w:color w:val="0000EE"/>
                  <w:w w:val="99"/>
                </w:rPr>
                <w:t>2021 Employee Stock Purchase Plan.</w:t>
              </w:r>
            </w:hyperlink>
          </w:p>
        </w:tc>
        <w:tc>
          <w:tcPr>
            <w:tcW w:w="800" w:type="dxa"/>
            <w:vAlign w:val="bottom"/>
            <w:gridSpan w:val="17"/>
          </w:tcPr>
          <w:p>
            <w:pPr>
              <w:spacing w:after="0"/>
              <w:rPr>
                <w:sz w:val="17"/>
                <w:szCs w:val="17"/>
                <w:color w:val="auto"/>
              </w:rPr>
            </w:pPr>
          </w:p>
        </w:tc>
        <w:tc>
          <w:tcPr>
            <w:tcW w:w="6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S-1/A</w:t>
            </w:r>
          </w:p>
        </w:tc>
        <w:tc>
          <w:tcPr>
            <w:tcW w:w="9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333-260194</w:t>
            </w:r>
          </w:p>
        </w:tc>
        <w:tc>
          <w:tcPr>
            <w:tcW w:w="160" w:type="dxa"/>
            <w:vAlign w:val="bottom"/>
          </w:tcPr>
          <w:p>
            <w:pPr>
              <w:spacing w:after="0"/>
              <w:rPr>
                <w:sz w:val="17"/>
                <w:szCs w:val="17"/>
                <w:color w:val="auto"/>
              </w:rPr>
            </w:pPr>
          </w:p>
        </w:tc>
        <w:tc>
          <w:tcPr>
            <w:tcW w:w="5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140" w:type="dxa"/>
            <w:vAlign w:val="bottom"/>
          </w:tcPr>
          <w:p>
            <w:pPr>
              <w:spacing w:after="0"/>
              <w:rPr>
                <w:sz w:val="17"/>
                <w:szCs w:val="17"/>
                <w:color w:val="auto"/>
              </w:rPr>
            </w:pPr>
          </w:p>
        </w:tc>
        <w:tc>
          <w:tcPr>
            <w:tcW w:w="12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11/01/2021</w:t>
            </w: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160" w:type="dxa"/>
            <w:vAlign w:val="bottom"/>
          </w:tcPr>
          <w:p>
            <w:pPr>
              <w:spacing w:after="0"/>
              <w:rPr>
                <w:sz w:val="17"/>
                <w:szCs w:val="17"/>
                <w:color w:val="auto"/>
              </w:rPr>
            </w:pPr>
          </w:p>
        </w:tc>
        <w:tc>
          <w:tcPr>
            <w:tcW w:w="3500" w:type="dxa"/>
            <w:vAlign w:val="bottom"/>
            <w:gridSpan w:val="28"/>
          </w:tcPr>
          <w:p>
            <w:pPr>
              <w:spacing w:after="0" w:line="196" w:lineRule="exact"/>
              <w:rPr>
                <w:rFonts w:ascii="Times New Roman" w:cs="Times New Roman" w:eastAsia="Times New Roman" w:hAnsi="Times New Roman"/>
                <w:sz w:val="18"/>
                <w:szCs w:val="18"/>
                <w:color w:val="0000EE"/>
              </w:rPr>
            </w:pPr>
            <w:hyperlink r:id="rId131">
              <w:r>
                <w:rPr>
                  <w:rFonts w:ascii="Times New Roman" w:cs="Times New Roman" w:eastAsia="Times New Roman" w:hAnsi="Times New Roman"/>
                  <w:sz w:val="18"/>
                  <w:szCs w:val="18"/>
                  <w:color w:val="0000EE"/>
                </w:rPr>
                <w:t>Form of Stock Award Agreement (Evidencing</w:t>
              </w:r>
            </w:hyperlink>
          </w:p>
        </w:tc>
        <w:tc>
          <w:tcPr>
            <w:tcW w:w="6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S-1/A</w:t>
            </w:r>
          </w:p>
        </w:tc>
        <w:tc>
          <w:tcPr>
            <w:tcW w:w="9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333-260194</w:t>
            </w:r>
          </w:p>
        </w:tc>
        <w:tc>
          <w:tcPr>
            <w:tcW w:w="160" w:type="dxa"/>
            <w:vAlign w:val="bottom"/>
          </w:tcPr>
          <w:p>
            <w:pPr>
              <w:spacing w:after="0"/>
              <w:rPr>
                <w:sz w:val="17"/>
                <w:szCs w:val="17"/>
                <w:color w:val="auto"/>
              </w:rPr>
            </w:pPr>
          </w:p>
        </w:tc>
        <w:tc>
          <w:tcPr>
            <w:tcW w:w="5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140" w:type="dxa"/>
            <w:vAlign w:val="bottom"/>
          </w:tcPr>
          <w:p>
            <w:pPr>
              <w:spacing w:after="0"/>
              <w:rPr>
                <w:sz w:val="17"/>
                <w:szCs w:val="17"/>
                <w:color w:val="auto"/>
              </w:rPr>
            </w:pPr>
          </w:p>
        </w:tc>
        <w:tc>
          <w:tcPr>
            <w:tcW w:w="12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11/01/2021</w:t>
            </w: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320" w:type="dxa"/>
            <w:vAlign w:val="bottom"/>
            <w:tcBorders>
              <w:top w:val="single" w:sz="8" w:color="0000EE"/>
            </w:tcBorders>
            <w:gridSpan w:val="25"/>
          </w:tcPr>
          <w:p>
            <w:pPr>
              <w:spacing w:after="0" w:line="196" w:lineRule="exact"/>
              <w:rPr>
                <w:rFonts w:ascii="Times New Roman" w:cs="Times New Roman" w:eastAsia="Times New Roman" w:hAnsi="Times New Roman"/>
                <w:sz w:val="18"/>
                <w:szCs w:val="18"/>
                <w:color w:val="0000EE"/>
              </w:rPr>
            </w:pPr>
            <w:hyperlink r:id="rId131">
              <w:r>
                <w:rPr>
                  <w:rFonts w:ascii="Times New Roman" w:cs="Times New Roman" w:eastAsia="Times New Roman" w:hAnsi="Times New Roman"/>
                  <w:sz w:val="18"/>
                  <w:szCs w:val="18"/>
                  <w:color w:val="0000EE"/>
                </w:rPr>
                <w:t>Common Stock Received in Respect of Class</w:t>
              </w:r>
            </w:hyperlink>
          </w:p>
        </w:tc>
        <w:tc>
          <w:tcPr>
            <w:tcW w:w="180" w:type="dxa"/>
            <w:vAlign w:val="bottom"/>
            <w:gridSpan w:val="3"/>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6"/>
              </w:rPr>
            </w:pPr>
            <w:hyperlink r:id="rId131">
              <w:r>
                <w:rPr>
                  <w:rFonts w:ascii="Times New Roman" w:cs="Times New Roman" w:eastAsia="Times New Roman" w:hAnsi="Times New Roman"/>
                  <w:sz w:val="18"/>
                  <w:szCs w:val="18"/>
                  <w:color w:val="0000EE"/>
                  <w:w w:val="96"/>
                </w:rPr>
                <w:t>P Units).</w:t>
              </w:r>
            </w:hyperlink>
          </w:p>
        </w:tc>
        <w:tc>
          <w:tcPr>
            <w:tcW w:w="2620" w:type="dxa"/>
            <w:vAlign w:val="bottom"/>
            <w:tcBorders>
              <w:top w:val="single" w:sz="8" w:color="0000EE"/>
            </w:tcBorders>
            <w:gridSpan w:val="20"/>
          </w:tcPr>
          <w:p>
            <w:pPr>
              <w:spacing w:after="0"/>
              <w:rPr>
                <w:sz w:val="17"/>
                <w:szCs w:val="17"/>
                <w:color w:val="auto"/>
              </w:rPr>
            </w:pPr>
          </w:p>
        </w:tc>
        <w:tc>
          <w:tcPr>
            <w:tcW w:w="240" w:type="dxa"/>
            <w:vAlign w:val="bottom"/>
            <w:gridSpan w:val="6"/>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10.4+</w:t>
            </w:r>
          </w:p>
        </w:tc>
        <w:tc>
          <w:tcPr>
            <w:tcW w:w="160" w:type="dxa"/>
            <w:vAlign w:val="bottom"/>
          </w:tcPr>
          <w:p>
            <w:pPr>
              <w:spacing w:after="0"/>
              <w:rPr>
                <w:sz w:val="17"/>
                <w:szCs w:val="17"/>
                <w:color w:val="auto"/>
              </w:rPr>
            </w:pPr>
          </w:p>
        </w:tc>
        <w:tc>
          <w:tcPr>
            <w:tcW w:w="196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8"/>
              </w:rPr>
            </w:pPr>
            <w:hyperlink r:id="rId132">
              <w:r>
                <w:rPr>
                  <w:rFonts w:ascii="Times New Roman" w:cs="Times New Roman" w:eastAsia="Times New Roman" w:hAnsi="Times New Roman"/>
                  <w:sz w:val="18"/>
                  <w:szCs w:val="18"/>
                  <w:color w:val="0000EE"/>
                  <w:w w:val="98"/>
                </w:rPr>
                <w:t>2021 Equity Incentive Plan</w:t>
              </w:r>
            </w:hyperlink>
          </w:p>
        </w:tc>
        <w:tc>
          <w:tcPr>
            <w:tcW w:w="1540" w:type="dxa"/>
            <w:vAlign w:val="bottom"/>
            <w:gridSpan w:val="22"/>
          </w:tcPr>
          <w:p>
            <w:pPr>
              <w:spacing w:after="0"/>
              <w:rPr>
                <w:sz w:val="17"/>
                <w:szCs w:val="17"/>
                <w:color w:val="auto"/>
              </w:rPr>
            </w:pPr>
          </w:p>
        </w:tc>
        <w:tc>
          <w:tcPr>
            <w:tcW w:w="6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S-1</w:t>
            </w:r>
          </w:p>
        </w:tc>
        <w:tc>
          <w:tcPr>
            <w:tcW w:w="9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333-260194</w:t>
            </w:r>
          </w:p>
        </w:tc>
        <w:tc>
          <w:tcPr>
            <w:tcW w:w="160" w:type="dxa"/>
            <w:vAlign w:val="bottom"/>
          </w:tcPr>
          <w:p>
            <w:pPr>
              <w:spacing w:after="0"/>
              <w:rPr>
                <w:sz w:val="17"/>
                <w:szCs w:val="17"/>
                <w:color w:val="auto"/>
              </w:rPr>
            </w:pPr>
          </w:p>
        </w:tc>
        <w:tc>
          <w:tcPr>
            <w:tcW w:w="5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10.4</w:t>
            </w:r>
          </w:p>
        </w:tc>
        <w:tc>
          <w:tcPr>
            <w:tcW w:w="140" w:type="dxa"/>
            <w:vAlign w:val="bottom"/>
          </w:tcPr>
          <w:p>
            <w:pPr>
              <w:spacing w:after="0"/>
              <w:rPr>
                <w:sz w:val="17"/>
                <w:szCs w:val="17"/>
                <w:color w:val="auto"/>
              </w:rPr>
            </w:pPr>
          </w:p>
        </w:tc>
        <w:tc>
          <w:tcPr>
            <w:tcW w:w="12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10/12/2021</w:t>
            </w: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10.5+</w:t>
            </w:r>
          </w:p>
        </w:tc>
        <w:tc>
          <w:tcPr>
            <w:tcW w:w="160" w:type="dxa"/>
            <w:vAlign w:val="bottom"/>
          </w:tcPr>
          <w:p>
            <w:pPr>
              <w:spacing w:after="0"/>
              <w:rPr>
                <w:sz w:val="17"/>
                <w:szCs w:val="17"/>
                <w:color w:val="auto"/>
              </w:rPr>
            </w:pPr>
          </w:p>
        </w:tc>
        <w:tc>
          <w:tcPr>
            <w:tcW w:w="308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r:id="rId133">
              <w:r>
                <w:rPr>
                  <w:rFonts w:ascii="Times New Roman" w:cs="Times New Roman" w:eastAsia="Times New Roman" w:hAnsi="Times New Roman"/>
                  <w:sz w:val="18"/>
                  <w:szCs w:val="18"/>
                  <w:color w:val="0000EE"/>
                  <w:w w:val="99"/>
                </w:rPr>
                <w:t>Stock Option Agreement and Grant Notice</w:t>
              </w:r>
            </w:hyperlink>
          </w:p>
        </w:tc>
        <w:tc>
          <w:tcPr>
            <w:tcW w:w="420" w:type="dxa"/>
            <w:vAlign w:val="bottom"/>
            <w:gridSpan w:val="10"/>
          </w:tcPr>
          <w:p>
            <w:pPr>
              <w:spacing w:after="0"/>
              <w:rPr>
                <w:sz w:val="17"/>
                <w:szCs w:val="17"/>
                <w:color w:val="auto"/>
              </w:rPr>
            </w:pPr>
          </w:p>
        </w:tc>
        <w:tc>
          <w:tcPr>
            <w:tcW w:w="6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S-1</w:t>
            </w:r>
          </w:p>
        </w:tc>
        <w:tc>
          <w:tcPr>
            <w:tcW w:w="9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333-260194</w:t>
            </w:r>
          </w:p>
        </w:tc>
        <w:tc>
          <w:tcPr>
            <w:tcW w:w="160" w:type="dxa"/>
            <w:vAlign w:val="bottom"/>
          </w:tcPr>
          <w:p>
            <w:pPr>
              <w:spacing w:after="0"/>
              <w:rPr>
                <w:sz w:val="17"/>
                <w:szCs w:val="17"/>
                <w:color w:val="auto"/>
              </w:rPr>
            </w:pPr>
          </w:p>
        </w:tc>
        <w:tc>
          <w:tcPr>
            <w:tcW w:w="5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10.5</w:t>
            </w:r>
          </w:p>
        </w:tc>
        <w:tc>
          <w:tcPr>
            <w:tcW w:w="140" w:type="dxa"/>
            <w:vAlign w:val="bottom"/>
          </w:tcPr>
          <w:p>
            <w:pPr>
              <w:spacing w:after="0"/>
              <w:rPr>
                <w:sz w:val="17"/>
                <w:szCs w:val="17"/>
                <w:color w:val="auto"/>
              </w:rPr>
            </w:pPr>
          </w:p>
        </w:tc>
        <w:tc>
          <w:tcPr>
            <w:tcW w:w="12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10/12/2021</w:t>
            </w: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8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8"/>
              </w:rPr>
            </w:pPr>
            <w:hyperlink r:id="rId133">
              <w:r>
                <w:rPr>
                  <w:rFonts w:ascii="Times New Roman" w:cs="Times New Roman" w:eastAsia="Times New Roman" w:hAnsi="Times New Roman"/>
                  <w:sz w:val="18"/>
                  <w:szCs w:val="18"/>
                  <w:color w:val="0000EE"/>
                  <w:w w:val="98"/>
                </w:rPr>
                <w:t>between the Registrant and David W.</w:t>
              </w:r>
            </w:hyperlink>
          </w:p>
        </w:tc>
        <w:tc>
          <w:tcPr>
            <w:tcW w:w="820" w:type="dxa"/>
            <w:vAlign w:val="bottom"/>
            <w:gridSpan w:val="18"/>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14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r:id="rId133">
              <w:r>
                <w:rPr>
                  <w:rFonts w:ascii="Times New Roman" w:cs="Times New Roman" w:eastAsia="Times New Roman" w:hAnsi="Times New Roman"/>
                  <w:sz w:val="18"/>
                  <w:szCs w:val="18"/>
                  <w:color w:val="0000EE"/>
                  <w:w w:val="99"/>
                </w:rPr>
                <w:t>McCreight under the 2021 Equity Incentive</w:t>
              </w:r>
            </w:hyperlink>
          </w:p>
        </w:tc>
        <w:tc>
          <w:tcPr>
            <w:tcW w:w="360" w:type="dxa"/>
            <w:vAlign w:val="bottom"/>
            <w:gridSpan w:val="9"/>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3"/>
              </w:rPr>
            </w:pPr>
            <w:hyperlink r:id="rId133">
              <w:r>
                <w:rPr>
                  <w:rFonts w:ascii="Times New Roman" w:cs="Times New Roman" w:eastAsia="Times New Roman" w:hAnsi="Times New Roman"/>
                  <w:sz w:val="18"/>
                  <w:szCs w:val="18"/>
                  <w:color w:val="0000EE"/>
                  <w:w w:val="93"/>
                </w:rPr>
                <w:t>Plan</w:t>
              </w:r>
            </w:hyperlink>
          </w:p>
        </w:tc>
        <w:tc>
          <w:tcPr>
            <w:tcW w:w="3180" w:type="dxa"/>
            <w:vAlign w:val="bottom"/>
            <w:gridSpan w:val="27"/>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10.6+</w:t>
            </w:r>
          </w:p>
        </w:tc>
        <w:tc>
          <w:tcPr>
            <w:tcW w:w="160" w:type="dxa"/>
            <w:vAlign w:val="bottom"/>
          </w:tcPr>
          <w:p>
            <w:pPr>
              <w:spacing w:after="0"/>
              <w:rPr>
                <w:sz w:val="17"/>
                <w:szCs w:val="17"/>
                <w:color w:val="auto"/>
              </w:rPr>
            </w:pPr>
          </w:p>
        </w:tc>
        <w:tc>
          <w:tcPr>
            <w:tcW w:w="328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w w:val="98"/>
              </w:rPr>
            </w:pPr>
            <w:hyperlink r:id="rId134">
              <w:r>
                <w:rPr>
                  <w:rFonts w:ascii="Times New Roman" w:cs="Times New Roman" w:eastAsia="Times New Roman" w:hAnsi="Times New Roman"/>
                  <w:sz w:val="18"/>
                  <w:szCs w:val="18"/>
                  <w:color w:val="0000EE"/>
                  <w:w w:val="98"/>
                </w:rPr>
                <w:t>Special Compensation Award Agreement and</w:t>
              </w:r>
            </w:hyperlink>
          </w:p>
        </w:tc>
        <w:tc>
          <w:tcPr>
            <w:tcW w:w="220" w:type="dxa"/>
            <w:vAlign w:val="bottom"/>
            <w:gridSpan w:val="5"/>
          </w:tcPr>
          <w:p>
            <w:pPr>
              <w:spacing w:after="0"/>
              <w:rPr>
                <w:sz w:val="17"/>
                <w:szCs w:val="17"/>
                <w:color w:val="auto"/>
              </w:rPr>
            </w:pPr>
          </w:p>
        </w:tc>
        <w:tc>
          <w:tcPr>
            <w:tcW w:w="6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S-1</w:t>
            </w:r>
          </w:p>
        </w:tc>
        <w:tc>
          <w:tcPr>
            <w:tcW w:w="9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333-260194</w:t>
            </w:r>
          </w:p>
        </w:tc>
        <w:tc>
          <w:tcPr>
            <w:tcW w:w="160" w:type="dxa"/>
            <w:vAlign w:val="bottom"/>
          </w:tcPr>
          <w:p>
            <w:pPr>
              <w:spacing w:after="0"/>
              <w:rPr>
                <w:sz w:val="17"/>
                <w:szCs w:val="17"/>
                <w:color w:val="auto"/>
              </w:rPr>
            </w:pPr>
          </w:p>
        </w:tc>
        <w:tc>
          <w:tcPr>
            <w:tcW w:w="5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10.6</w:t>
            </w:r>
          </w:p>
        </w:tc>
        <w:tc>
          <w:tcPr>
            <w:tcW w:w="140" w:type="dxa"/>
            <w:vAlign w:val="bottom"/>
          </w:tcPr>
          <w:p>
            <w:pPr>
              <w:spacing w:after="0"/>
              <w:rPr>
                <w:sz w:val="17"/>
                <w:szCs w:val="17"/>
                <w:color w:val="auto"/>
              </w:rPr>
            </w:pPr>
          </w:p>
        </w:tc>
        <w:tc>
          <w:tcPr>
            <w:tcW w:w="12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10/12/2021</w:t>
            </w: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500" w:type="dxa"/>
            <w:vAlign w:val="bottom"/>
            <w:gridSpan w:val="28"/>
          </w:tcPr>
          <w:p>
            <w:pPr>
              <w:spacing w:after="0" w:line="196" w:lineRule="exact"/>
              <w:rPr>
                <w:rFonts w:ascii="Times New Roman" w:cs="Times New Roman" w:eastAsia="Times New Roman" w:hAnsi="Times New Roman"/>
                <w:sz w:val="18"/>
                <w:szCs w:val="18"/>
                <w:color w:val="0000EE"/>
              </w:rPr>
            </w:pPr>
            <w:hyperlink r:id="rId134">
              <w:r>
                <w:rPr>
                  <w:rFonts w:ascii="Times New Roman" w:cs="Times New Roman" w:eastAsia="Times New Roman" w:hAnsi="Times New Roman"/>
                  <w:sz w:val="18"/>
                  <w:szCs w:val="18"/>
                  <w:color w:val="0000EE"/>
                </w:rPr>
                <w:t>Grant Notice between the Registrant and</w:t>
              </w:r>
            </w:hyperlink>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gridSpan w:val="4"/>
            <w:shd w:val="clear" w:color="auto" w:fill="0000EE"/>
          </w:tcPr>
          <w:p>
            <w:pPr>
              <w:spacing w:after="0" w:line="20" w:lineRule="exact"/>
              <w:rPr>
                <w:sz w:val="1"/>
                <w:szCs w:val="1"/>
                <w:color w:val="auto"/>
              </w:rPr>
            </w:pPr>
          </w:p>
        </w:tc>
        <w:tc>
          <w:tcPr>
            <w:tcW w:w="1840" w:type="dxa"/>
            <w:vAlign w:val="bottom"/>
            <w:gridSpan w:val="8"/>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16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8"/>
              </w:rPr>
            </w:pPr>
            <w:hyperlink r:id="rId134">
              <w:r>
                <w:rPr>
                  <w:rFonts w:ascii="Times New Roman" w:cs="Times New Roman" w:eastAsia="Times New Roman" w:hAnsi="Times New Roman"/>
                  <w:sz w:val="18"/>
                  <w:szCs w:val="18"/>
                  <w:color w:val="0000EE"/>
                  <w:w w:val="98"/>
                </w:rPr>
                <w:t>David W. McCreight under the 2021 Equity</w:t>
              </w:r>
            </w:hyperlink>
          </w:p>
        </w:tc>
        <w:tc>
          <w:tcPr>
            <w:tcW w:w="340" w:type="dxa"/>
            <w:vAlign w:val="bottom"/>
            <w:gridSpan w:val="8"/>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500" w:type="dxa"/>
            <w:vAlign w:val="bottom"/>
            <w:gridSpan w:val="28"/>
          </w:tcPr>
          <w:p>
            <w:pPr>
              <w:spacing w:after="0" w:line="196" w:lineRule="exact"/>
              <w:rPr>
                <w:rFonts w:ascii="Times New Roman" w:cs="Times New Roman" w:eastAsia="Times New Roman" w:hAnsi="Times New Roman"/>
                <w:sz w:val="18"/>
                <w:szCs w:val="18"/>
                <w:color w:val="0000EE"/>
              </w:rPr>
            </w:pPr>
            <w:hyperlink r:id="rId134">
              <w:r>
                <w:rPr>
                  <w:rFonts w:ascii="Times New Roman" w:cs="Times New Roman" w:eastAsia="Times New Roman" w:hAnsi="Times New Roman"/>
                  <w:sz w:val="18"/>
                  <w:szCs w:val="18"/>
                  <w:color w:val="0000EE"/>
                </w:rPr>
                <w:t>Incentive Plan</w:t>
              </w:r>
            </w:hyperlink>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gridSpan w:val="4"/>
            <w:shd w:val="clear" w:color="auto" w:fill="0000EE"/>
          </w:tcPr>
          <w:p>
            <w:pPr>
              <w:spacing w:after="0" w:line="20" w:lineRule="exact"/>
              <w:rPr>
                <w:sz w:val="1"/>
                <w:szCs w:val="1"/>
                <w:color w:val="auto"/>
              </w:rPr>
            </w:pPr>
          </w:p>
        </w:tc>
        <w:tc>
          <w:tcPr>
            <w:tcW w:w="1840" w:type="dxa"/>
            <w:vAlign w:val="bottom"/>
            <w:gridSpan w:val="8"/>
          </w:tcPr>
          <w:p>
            <w:pPr>
              <w:spacing w:after="0" w:line="20" w:lineRule="exact"/>
              <w:rPr>
                <w:sz w:val="1"/>
                <w:szCs w:val="1"/>
                <w:color w:val="auto"/>
              </w:rPr>
            </w:pPr>
          </w:p>
        </w:tc>
        <w:tc>
          <w:tcPr>
            <w:tcW w:w="300" w:type="dxa"/>
            <w:vAlign w:val="bottom"/>
            <w:gridSpan w:val="8"/>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10.7+</w:t>
            </w:r>
          </w:p>
        </w:tc>
        <w:tc>
          <w:tcPr>
            <w:tcW w:w="160" w:type="dxa"/>
            <w:vAlign w:val="bottom"/>
          </w:tcPr>
          <w:p>
            <w:pPr>
              <w:spacing w:after="0"/>
              <w:rPr>
                <w:sz w:val="17"/>
                <w:szCs w:val="17"/>
                <w:color w:val="auto"/>
              </w:rPr>
            </w:pPr>
          </w:p>
        </w:tc>
        <w:tc>
          <w:tcPr>
            <w:tcW w:w="3340" w:type="dxa"/>
            <w:vAlign w:val="bottom"/>
            <w:tcBorders>
              <w:bottom w:val="single" w:sz="8" w:color="0000EE"/>
            </w:tcBorders>
            <w:gridSpan w:val="26"/>
          </w:tcPr>
          <w:p>
            <w:pPr>
              <w:spacing w:after="0" w:line="196" w:lineRule="exact"/>
              <w:rPr>
                <w:rFonts w:ascii="Times New Roman" w:cs="Times New Roman" w:eastAsia="Times New Roman" w:hAnsi="Times New Roman"/>
                <w:sz w:val="18"/>
                <w:szCs w:val="18"/>
                <w:color w:val="0000EE"/>
                <w:w w:val="99"/>
              </w:rPr>
            </w:pPr>
            <w:hyperlink r:id="rId135">
              <w:r>
                <w:rPr>
                  <w:rFonts w:ascii="Times New Roman" w:cs="Times New Roman" w:eastAsia="Times New Roman" w:hAnsi="Times New Roman"/>
                  <w:sz w:val="18"/>
                  <w:szCs w:val="18"/>
                  <w:color w:val="0000EE"/>
                  <w:w w:val="99"/>
                </w:rPr>
                <w:t>Employment Agreement, dated as of April 15,</w:t>
              </w:r>
            </w:hyperlink>
          </w:p>
        </w:tc>
        <w:tc>
          <w:tcPr>
            <w:tcW w:w="160" w:type="dxa"/>
            <w:vAlign w:val="bottom"/>
            <w:gridSpan w:val="2"/>
          </w:tcPr>
          <w:p>
            <w:pPr>
              <w:spacing w:after="0"/>
              <w:rPr>
                <w:sz w:val="17"/>
                <w:szCs w:val="17"/>
                <w:color w:val="auto"/>
              </w:rPr>
            </w:pPr>
          </w:p>
        </w:tc>
        <w:tc>
          <w:tcPr>
            <w:tcW w:w="6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S-1</w:t>
            </w:r>
          </w:p>
        </w:tc>
        <w:tc>
          <w:tcPr>
            <w:tcW w:w="9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333-260194</w:t>
            </w:r>
          </w:p>
        </w:tc>
        <w:tc>
          <w:tcPr>
            <w:tcW w:w="160" w:type="dxa"/>
            <w:vAlign w:val="bottom"/>
          </w:tcPr>
          <w:p>
            <w:pPr>
              <w:spacing w:after="0"/>
              <w:rPr>
                <w:sz w:val="17"/>
                <w:szCs w:val="17"/>
                <w:color w:val="auto"/>
              </w:rPr>
            </w:pPr>
          </w:p>
        </w:tc>
        <w:tc>
          <w:tcPr>
            <w:tcW w:w="5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10.7</w:t>
            </w:r>
          </w:p>
        </w:tc>
        <w:tc>
          <w:tcPr>
            <w:tcW w:w="140" w:type="dxa"/>
            <w:vAlign w:val="bottom"/>
          </w:tcPr>
          <w:p>
            <w:pPr>
              <w:spacing w:after="0"/>
              <w:rPr>
                <w:sz w:val="17"/>
                <w:szCs w:val="17"/>
                <w:color w:val="auto"/>
              </w:rPr>
            </w:pPr>
          </w:p>
        </w:tc>
        <w:tc>
          <w:tcPr>
            <w:tcW w:w="12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10/12/2021</w:t>
            </w: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500" w:type="dxa"/>
            <w:vAlign w:val="bottom"/>
            <w:gridSpan w:val="28"/>
          </w:tcPr>
          <w:p>
            <w:pPr>
              <w:spacing w:after="0" w:line="196" w:lineRule="exact"/>
              <w:rPr>
                <w:rFonts w:ascii="Times New Roman" w:cs="Times New Roman" w:eastAsia="Times New Roman" w:hAnsi="Times New Roman"/>
                <w:sz w:val="18"/>
                <w:szCs w:val="18"/>
                <w:color w:val="0000EE"/>
              </w:rPr>
            </w:pPr>
            <w:hyperlink r:id="rId135">
              <w:r>
                <w:rPr>
                  <w:rFonts w:ascii="Times New Roman" w:cs="Times New Roman" w:eastAsia="Times New Roman" w:hAnsi="Times New Roman"/>
                  <w:sz w:val="18"/>
                  <w:szCs w:val="18"/>
                  <w:color w:val="0000EE"/>
                </w:rPr>
                <w:t>2021, among, Lulu’s Fashion Lounge, LLC,</w:t>
              </w:r>
            </w:hyperlink>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60" w:type="dxa"/>
            <w:vAlign w:val="bottom"/>
            <w:tcBorders>
              <w:top w:val="single" w:sz="8" w:color="0000EE"/>
              <w:bottom w:val="single" w:sz="8" w:color="0000EE"/>
            </w:tcBorders>
            <w:gridSpan w:val="12"/>
          </w:tcPr>
          <w:p>
            <w:pPr>
              <w:spacing w:after="0" w:line="196" w:lineRule="exact"/>
              <w:rPr>
                <w:rFonts w:ascii="Times New Roman" w:cs="Times New Roman" w:eastAsia="Times New Roman" w:hAnsi="Times New Roman"/>
                <w:sz w:val="18"/>
                <w:szCs w:val="18"/>
                <w:color w:val="0000EE"/>
                <w:w w:val="98"/>
              </w:rPr>
            </w:pPr>
            <w:hyperlink r:id="rId135">
              <w:r>
                <w:rPr>
                  <w:rFonts w:ascii="Times New Roman" w:cs="Times New Roman" w:eastAsia="Times New Roman" w:hAnsi="Times New Roman"/>
                  <w:sz w:val="18"/>
                  <w:szCs w:val="18"/>
                  <w:color w:val="0000EE"/>
                  <w:w w:val="98"/>
                </w:rPr>
                <w:t>the Registrant and David W. McCreight</w:t>
              </w:r>
            </w:hyperlink>
          </w:p>
        </w:tc>
        <w:tc>
          <w:tcPr>
            <w:tcW w:w="300" w:type="dxa"/>
            <w:vAlign w:val="bottom"/>
            <w:tcBorders>
              <w:top w:val="single" w:sz="8" w:color="0000EE"/>
            </w:tcBorders>
            <w:gridSpan w:val="8"/>
          </w:tcPr>
          <w:p>
            <w:pPr>
              <w:spacing w:after="0"/>
              <w:rPr>
                <w:sz w:val="17"/>
                <w:szCs w:val="17"/>
                <w:color w:val="auto"/>
              </w:rPr>
            </w:pPr>
          </w:p>
        </w:tc>
        <w:tc>
          <w:tcPr>
            <w:tcW w:w="340" w:type="dxa"/>
            <w:vAlign w:val="bottom"/>
            <w:gridSpan w:val="8"/>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2" w:name="page103"/>
    <w:bookmarkEnd w:id="10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8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960" w:type="dxa"/>
            <w:vAlign w:val="bottom"/>
            <w:tcBorders>
              <w:bottom w:val="single" w:sz="8" w:color="auto"/>
            </w:tcBorders>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60" w:type="dxa"/>
            <w:vAlign w:val="bottom"/>
          </w:tcPr>
          <w:p>
            <w:pPr>
              <w:spacing w:after="0"/>
              <w:rPr>
                <w:sz w:val="15"/>
                <w:szCs w:val="15"/>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Filed/</w:t>
            </w:r>
          </w:p>
        </w:tc>
        <w:tc>
          <w:tcPr>
            <w:tcW w:w="0" w:type="dxa"/>
            <w:vAlign w:val="bottom"/>
          </w:tcPr>
          <w:p>
            <w:pPr>
              <w:spacing w:after="0"/>
              <w:rPr>
                <w:sz w:val="1"/>
                <w:szCs w:val="1"/>
                <w:color w:val="auto"/>
              </w:rPr>
            </w:pPr>
          </w:p>
        </w:tc>
      </w:tr>
      <w:tr>
        <w:trPr>
          <w:trHeight w:val="187"/>
        </w:trPr>
        <w:tc>
          <w:tcPr>
            <w:tcW w:w="800" w:type="dxa"/>
            <w:vAlign w:val="bottom"/>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Exhibit</w:t>
            </w: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Filing</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Furnished</w:t>
            </w:r>
          </w:p>
        </w:tc>
        <w:tc>
          <w:tcPr>
            <w:tcW w:w="0" w:type="dxa"/>
            <w:vAlign w:val="bottom"/>
          </w:tcPr>
          <w:p>
            <w:pPr>
              <w:spacing w:after="0"/>
              <w:rPr>
                <w:sz w:val="1"/>
                <w:szCs w:val="1"/>
                <w:color w:val="auto"/>
              </w:rPr>
            </w:pPr>
          </w:p>
        </w:tc>
      </w:tr>
      <w:tr>
        <w:trPr>
          <w:trHeight w:val="65"/>
        </w:trPr>
        <w:tc>
          <w:tcPr>
            <w:tcW w:w="8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60" w:type="dxa"/>
            <w:vAlign w:val="bottom"/>
            <w:vMerge w:val="restart"/>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760" w:type="dxa"/>
            <w:vAlign w:val="bottom"/>
            <w:gridSpan w:val="31"/>
            <w:vMerge w:val="restart"/>
          </w:tcPr>
          <w:p>
            <w:pPr>
              <w:ind w:left="300"/>
              <w:spacing w:after="0"/>
              <w:rPr>
                <w:sz w:val="20"/>
                <w:szCs w:val="20"/>
                <w:color w:val="auto"/>
              </w:rPr>
            </w:pPr>
            <w:r>
              <w:rPr>
                <w:rFonts w:ascii="Times New Roman" w:cs="Times New Roman" w:eastAsia="Times New Roman" w:hAnsi="Times New Roman"/>
                <w:sz w:val="18"/>
                <w:szCs w:val="18"/>
                <w:b w:val="1"/>
                <w:bCs w:val="1"/>
                <w:color w:val="auto"/>
              </w:rPr>
              <w:t>Exhibit Description</w:t>
            </w:r>
          </w:p>
        </w:tc>
        <w:tc>
          <w:tcPr>
            <w:tcW w:w="120" w:type="dxa"/>
            <w:vAlign w:val="bottom"/>
            <w:vMerge w:val="restart"/>
          </w:tcPr>
          <w:p>
            <w:pPr>
              <w:spacing w:after="0"/>
              <w:rPr>
                <w:sz w:val="5"/>
                <w:szCs w:val="5"/>
                <w:color w:val="auto"/>
              </w:rPr>
            </w:pPr>
          </w:p>
        </w:tc>
        <w:tc>
          <w:tcPr>
            <w:tcW w:w="54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40" w:type="dxa"/>
            <w:vAlign w:val="bottom"/>
            <w:vMerge w:val="restart"/>
          </w:tcPr>
          <w:p>
            <w:pPr>
              <w:spacing w:after="0"/>
              <w:rPr>
                <w:sz w:val="5"/>
                <w:szCs w:val="5"/>
                <w:color w:val="auto"/>
              </w:rPr>
            </w:pPr>
          </w:p>
        </w:tc>
        <w:tc>
          <w:tcPr>
            <w:tcW w:w="940" w:type="dxa"/>
            <w:vAlign w:val="bottom"/>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60" w:type="dxa"/>
            <w:vAlign w:val="bottom"/>
            <w:vMerge w:val="restart"/>
          </w:tcPr>
          <w:p>
            <w:pPr>
              <w:spacing w:after="0"/>
              <w:rPr>
                <w:sz w:val="5"/>
                <w:szCs w:val="5"/>
                <w:color w:val="auto"/>
              </w:rPr>
            </w:pPr>
          </w:p>
        </w:tc>
        <w:tc>
          <w:tcPr>
            <w:tcW w:w="5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0" w:type="dxa"/>
            <w:vAlign w:val="bottom"/>
            <w:vMerge w:val="restart"/>
          </w:tcPr>
          <w:p>
            <w:pPr>
              <w:spacing w:after="0"/>
              <w:rPr>
                <w:sz w:val="5"/>
                <w:szCs w:val="5"/>
                <w:color w:val="auto"/>
              </w:rPr>
            </w:pPr>
          </w:p>
        </w:tc>
        <w:tc>
          <w:tcPr>
            <w:tcW w:w="136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800" w:type="dxa"/>
            <w:vAlign w:val="bottom"/>
            <w:tcBorders>
              <w:bottom w:val="single" w:sz="8" w:color="auto"/>
            </w:tcBorders>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760" w:type="dxa"/>
            <w:vAlign w:val="bottom"/>
            <w:tcBorders>
              <w:bottom w:val="single" w:sz="8" w:color="auto"/>
            </w:tcBorders>
            <w:gridSpan w:val="31"/>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540" w:type="dxa"/>
            <w:vAlign w:val="bottom"/>
            <w:tcBorders>
              <w:bottom w:val="single" w:sz="8" w:color="auto"/>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520" w:type="dxa"/>
            <w:vAlign w:val="bottom"/>
            <w:tcBorders>
              <w:bottom w:val="single" w:sz="8" w:color="auto"/>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160" w:type="dxa"/>
            <w:vAlign w:val="bottom"/>
          </w:tcPr>
          <w:p>
            <w:pPr>
              <w:spacing w:after="0"/>
              <w:rPr>
                <w:sz w:val="15"/>
                <w:szCs w:val="15"/>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Herewith</w:t>
            </w:r>
          </w:p>
        </w:tc>
        <w:tc>
          <w:tcPr>
            <w:tcW w:w="0" w:type="dxa"/>
            <w:vAlign w:val="bottom"/>
          </w:tcPr>
          <w:p>
            <w:pPr>
              <w:spacing w:after="0"/>
              <w:rPr>
                <w:sz w:val="1"/>
                <w:szCs w:val="1"/>
                <w:color w:val="auto"/>
              </w:rPr>
            </w:pPr>
          </w:p>
        </w:tc>
      </w:tr>
      <w:tr>
        <w:trPr>
          <w:trHeight w:val="385"/>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10.8+</w:t>
            </w:r>
          </w:p>
        </w:tc>
        <w:tc>
          <w:tcPr>
            <w:tcW w:w="160" w:type="dxa"/>
            <w:vAlign w:val="bottom"/>
          </w:tcPr>
          <w:p>
            <w:pPr>
              <w:spacing w:after="0"/>
              <w:rPr>
                <w:sz w:val="24"/>
                <w:szCs w:val="24"/>
                <w:color w:val="auto"/>
              </w:rPr>
            </w:pPr>
          </w:p>
        </w:tc>
        <w:tc>
          <w:tcPr>
            <w:tcW w:w="262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r:id="rId137">
              <w:r>
                <w:rPr>
                  <w:rFonts w:ascii="Times New Roman" w:cs="Times New Roman" w:eastAsia="Times New Roman" w:hAnsi="Times New Roman"/>
                  <w:sz w:val="18"/>
                  <w:szCs w:val="18"/>
                  <w:color w:val="0000EE"/>
                  <w:w w:val="99"/>
                </w:rPr>
                <w:t>Form of Indemnification Agreement</w:t>
              </w:r>
            </w:hyperlink>
          </w:p>
        </w:tc>
        <w:tc>
          <w:tcPr>
            <w:tcW w:w="880" w:type="dxa"/>
            <w:vAlign w:val="bottom"/>
            <w:gridSpan w:val="24"/>
          </w:tcPr>
          <w:p>
            <w:pPr>
              <w:spacing w:after="0"/>
              <w:rPr>
                <w:sz w:val="24"/>
                <w:szCs w:val="24"/>
                <w:color w:val="auto"/>
              </w:rPr>
            </w:pPr>
          </w:p>
        </w:tc>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S-1/A</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333-260194</w:t>
            </w:r>
          </w:p>
        </w:tc>
        <w:tc>
          <w:tcPr>
            <w:tcW w:w="160" w:type="dxa"/>
            <w:vAlign w:val="bottom"/>
          </w:tcPr>
          <w:p>
            <w:pPr>
              <w:spacing w:after="0"/>
              <w:rPr>
                <w:sz w:val="24"/>
                <w:szCs w:val="24"/>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10.8</w:t>
            </w:r>
          </w:p>
        </w:tc>
        <w:tc>
          <w:tcPr>
            <w:tcW w:w="14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11/01/2021</w:t>
            </w: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10.9</w:t>
            </w:r>
          </w:p>
        </w:tc>
        <w:tc>
          <w:tcPr>
            <w:tcW w:w="160" w:type="dxa"/>
            <w:vAlign w:val="bottom"/>
          </w:tcPr>
          <w:p>
            <w:pPr>
              <w:spacing w:after="0"/>
              <w:rPr>
                <w:sz w:val="17"/>
                <w:szCs w:val="17"/>
                <w:color w:val="auto"/>
              </w:rPr>
            </w:pPr>
          </w:p>
        </w:tc>
        <w:tc>
          <w:tcPr>
            <w:tcW w:w="3500" w:type="dxa"/>
            <w:vAlign w:val="bottom"/>
            <w:gridSpan w:val="35"/>
          </w:tcPr>
          <w:p>
            <w:pPr>
              <w:spacing w:after="0" w:line="196" w:lineRule="exact"/>
              <w:rPr>
                <w:rFonts w:ascii="Times New Roman" w:cs="Times New Roman" w:eastAsia="Times New Roman" w:hAnsi="Times New Roman"/>
                <w:sz w:val="18"/>
                <w:szCs w:val="18"/>
                <w:color w:val="0000EE"/>
              </w:rPr>
            </w:pPr>
            <w:hyperlink r:id="rId138">
              <w:r>
                <w:rPr>
                  <w:rFonts w:ascii="Times New Roman" w:cs="Times New Roman" w:eastAsia="Times New Roman" w:hAnsi="Times New Roman"/>
                  <w:sz w:val="18"/>
                  <w:szCs w:val="18"/>
                  <w:color w:val="0000EE"/>
                </w:rPr>
                <w:t>Commercial Lease Agreement (Unit C and</w:t>
              </w:r>
            </w:hyperlink>
          </w:p>
        </w:tc>
        <w:tc>
          <w:tcPr>
            <w:tcW w:w="6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S-1/A</w:t>
            </w:r>
          </w:p>
        </w:tc>
        <w:tc>
          <w:tcPr>
            <w:tcW w:w="9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333-260194</w:t>
            </w:r>
          </w:p>
        </w:tc>
        <w:tc>
          <w:tcPr>
            <w:tcW w:w="160" w:type="dxa"/>
            <w:vAlign w:val="bottom"/>
          </w:tcPr>
          <w:p>
            <w:pPr>
              <w:spacing w:after="0"/>
              <w:rPr>
                <w:sz w:val="17"/>
                <w:szCs w:val="17"/>
                <w:color w:val="auto"/>
              </w:rPr>
            </w:pPr>
          </w:p>
        </w:tc>
        <w:tc>
          <w:tcPr>
            <w:tcW w:w="5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10.14</w:t>
            </w:r>
          </w:p>
        </w:tc>
        <w:tc>
          <w:tcPr>
            <w:tcW w:w="140" w:type="dxa"/>
            <w:vAlign w:val="bottom"/>
          </w:tcPr>
          <w:p>
            <w:pPr>
              <w:spacing w:after="0"/>
              <w:rPr>
                <w:sz w:val="17"/>
                <w:szCs w:val="17"/>
                <w:color w:val="auto"/>
              </w:rPr>
            </w:pPr>
          </w:p>
        </w:tc>
        <w:tc>
          <w:tcPr>
            <w:tcW w:w="12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11/01/2021</w:t>
            </w: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740" w:type="dxa"/>
            <w:vAlign w:val="bottom"/>
            <w:tcBorders>
              <w:top w:val="single" w:sz="8" w:color="0000EE"/>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138">
              <w:r>
                <w:rPr>
                  <w:rFonts w:ascii="Times New Roman" w:cs="Times New Roman" w:eastAsia="Times New Roman" w:hAnsi="Times New Roman"/>
                  <w:sz w:val="18"/>
                  <w:szCs w:val="18"/>
                  <w:color w:val="0000EE"/>
                  <w:w w:val="99"/>
                </w:rPr>
                <w:t>Unit F), dated as of October 26, 2016,</w:t>
              </w:r>
            </w:hyperlink>
          </w:p>
        </w:tc>
        <w:tc>
          <w:tcPr>
            <w:tcW w:w="340" w:type="dxa"/>
            <w:vAlign w:val="bottom"/>
            <w:tcBorders>
              <w:top w:val="single" w:sz="8" w:color="0000EE"/>
            </w:tcBorders>
            <w:gridSpan w:val="11"/>
          </w:tcPr>
          <w:p>
            <w:pPr>
              <w:spacing w:after="0"/>
              <w:rPr>
                <w:sz w:val="17"/>
                <w:szCs w:val="17"/>
                <w:color w:val="auto"/>
              </w:rPr>
            </w:pPr>
          </w:p>
        </w:tc>
        <w:tc>
          <w:tcPr>
            <w:tcW w:w="420" w:type="dxa"/>
            <w:vAlign w:val="bottom"/>
            <w:gridSpan w:val="11"/>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0" w:type="dxa"/>
            <w:vAlign w:val="bottom"/>
            <w:tcBorders>
              <w:bottom w:val="single" w:sz="8" w:color="0000EE"/>
            </w:tcBorders>
            <w:gridSpan w:val="29"/>
          </w:tcPr>
          <w:p>
            <w:pPr>
              <w:spacing w:after="0" w:line="196" w:lineRule="exact"/>
              <w:rPr>
                <w:rFonts w:ascii="Times New Roman" w:cs="Times New Roman" w:eastAsia="Times New Roman" w:hAnsi="Times New Roman"/>
                <w:sz w:val="18"/>
                <w:szCs w:val="18"/>
                <w:color w:val="0000EE"/>
                <w:w w:val="99"/>
              </w:rPr>
            </w:pPr>
            <w:hyperlink r:id="rId138">
              <w:r>
                <w:rPr>
                  <w:rFonts w:ascii="Times New Roman" w:cs="Times New Roman" w:eastAsia="Times New Roman" w:hAnsi="Times New Roman"/>
                  <w:sz w:val="18"/>
                  <w:szCs w:val="18"/>
                  <w:color w:val="0000EE"/>
                  <w:w w:val="99"/>
                </w:rPr>
                <w:t>between Hegan Lane Partnership and Lulu’s</w:t>
              </w:r>
            </w:hyperlink>
          </w:p>
        </w:tc>
        <w:tc>
          <w:tcPr>
            <w:tcW w:w="300" w:type="dxa"/>
            <w:vAlign w:val="bottom"/>
            <w:gridSpan w:val="6"/>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500" w:type="dxa"/>
            <w:vAlign w:val="bottom"/>
            <w:gridSpan w:val="35"/>
          </w:tcPr>
          <w:p>
            <w:pPr>
              <w:spacing w:after="0" w:line="196" w:lineRule="exact"/>
              <w:rPr>
                <w:rFonts w:ascii="Times New Roman" w:cs="Times New Roman" w:eastAsia="Times New Roman" w:hAnsi="Times New Roman"/>
                <w:sz w:val="18"/>
                <w:szCs w:val="18"/>
                <w:color w:val="0000EE"/>
              </w:rPr>
            </w:pPr>
            <w:hyperlink r:id="rId138">
              <w:r>
                <w:rPr>
                  <w:rFonts w:ascii="Times New Roman" w:cs="Times New Roman" w:eastAsia="Times New Roman" w:hAnsi="Times New Roman"/>
                  <w:sz w:val="18"/>
                  <w:szCs w:val="18"/>
                  <w:color w:val="0000EE"/>
                </w:rPr>
                <w:t>Fashion Lounge, Inc.</w:t>
              </w:r>
            </w:hyperlink>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10.10</w:t>
            </w:r>
          </w:p>
        </w:tc>
        <w:tc>
          <w:tcPr>
            <w:tcW w:w="160" w:type="dxa"/>
            <w:vAlign w:val="bottom"/>
          </w:tcPr>
          <w:p>
            <w:pPr>
              <w:spacing w:after="0"/>
              <w:rPr>
                <w:sz w:val="17"/>
                <w:szCs w:val="17"/>
                <w:color w:val="auto"/>
              </w:rPr>
            </w:pPr>
          </w:p>
        </w:tc>
        <w:tc>
          <w:tcPr>
            <w:tcW w:w="250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139">
              <w:r>
                <w:rPr>
                  <w:rFonts w:ascii="Times New Roman" w:cs="Times New Roman" w:eastAsia="Times New Roman" w:hAnsi="Times New Roman"/>
                  <w:sz w:val="18"/>
                  <w:szCs w:val="18"/>
                  <w:color w:val="0000EE"/>
                  <w:w w:val="99"/>
                </w:rPr>
                <w:t>Addenda to the Commercial Lease</w:t>
              </w:r>
            </w:hyperlink>
          </w:p>
        </w:tc>
        <w:tc>
          <w:tcPr>
            <w:tcW w:w="1000" w:type="dxa"/>
            <w:vAlign w:val="bottom"/>
            <w:gridSpan w:val="26"/>
          </w:tcPr>
          <w:p>
            <w:pPr>
              <w:spacing w:after="0"/>
              <w:rPr>
                <w:sz w:val="17"/>
                <w:szCs w:val="17"/>
                <w:color w:val="auto"/>
              </w:rPr>
            </w:pPr>
          </w:p>
        </w:tc>
        <w:tc>
          <w:tcPr>
            <w:tcW w:w="6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S-1/A</w:t>
            </w:r>
          </w:p>
        </w:tc>
        <w:tc>
          <w:tcPr>
            <w:tcW w:w="9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333-260194</w:t>
            </w:r>
          </w:p>
        </w:tc>
        <w:tc>
          <w:tcPr>
            <w:tcW w:w="160" w:type="dxa"/>
            <w:vAlign w:val="bottom"/>
          </w:tcPr>
          <w:p>
            <w:pPr>
              <w:spacing w:after="0"/>
              <w:rPr>
                <w:sz w:val="17"/>
                <w:szCs w:val="17"/>
                <w:color w:val="auto"/>
              </w:rPr>
            </w:pPr>
          </w:p>
        </w:tc>
        <w:tc>
          <w:tcPr>
            <w:tcW w:w="5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10.15</w:t>
            </w:r>
          </w:p>
        </w:tc>
        <w:tc>
          <w:tcPr>
            <w:tcW w:w="140" w:type="dxa"/>
            <w:vAlign w:val="bottom"/>
          </w:tcPr>
          <w:p>
            <w:pPr>
              <w:spacing w:after="0"/>
              <w:rPr>
                <w:sz w:val="17"/>
                <w:szCs w:val="17"/>
                <w:color w:val="auto"/>
              </w:rPr>
            </w:pPr>
          </w:p>
        </w:tc>
        <w:tc>
          <w:tcPr>
            <w:tcW w:w="12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11/01/2021</w:t>
            </w: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500" w:type="dxa"/>
            <w:vAlign w:val="bottom"/>
            <w:gridSpan w:val="35"/>
          </w:tcPr>
          <w:p>
            <w:pPr>
              <w:spacing w:after="0" w:line="196" w:lineRule="exact"/>
              <w:rPr>
                <w:rFonts w:ascii="Times New Roman" w:cs="Times New Roman" w:eastAsia="Times New Roman" w:hAnsi="Times New Roman"/>
                <w:sz w:val="18"/>
                <w:szCs w:val="18"/>
                <w:color w:val="0000EE"/>
              </w:rPr>
            </w:pPr>
            <w:hyperlink r:id="rId139">
              <w:r>
                <w:rPr>
                  <w:rFonts w:ascii="Times New Roman" w:cs="Times New Roman" w:eastAsia="Times New Roman" w:hAnsi="Times New Roman"/>
                  <w:sz w:val="18"/>
                  <w:szCs w:val="18"/>
                  <w:color w:val="0000EE"/>
                </w:rPr>
                <w:t>Agreements (Unit B, Unit C and Unit F),</w:t>
              </w:r>
            </w:hyperlink>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940" w:type="dxa"/>
            <w:vAlign w:val="bottom"/>
            <w:tcBorders>
              <w:top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139">
              <w:r>
                <w:rPr>
                  <w:rFonts w:ascii="Times New Roman" w:cs="Times New Roman" w:eastAsia="Times New Roman" w:hAnsi="Times New Roman"/>
                  <w:sz w:val="18"/>
                  <w:szCs w:val="18"/>
                  <w:color w:val="0000EE"/>
                </w:rPr>
                <w:t>dated as of September 6, 2019, between</w:t>
              </w:r>
            </w:hyperlink>
          </w:p>
        </w:tc>
        <w:tc>
          <w:tcPr>
            <w:tcW w:w="560" w:type="dxa"/>
            <w:vAlign w:val="bottom"/>
            <w:gridSpan w:val="17"/>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180" w:type="dxa"/>
            <w:vAlign w:val="bottom"/>
            <w:tcBorders>
              <w:bottom w:val="single" w:sz="8" w:color="0000EE"/>
            </w:tcBorders>
            <w:gridSpan w:val="28"/>
          </w:tcPr>
          <w:p>
            <w:pPr>
              <w:spacing w:after="0" w:line="196" w:lineRule="exact"/>
              <w:rPr>
                <w:rFonts w:ascii="Times New Roman" w:cs="Times New Roman" w:eastAsia="Times New Roman" w:hAnsi="Times New Roman"/>
                <w:sz w:val="18"/>
                <w:szCs w:val="18"/>
                <w:color w:val="0000EE"/>
                <w:w w:val="99"/>
              </w:rPr>
            </w:pPr>
            <w:hyperlink r:id="rId139">
              <w:r>
                <w:rPr>
                  <w:rFonts w:ascii="Times New Roman" w:cs="Times New Roman" w:eastAsia="Times New Roman" w:hAnsi="Times New Roman"/>
                  <w:sz w:val="18"/>
                  <w:szCs w:val="18"/>
                  <w:color w:val="0000EE"/>
                  <w:w w:val="99"/>
                </w:rPr>
                <w:t>Hegan Lane Partnership and Lulu’s Fashion</w:t>
              </w:r>
            </w:hyperlink>
          </w:p>
        </w:tc>
        <w:tc>
          <w:tcPr>
            <w:tcW w:w="320" w:type="dxa"/>
            <w:vAlign w:val="bottom"/>
            <w:gridSpan w:val="7"/>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7"/>
              </w:rPr>
            </w:pPr>
            <w:hyperlink r:id="rId139">
              <w:r>
                <w:rPr>
                  <w:rFonts w:ascii="Times New Roman" w:cs="Times New Roman" w:eastAsia="Times New Roman" w:hAnsi="Times New Roman"/>
                  <w:sz w:val="18"/>
                  <w:szCs w:val="18"/>
                  <w:color w:val="0000EE"/>
                  <w:w w:val="97"/>
                </w:rPr>
                <w:t>Lounge, LLC</w:t>
              </w:r>
            </w:hyperlink>
          </w:p>
        </w:tc>
        <w:tc>
          <w:tcPr>
            <w:tcW w:w="2520" w:type="dxa"/>
            <w:vAlign w:val="bottom"/>
            <w:gridSpan w:val="31"/>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10.11</w:t>
            </w:r>
          </w:p>
        </w:tc>
        <w:tc>
          <w:tcPr>
            <w:tcW w:w="160" w:type="dxa"/>
            <w:vAlign w:val="bottom"/>
          </w:tcPr>
          <w:p>
            <w:pPr>
              <w:spacing w:after="0"/>
              <w:rPr>
                <w:sz w:val="17"/>
                <w:szCs w:val="17"/>
                <w:color w:val="auto"/>
              </w:rPr>
            </w:pPr>
          </w:p>
        </w:tc>
        <w:tc>
          <w:tcPr>
            <w:tcW w:w="292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140">
              <w:r>
                <w:rPr>
                  <w:rFonts w:ascii="Times New Roman" w:cs="Times New Roman" w:eastAsia="Times New Roman" w:hAnsi="Times New Roman"/>
                  <w:sz w:val="18"/>
                  <w:szCs w:val="18"/>
                  <w:color w:val="0000EE"/>
                  <w:w w:val="99"/>
                </w:rPr>
                <w:t>Lease Agreement, dated as of January 7,</w:t>
              </w:r>
            </w:hyperlink>
          </w:p>
        </w:tc>
        <w:tc>
          <w:tcPr>
            <w:tcW w:w="580" w:type="dxa"/>
            <w:vAlign w:val="bottom"/>
            <w:gridSpan w:val="18"/>
          </w:tcPr>
          <w:p>
            <w:pPr>
              <w:spacing w:after="0"/>
              <w:rPr>
                <w:sz w:val="17"/>
                <w:szCs w:val="17"/>
                <w:color w:val="auto"/>
              </w:rPr>
            </w:pPr>
          </w:p>
        </w:tc>
        <w:tc>
          <w:tcPr>
            <w:tcW w:w="6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S-1/A</w:t>
            </w:r>
          </w:p>
        </w:tc>
        <w:tc>
          <w:tcPr>
            <w:tcW w:w="9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333-260194</w:t>
            </w:r>
          </w:p>
        </w:tc>
        <w:tc>
          <w:tcPr>
            <w:tcW w:w="160" w:type="dxa"/>
            <w:vAlign w:val="bottom"/>
          </w:tcPr>
          <w:p>
            <w:pPr>
              <w:spacing w:after="0"/>
              <w:rPr>
                <w:sz w:val="17"/>
                <w:szCs w:val="17"/>
                <w:color w:val="auto"/>
              </w:rPr>
            </w:pPr>
          </w:p>
        </w:tc>
        <w:tc>
          <w:tcPr>
            <w:tcW w:w="5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10.17</w:t>
            </w:r>
          </w:p>
        </w:tc>
        <w:tc>
          <w:tcPr>
            <w:tcW w:w="140" w:type="dxa"/>
            <w:vAlign w:val="bottom"/>
          </w:tcPr>
          <w:p>
            <w:pPr>
              <w:spacing w:after="0"/>
              <w:rPr>
                <w:sz w:val="17"/>
                <w:szCs w:val="17"/>
                <w:color w:val="auto"/>
              </w:rPr>
            </w:pPr>
          </w:p>
        </w:tc>
        <w:tc>
          <w:tcPr>
            <w:tcW w:w="12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11/01/2021</w:t>
            </w: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160" w:type="dxa"/>
            <w:vAlign w:val="bottom"/>
            <w:tcBorders>
              <w:bottom w:val="single" w:sz="8" w:color="0000EE"/>
            </w:tcBorders>
            <w:gridSpan w:val="27"/>
          </w:tcPr>
          <w:p>
            <w:pPr>
              <w:spacing w:after="0" w:line="196" w:lineRule="exact"/>
              <w:rPr>
                <w:rFonts w:ascii="Times New Roman" w:cs="Times New Roman" w:eastAsia="Times New Roman" w:hAnsi="Times New Roman"/>
                <w:sz w:val="18"/>
                <w:szCs w:val="18"/>
                <w:color w:val="0000EE"/>
              </w:rPr>
            </w:pPr>
            <w:hyperlink r:id="rId140">
              <w:r>
                <w:rPr>
                  <w:rFonts w:ascii="Times New Roman" w:cs="Times New Roman" w:eastAsia="Times New Roman" w:hAnsi="Times New Roman"/>
                  <w:sz w:val="18"/>
                  <w:szCs w:val="18"/>
                  <w:color w:val="0000EE"/>
                </w:rPr>
                <w:t>2019, between Chrin-Carson Development,</w:t>
              </w:r>
            </w:hyperlink>
          </w:p>
        </w:tc>
        <w:tc>
          <w:tcPr>
            <w:tcW w:w="340" w:type="dxa"/>
            <w:vAlign w:val="bottom"/>
            <w:gridSpan w:val="8"/>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500" w:type="dxa"/>
            <w:vAlign w:val="bottom"/>
            <w:gridSpan w:val="35"/>
          </w:tcPr>
          <w:p>
            <w:pPr>
              <w:spacing w:after="0" w:line="196" w:lineRule="exact"/>
              <w:rPr>
                <w:rFonts w:ascii="Times New Roman" w:cs="Times New Roman" w:eastAsia="Times New Roman" w:hAnsi="Times New Roman"/>
                <w:sz w:val="18"/>
                <w:szCs w:val="18"/>
                <w:color w:val="0000EE"/>
              </w:rPr>
            </w:pPr>
            <w:hyperlink r:id="rId140">
              <w:r>
                <w:rPr>
                  <w:rFonts w:ascii="Times New Roman" w:cs="Times New Roman" w:eastAsia="Times New Roman" w:hAnsi="Times New Roman"/>
                  <w:sz w:val="18"/>
                  <w:szCs w:val="18"/>
                  <w:color w:val="0000EE"/>
                </w:rPr>
                <w:t>LLC and the Registrant</w:t>
              </w:r>
            </w:hyperlink>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52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10.12</w:t>
            </w:r>
          </w:p>
        </w:tc>
        <w:tc>
          <w:tcPr>
            <w:tcW w:w="160" w:type="dxa"/>
            <w:vAlign w:val="bottom"/>
          </w:tcPr>
          <w:p>
            <w:pPr>
              <w:spacing w:after="0"/>
              <w:rPr>
                <w:sz w:val="17"/>
                <w:szCs w:val="17"/>
                <w:color w:val="auto"/>
              </w:rPr>
            </w:pPr>
          </w:p>
        </w:tc>
        <w:tc>
          <w:tcPr>
            <w:tcW w:w="278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141">
              <w:r>
                <w:rPr>
                  <w:rFonts w:ascii="Times New Roman" w:cs="Times New Roman" w:eastAsia="Times New Roman" w:hAnsi="Times New Roman"/>
                  <w:sz w:val="18"/>
                  <w:szCs w:val="18"/>
                  <w:color w:val="0000EE"/>
                  <w:w w:val="99"/>
                </w:rPr>
                <w:t>First Amendment to Lease, dated as of</w:t>
              </w:r>
            </w:hyperlink>
          </w:p>
        </w:tc>
        <w:tc>
          <w:tcPr>
            <w:tcW w:w="720" w:type="dxa"/>
            <w:vAlign w:val="bottom"/>
            <w:gridSpan w:val="20"/>
          </w:tcPr>
          <w:p>
            <w:pPr>
              <w:spacing w:after="0"/>
              <w:rPr>
                <w:sz w:val="17"/>
                <w:szCs w:val="17"/>
                <w:color w:val="auto"/>
              </w:rPr>
            </w:pPr>
          </w:p>
        </w:tc>
        <w:tc>
          <w:tcPr>
            <w:tcW w:w="6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S-1/A</w:t>
            </w:r>
          </w:p>
        </w:tc>
        <w:tc>
          <w:tcPr>
            <w:tcW w:w="9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333-260194</w:t>
            </w:r>
          </w:p>
        </w:tc>
        <w:tc>
          <w:tcPr>
            <w:tcW w:w="160" w:type="dxa"/>
            <w:vAlign w:val="bottom"/>
          </w:tcPr>
          <w:p>
            <w:pPr>
              <w:spacing w:after="0"/>
              <w:rPr>
                <w:sz w:val="17"/>
                <w:szCs w:val="17"/>
                <w:color w:val="auto"/>
              </w:rPr>
            </w:pPr>
          </w:p>
        </w:tc>
        <w:tc>
          <w:tcPr>
            <w:tcW w:w="5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10.18</w:t>
            </w:r>
          </w:p>
        </w:tc>
        <w:tc>
          <w:tcPr>
            <w:tcW w:w="140" w:type="dxa"/>
            <w:vAlign w:val="bottom"/>
          </w:tcPr>
          <w:p>
            <w:pPr>
              <w:spacing w:after="0"/>
              <w:rPr>
                <w:sz w:val="17"/>
                <w:szCs w:val="17"/>
                <w:color w:val="auto"/>
              </w:rPr>
            </w:pPr>
          </w:p>
        </w:tc>
        <w:tc>
          <w:tcPr>
            <w:tcW w:w="12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11/01/2021</w:t>
            </w: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4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w w:val="99"/>
              </w:rPr>
            </w:pPr>
            <w:hyperlink r:id="rId141">
              <w:r>
                <w:rPr>
                  <w:rFonts w:ascii="Times New Roman" w:cs="Times New Roman" w:eastAsia="Times New Roman" w:hAnsi="Times New Roman"/>
                  <w:sz w:val="18"/>
                  <w:szCs w:val="18"/>
                  <w:color w:val="0000EE"/>
                  <w:w w:val="99"/>
                </w:rPr>
                <w:t>February 24, 2019, between Chrin-Carson</w:t>
              </w:r>
            </w:hyperlink>
          </w:p>
        </w:tc>
        <w:tc>
          <w:tcPr>
            <w:tcW w:w="460" w:type="dxa"/>
            <w:vAlign w:val="bottom"/>
            <w:gridSpan w:val="13"/>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76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141">
              <w:r>
                <w:rPr>
                  <w:rFonts w:ascii="Times New Roman" w:cs="Times New Roman" w:eastAsia="Times New Roman" w:hAnsi="Times New Roman"/>
                  <w:sz w:val="18"/>
                  <w:szCs w:val="18"/>
                  <w:color w:val="0000EE"/>
                  <w:w w:val="99"/>
                </w:rPr>
                <w:t>Development, LLC and the Registrant</w:t>
              </w:r>
            </w:hyperlink>
          </w:p>
        </w:tc>
        <w:tc>
          <w:tcPr>
            <w:tcW w:w="740" w:type="dxa"/>
            <w:vAlign w:val="bottom"/>
            <w:gridSpan w:val="21"/>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10.13+</w:t>
            </w:r>
          </w:p>
        </w:tc>
        <w:tc>
          <w:tcPr>
            <w:tcW w:w="160" w:type="dxa"/>
            <w:vAlign w:val="bottom"/>
          </w:tcPr>
          <w:p>
            <w:pPr>
              <w:spacing w:after="0"/>
              <w:rPr>
                <w:sz w:val="17"/>
                <w:szCs w:val="17"/>
                <w:color w:val="auto"/>
              </w:rPr>
            </w:pPr>
          </w:p>
        </w:tc>
        <w:tc>
          <w:tcPr>
            <w:tcW w:w="304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w w:val="99"/>
              </w:rPr>
            </w:pPr>
            <w:hyperlink r:id="rId142">
              <w:r>
                <w:rPr>
                  <w:rFonts w:ascii="Times New Roman" w:cs="Times New Roman" w:eastAsia="Times New Roman" w:hAnsi="Times New Roman"/>
                  <w:sz w:val="18"/>
                  <w:szCs w:val="18"/>
                  <w:color w:val="0000EE"/>
                  <w:w w:val="99"/>
                </w:rPr>
                <w:t>Registration Rights Agreement among the</w:t>
              </w:r>
            </w:hyperlink>
          </w:p>
        </w:tc>
        <w:tc>
          <w:tcPr>
            <w:tcW w:w="460" w:type="dxa"/>
            <w:vAlign w:val="bottom"/>
            <w:gridSpan w:val="13"/>
          </w:tcPr>
          <w:p>
            <w:pPr>
              <w:spacing w:after="0"/>
              <w:rPr>
                <w:sz w:val="17"/>
                <w:szCs w:val="17"/>
                <w:color w:val="auto"/>
              </w:rPr>
            </w:pPr>
          </w:p>
        </w:tc>
        <w:tc>
          <w:tcPr>
            <w:tcW w:w="6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10-Q</w:t>
            </w:r>
          </w:p>
        </w:tc>
        <w:tc>
          <w:tcPr>
            <w:tcW w:w="9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001-41059</w:t>
            </w:r>
          </w:p>
        </w:tc>
        <w:tc>
          <w:tcPr>
            <w:tcW w:w="160" w:type="dxa"/>
            <w:vAlign w:val="bottom"/>
          </w:tcPr>
          <w:p>
            <w:pPr>
              <w:spacing w:after="0"/>
              <w:rPr>
                <w:sz w:val="17"/>
                <w:szCs w:val="17"/>
                <w:color w:val="auto"/>
              </w:rPr>
            </w:pPr>
          </w:p>
        </w:tc>
        <w:tc>
          <w:tcPr>
            <w:tcW w:w="5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10.9</w:t>
            </w:r>
          </w:p>
        </w:tc>
        <w:tc>
          <w:tcPr>
            <w:tcW w:w="140" w:type="dxa"/>
            <w:vAlign w:val="bottom"/>
          </w:tcPr>
          <w:p>
            <w:pPr>
              <w:spacing w:after="0"/>
              <w:rPr>
                <w:sz w:val="17"/>
                <w:szCs w:val="17"/>
                <w:color w:val="auto"/>
              </w:rPr>
            </w:pPr>
          </w:p>
        </w:tc>
        <w:tc>
          <w:tcPr>
            <w:tcW w:w="12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12/16/2021</w:t>
            </w: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500" w:type="dxa"/>
            <w:vAlign w:val="bottom"/>
            <w:gridSpan w:val="35"/>
          </w:tcPr>
          <w:p>
            <w:pPr>
              <w:spacing w:after="0" w:line="196" w:lineRule="exact"/>
              <w:rPr>
                <w:rFonts w:ascii="Times New Roman" w:cs="Times New Roman" w:eastAsia="Times New Roman" w:hAnsi="Times New Roman"/>
                <w:sz w:val="18"/>
                <w:szCs w:val="18"/>
                <w:color w:val="0000EE"/>
              </w:rPr>
            </w:pPr>
            <w:hyperlink r:id="rId142">
              <w:r>
                <w:rPr>
                  <w:rFonts w:ascii="Times New Roman" w:cs="Times New Roman" w:eastAsia="Times New Roman" w:hAnsi="Times New Roman"/>
                  <w:sz w:val="18"/>
                  <w:szCs w:val="18"/>
                  <w:color w:val="0000EE"/>
                </w:rPr>
                <w:t>Registrant and certain of its stockholders,</w:t>
              </w:r>
            </w:hyperlink>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980" w:type="dxa"/>
            <w:vAlign w:val="bottom"/>
            <w:tcBorders>
              <w:top w:val="single" w:sz="8" w:color="0000EE"/>
            </w:tcBorders>
            <w:gridSpan w:val="20"/>
          </w:tcPr>
          <w:p>
            <w:pPr>
              <w:spacing w:after="0" w:line="196" w:lineRule="exact"/>
              <w:rPr>
                <w:rFonts w:ascii="Times New Roman" w:cs="Times New Roman" w:eastAsia="Times New Roman" w:hAnsi="Times New Roman"/>
                <w:sz w:val="18"/>
                <w:szCs w:val="18"/>
                <w:color w:val="0000EE"/>
              </w:rPr>
            </w:pPr>
            <w:hyperlink r:id="rId142">
              <w:r>
                <w:rPr>
                  <w:rFonts w:ascii="Times New Roman" w:cs="Times New Roman" w:eastAsia="Times New Roman" w:hAnsi="Times New Roman"/>
                  <w:sz w:val="18"/>
                  <w:szCs w:val="18"/>
                  <w:color w:val="0000EE"/>
                </w:rPr>
                <w:t>dated November 10, 2021.</w:t>
              </w:r>
            </w:hyperlink>
          </w:p>
        </w:tc>
        <w:tc>
          <w:tcPr>
            <w:tcW w:w="520" w:type="dxa"/>
            <w:vAlign w:val="bottom"/>
            <w:gridSpan w:val="15"/>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52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10.14+</w:t>
            </w:r>
          </w:p>
        </w:tc>
        <w:tc>
          <w:tcPr>
            <w:tcW w:w="160" w:type="dxa"/>
            <w:vAlign w:val="bottom"/>
          </w:tcPr>
          <w:p>
            <w:pPr>
              <w:spacing w:after="0"/>
              <w:rPr>
                <w:sz w:val="17"/>
                <w:szCs w:val="17"/>
                <w:color w:val="auto"/>
              </w:rPr>
            </w:pPr>
          </w:p>
        </w:tc>
        <w:tc>
          <w:tcPr>
            <w:tcW w:w="258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143">
              <w:r>
                <w:rPr>
                  <w:rFonts w:ascii="Times New Roman" w:cs="Times New Roman" w:eastAsia="Times New Roman" w:hAnsi="Times New Roman"/>
                  <w:sz w:val="18"/>
                  <w:szCs w:val="18"/>
                  <w:color w:val="0000EE"/>
                  <w:w w:val="99"/>
                </w:rPr>
                <w:t>Stockholders Agreement among the</w:t>
              </w:r>
            </w:hyperlink>
          </w:p>
        </w:tc>
        <w:tc>
          <w:tcPr>
            <w:tcW w:w="920" w:type="dxa"/>
            <w:vAlign w:val="bottom"/>
            <w:gridSpan w:val="25"/>
          </w:tcPr>
          <w:p>
            <w:pPr>
              <w:spacing w:after="0"/>
              <w:rPr>
                <w:sz w:val="17"/>
                <w:szCs w:val="17"/>
                <w:color w:val="auto"/>
              </w:rPr>
            </w:pPr>
          </w:p>
        </w:tc>
        <w:tc>
          <w:tcPr>
            <w:tcW w:w="6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10-Q</w:t>
            </w:r>
          </w:p>
        </w:tc>
        <w:tc>
          <w:tcPr>
            <w:tcW w:w="9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001-41059</w:t>
            </w:r>
          </w:p>
        </w:tc>
        <w:tc>
          <w:tcPr>
            <w:tcW w:w="160" w:type="dxa"/>
            <w:vAlign w:val="bottom"/>
          </w:tcPr>
          <w:p>
            <w:pPr>
              <w:spacing w:after="0"/>
              <w:rPr>
                <w:sz w:val="17"/>
                <w:szCs w:val="17"/>
                <w:color w:val="auto"/>
              </w:rPr>
            </w:pPr>
          </w:p>
        </w:tc>
        <w:tc>
          <w:tcPr>
            <w:tcW w:w="5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10.10</w:t>
            </w:r>
          </w:p>
        </w:tc>
        <w:tc>
          <w:tcPr>
            <w:tcW w:w="140" w:type="dxa"/>
            <w:vAlign w:val="bottom"/>
          </w:tcPr>
          <w:p>
            <w:pPr>
              <w:spacing w:after="0"/>
              <w:rPr>
                <w:sz w:val="17"/>
                <w:szCs w:val="17"/>
                <w:color w:val="auto"/>
              </w:rPr>
            </w:pPr>
          </w:p>
        </w:tc>
        <w:tc>
          <w:tcPr>
            <w:tcW w:w="12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12/16/2021</w:t>
            </w: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0" w:type="dxa"/>
            <w:vAlign w:val="bottom"/>
            <w:tcBorders>
              <w:bottom w:val="single" w:sz="8" w:color="0000EE"/>
            </w:tcBorders>
            <w:gridSpan w:val="29"/>
          </w:tcPr>
          <w:p>
            <w:pPr>
              <w:spacing w:after="0" w:line="196" w:lineRule="exact"/>
              <w:rPr>
                <w:rFonts w:ascii="Times New Roman" w:cs="Times New Roman" w:eastAsia="Times New Roman" w:hAnsi="Times New Roman"/>
                <w:sz w:val="18"/>
                <w:szCs w:val="18"/>
                <w:color w:val="0000EE"/>
                <w:w w:val="99"/>
              </w:rPr>
            </w:pPr>
            <w:hyperlink r:id="rId143">
              <w:r>
                <w:rPr>
                  <w:rFonts w:ascii="Times New Roman" w:cs="Times New Roman" w:eastAsia="Times New Roman" w:hAnsi="Times New Roman"/>
                  <w:sz w:val="18"/>
                  <w:szCs w:val="18"/>
                  <w:color w:val="0000EE"/>
                  <w:w w:val="99"/>
                </w:rPr>
                <w:t>Registrant, H.I.G. Growth Partners—Lulu’s,</w:t>
              </w:r>
            </w:hyperlink>
          </w:p>
        </w:tc>
        <w:tc>
          <w:tcPr>
            <w:tcW w:w="300" w:type="dxa"/>
            <w:vAlign w:val="bottom"/>
            <w:gridSpan w:val="6"/>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180" w:type="dxa"/>
            <w:vAlign w:val="bottom"/>
            <w:tcBorders>
              <w:bottom w:val="single" w:sz="8" w:color="0000EE"/>
            </w:tcBorders>
            <w:gridSpan w:val="28"/>
          </w:tcPr>
          <w:p>
            <w:pPr>
              <w:spacing w:after="0" w:line="196" w:lineRule="exact"/>
              <w:rPr>
                <w:rFonts w:ascii="Times New Roman" w:cs="Times New Roman" w:eastAsia="Times New Roman" w:hAnsi="Times New Roman"/>
                <w:sz w:val="18"/>
                <w:szCs w:val="18"/>
                <w:color w:val="0000EE"/>
                <w:w w:val="98"/>
              </w:rPr>
            </w:pPr>
            <w:hyperlink r:id="rId143">
              <w:r>
                <w:rPr>
                  <w:rFonts w:ascii="Times New Roman" w:cs="Times New Roman" w:eastAsia="Times New Roman" w:hAnsi="Times New Roman"/>
                  <w:sz w:val="18"/>
                  <w:szCs w:val="18"/>
                  <w:color w:val="0000EE"/>
                  <w:w w:val="98"/>
                </w:rPr>
                <w:t>L.P., entities affiliated with IVP and Canada</w:t>
              </w:r>
            </w:hyperlink>
          </w:p>
        </w:tc>
        <w:tc>
          <w:tcPr>
            <w:tcW w:w="320" w:type="dxa"/>
            <w:vAlign w:val="bottom"/>
            <w:gridSpan w:val="7"/>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74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143">
              <w:r>
                <w:rPr>
                  <w:rFonts w:ascii="Times New Roman" w:cs="Times New Roman" w:eastAsia="Times New Roman" w:hAnsi="Times New Roman"/>
                  <w:sz w:val="18"/>
                  <w:szCs w:val="18"/>
                  <w:color w:val="0000EE"/>
                  <w:w w:val="99"/>
                </w:rPr>
                <w:t>Pension Plan Investment Board, dated</w:t>
              </w:r>
            </w:hyperlink>
          </w:p>
        </w:tc>
        <w:tc>
          <w:tcPr>
            <w:tcW w:w="760" w:type="dxa"/>
            <w:vAlign w:val="bottom"/>
            <w:gridSpan w:val="22"/>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143">
              <w:r>
                <w:rPr>
                  <w:rFonts w:ascii="Times New Roman" w:cs="Times New Roman" w:eastAsia="Times New Roman" w:hAnsi="Times New Roman"/>
                  <w:sz w:val="18"/>
                  <w:szCs w:val="18"/>
                  <w:color w:val="0000EE"/>
                  <w:w w:val="99"/>
                </w:rPr>
                <w:t>November 10, 2021.</w:t>
              </w:r>
            </w:hyperlink>
          </w:p>
        </w:tc>
        <w:tc>
          <w:tcPr>
            <w:tcW w:w="1980" w:type="dxa"/>
            <w:vAlign w:val="bottom"/>
            <w:gridSpan w:val="29"/>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10.15+</w:t>
            </w:r>
          </w:p>
        </w:tc>
        <w:tc>
          <w:tcPr>
            <w:tcW w:w="160" w:type="dxa"/>
            <w:vAlign w:val="bottom"/>
          </w:tcPr>
          <w:p>
            <w:pPr>
              <w:spacing w:after="0"/>
              <w:rPr>
                <w:sz w:val="17"/>
                <w:szCs w:val="17"/>
                <w:color w:val="auto"/>
              </w:rPr>
            </w:pPr>
          </w:p>
        </w:tc>
        <w:tc>
          <w:tcPr>
            <w:tcW w:w="3160" w:type="dxa"/>
            <w:vAlign w:val="bottom"/>
            <w:tcBorders>
              <w:bottom w:val="single" w:sz="8" w:color="0000EE"/>
            </w:tcBorders>
            <w:gridSpan w:val="27"/>
          </w:tcPr>
          <w:p>
            <w:pPr>
              <w:spacing w:after="0" w:line="196" w:lineRule="exact"/>
              <w:rPr>
                <w:rFonts w:ascii="Times New Roman" w:cs="Times New Roman" w:eastAsia="Times New Roman" w:hAnsi="Times New Roman"/>
                <w:sz w:val="18"/>
                <w:szCs w:val="18"/>
                <w:color w:val="0000EE"/>
                <w:w w:val="99"/>
              </w:rPr>
            </w:pPr>
            <w:hyperlink r:id="rId144">
              <w:r>
                <w:rPr>
                  <w:rFonts w:ascii="Times New Roman" w:cs="Times New Roman" w:eastAsia="Times New Roman" w:hAnsi="Times New Roman"/>
                  <w:sz w:val="18"/>
                  <w:szCs w:val="18"/>
                  <w:color w:val="0000EE"/>
                  <w:w w:val="99"/>
                </w:rPr>
                <w:t>Lulu’s Fashion Lounge Holdings, Inc. Non-</w:t>
              </w:r>
            </w:hyperlink>
          </w:p>
        </w:tc>
        <w:tc>
          <w:tcPr>
            <w:tcW w:w="340" w:type="dxa"/>
            <w:vAlign w:val="bottom"/>
            <w:gridSpan w:val="8"/>
          </w:tcPr>
          <w:p>
            <w:pPr>
              <w:spacing w:after="0"/>
              <w:rPr>
                <w:sz w:val="17"/>
                <w:szCs w:val="17"/>
                <w:color w:val="auto"/>
              </w:rPr>
            </w:pPr>
          </w:p>
        </w:tc>
        <w:tc>
          <w:tcPr>
            <w:tcW w:w="6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8-K</w:t>
            </w:r>
          </w:p>
        </w:tc>
        <w:tc>
          <w:tcPr>
            <w:tcW w:w="9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001-41059</w:t>
            </w:r>
          </w:p>
        </w:tc>
        <w:tc>
          <w:tcPr>
            <w:tcW w:w="160" w:type="dxa"/>
            <w:vAlign w:val="bottom"/>
          </w:tcPr>
          <w:p>
            <w:pPr>
              <w:spacing w:after="0"/>
              <w:rPr>
                <w:sz w:val="17"/>
                <w:szCs w:val="17"/>
                <w:color w:val="auto"/>
              </w:rPr>
            </w:pPr>
          </w:p>
        </w:tc>
        <w:tc>
          <w:tcPr>
            <w:tcW w:w="5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40" w:type="dxa"/>
            <w:vAlign w:val="bottom"/>
          </w:tcPr>
          <w:p>
            <w:pPr>
              <w:spacing w:after="0"/>
              <w:rPr>
                <w:sz w:val="17"/>
                <w:szCs w:val="17"/>
                <w:color w:val="auto"/>
              </w:rPr>
            </w:pPr>
          </w:p>
        </w:tc>
        <w:tc>
          <w:tcPr>
            <w:tcW w:w="12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01/31/2022</w:t>
            </w: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140" w:type="dxa"/>
            <w:vAlign w:val="bottom"/>
            <w:tcBorders>
              <w:bottom w:val="single" w:sz="8" w:color="0000EE"/>
            </w:tcBorders>
            <w:gridSpan w:val="26"/>
          </w:tcPr>
          <w:p>
            <w:pPr>
              <w:spacing w:after="0" w:line="196" w:lineRule="exact"/>
              <w:rPr>
                <w:rFonts w:ascii="Times New Roman" w:cs="Times New Roman" w:eastAsia="Times New Roman" w:hAnsi="Times New Roman"/>
                <w:sz w:val="18"/>
                <w:szCs w:val="18"/>
                <w:color w:val="0000EE"/>
                <w:w w:val="99"/>
              </w:rPr>
            </w:pPr>
            <w:hyperlink r:id="rId144">
              <w:r>
                <w:rPr>
                  <w:rFonts w:ascii="Times New Roman" w:cs="Times New Roman" w:eastAsia="Times New Roman" w:hAnsi="Times New Roman"/>
                  <w:sz w:val="18"/>
                  <w:szCs w:val="18"/>
                  <w:color w:val="0000EE"/>
                  <w:w w:val="99"/>
                </w:rPr>
                <w:t>Employee Director Compensation Program</w:t>
              </w:r>
            </w:hyperlink>
          </w:p>
        </w:tc>
        <w:tc>
          <w:tcPr>
            <w:tcW w:w="360" w:type="dxa"/>
            <w:vAlign w:val="bottom"/>
            <w:gridSpan w:val="9"/>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10.16</w:t>
            </w:r>
          </w:p>
        </w:tc>
        <w:tc>
          <w:tcPr>
            <w:tcW w:w="160" w:type="dxa"/>
            <w:vAlign w:val="bottom"/>
          </w:tcPr>
          <w:p>
            <w:pPr>
              <w:spacing w:after="0"/>
              <w:rPr>
                <w:sz w:val="17"/>
                <w:szCs w:val="17"/>
                <w:color w:val="auto"/>
              </w:rPr>
            </w:pPr>
          </w:p>
        </w:tc>
        <w:tc>
          <w:tcPr>
            <w:tcW w:w="3340" w:type="dxa"/>
            <w:vAlign w:val="bottom"/>
            <w:tcBorders>
              <w:bottom w:val="single" w:sz="8" w:color="0000EE"/>
            </w:tcBorders>
            <w:gridSpan w:val="32"/>
          </w:tcPr>
          <w:p>
            <w:pPr>
              <w:spacing w:after="0" w:line="196" w:lineRule="exact"/>
              <w:rPr>
                <w:rFonts w:ascii="Times New Roman" w:cs="Times New Roman" w:eastAsia="Times New Roman" w:hAnsi="Times New Roman"/>
                <w:sz w:val="18"/>
                <w:szCs w:val="18"/>
                <w:color w:val="0000EE"/>
                <w:w w:val="98"/>
              </w:rPr>
            </w:pPr>
            <w:hyperlink r:id="rId145">
              <w:r>
                <w:rPr>
                  <w:rFonts w:ascii="Times New Roman" w:cs="Times New Roman" w:eastAsia="Times New Roman" w:hAnsi="Times New Roman"/>
                  <w:sz w:val="18"/>
                  <w:szCs w:val="18"/>
                  <w:color w:val="0000EE"/>
                  <w:w w:val="98"/>
                </w:rPr>
                <w:t>Employment Agreement by and among Lulu’s</w:t>
              </w:r>
            </w:hyperlink>
          </w:p>
        </w:tc>
        <w:tc>
          <w:tcPr>
            <w:tcW w:w="160" w:type="dxa"/>
            <w:vAlign w:val="bottom"/>
            <w:gridSpan w:val="3"/>
          </w:tcPr>
          <w:p>
            <w:pPr>
              <w:spacing w:after="0"/>
              <w:rPr>
                <w:sz w:val="17"/>
                <w:szCs w:val="17"/>
                <w:color w:val="auto"/>
              </w:rPr>
            </w:pPr>
          </w:p>
        </w:tc>
        <w:tc>
          <w:tcPr>
            <w:tcW w:w="6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10-Q</w:t>
            </w:r>
          </w:p>
        </w:tc>
        <w:tc>
          <w:tcPr>
            <w:tcW w:w="9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001-41059</w:t>
            </w:r>
          </w:p>
        </w:tc>
        <w:tc>
          <w:tcPr>
            <w:tcW w:w="160" w:type="dxa"/>
            <w:vAlign w:val="bottom"/>
          </w:tcPr>
          <w:p>
            <w:pPr>
              <w:spacing w:after="0"/>
              <w:rPr>
                <w:sz w:val="17"/>
                <w:szCs w:val="17"/>
                <w:color w:val="auto"/>
              </w:rPr>
            </w:pPr>
          </w:p>
        </w:tc>
        <w:tc>
          <w:tcPr>
            <w:tcW w:w="5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40" w:type="dxa"/>
            <w:vAlign w:val="bottom"/>
          </w:tcPr>
          <w:p>
            <w:pPr>
              <w:spacing w:after="0"/>
              <w:rPr>
                <w:sz w:val="17"/>
                <w:szCs w:val="17"/>
                <w:color w:val="auto"/>
              </w:rPr>
            </w:pPr>
          </w:p>
        </w:tc>
        <w:tc>
          <w:tcPr>
            <w:tcW w:w="12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5/17/2022</w:t>
            </w: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360" w:type="dxa"/>
            <w:vAlign w:val="bottom"/>
            <w:tcBorders>
              <w:bottom w:val="single" w:sz="8" w:color="0000EE"/>
            </w:tcBorders>
            <w:gridSpan w:val="33"/>
          </w:tcPr>
          <w:p>
            <w:pPr>
              <w:spacing w:after="0" w:line="196" w:lineRule="exact"/>
              <w:rPr>
                <w:rFonts w:ascii="Times New Roman" w:cs="Times New Roman" w:eastAsia="Times New Roman" w:hAnsi="Times New Roman"/>
                <w:sz w:val="18"/>
                <w:szCs w:val="18"/>
                <w:color w:val="0000EE"/>
                <w:w w:val="99"/>
              </w:rPr>
            </w:pPr>
            <w:hyperlink r:id="rId145">
              <w:r>
                <w:rPr>
                  <w:rFonts w:ascii="Times New Roman" w:cs="Times New Roman" w:eastAsia="Times New Roman" w:hAnsi="Times New Roman"/>
                  <w:sz w:val="18"/>
                  <w:szCs w:val="18"/>
                  <w:color w:val="0000EE"/>
                  <w:w w:val="99"/>
                </w:rPr>
                <w:t>Fashion Lounge, LLC, Lulu’s Fashion Lounge</w:t>
              </w:r>
            </w:hyperlink>
          </w:p>
        </w:tc>
        <w:tc>
          <w:tcPr>
            <w:tcW w:w="140" w:type="dxa"/>
            <w:vAlign w:val="bottom"/>
            <w:gridSpan w:val="2"/>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140" w:type="dxa"/>
            <w:vAlign w:val="bottom"/>
            <w:tcBorders>
              <w:bottom w:val="single" w:sz="8" w:color="0000EE"/>
            </w:tcBorders>
            <w:gridSpan w:val="26"/>
          </w:tcPr>
          <w:p>
            <w:pPr>
              <w:spacing w:after="0" w:line="196" w:lineRule="exact"/>
              <w:rPr>
                <w:rFonts w:ascii="Times New Roman" w:cs="Times New Roman" w:eastAsia="Times New Roman" w:hAnsi="Times New Roman"/>
                <w:sz w:val="18"/>
                <w:szCs w:val="18"/>
                <w:color w:val="0000EE"/>
                <w:w w:val="99"/>
              </w:rPr>
            </w:pPr>
            <w:hyperlink r:id="rId145">
              <w:r>
                <w:rPr>
                  <w:rFonts w:ascii="Times New Roman" w:cs="Times New Roman" w:eastAsia="Times New Roman" w:hAnsi="Times New Roman"/>
                  <w:sz w:val="18"/>
                  <w:szCs w:val="18"/>
                  <w:color w:val="0000EE"/>
                  <w:w w:val="99"/>
                </w:rPr>
                <w:t>Holdings, Inc., and Crystal Landsem, dated</w:t>
              </w:r>
            </w:hyperlink>
          </w:p>
        </w:tc>
        <w:tc>
          <w:tcPr>
            <w:tcW w:w="360" w:type="dxa"/>
            <w:vAlign w:val="bottom"/>
            <w:gridSpan w:val="9"/>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7"/>
              </w:rPr>
            </w:pPr>
            <w:hyperlink r:id="rId145">
              <w:r>
                <w:rPr>
                  <w:rFonts w:ascii="Times New Roman" w:cs="Times New Roman" w:eastAsia="Times New Roman" w:hAnsi="Times New Roman"/>
                  <w:sz w:val="18"/>
                  <w:szCs w:val="18"/>
                  <w:color w:val="0000EE"/>
                  <w:w w:val="97"/>
                </w:rPr>
                <w:t>May 12, 2022</w:t>
              </w:r>
            </w:hyperlink>
          </w:p>
        </w:tc>
        <w:tc>
          <w:tcPr>
            <w:tcW w:w="2500" w:type="dxa"/>
            <w:vAlign w:val="bottom"/>
            <w:gridSpan w:val="30"/>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10.17</w:t>
            </w:r>
          </w:p>
        </w:tc>
        <w:tc>
          <w:tcPr>
            <w:tcW w:w="160" w:type="dxa"/>
            <w:vAlign w:val="bottom"/>
          </w:tcPr>
          <w:p>
            <w:pPr>
              <w:spacing w:after="0"/>
              <w:rPr>
                <w:sz w:val="17"/>
                <w:szCs w:val="17"/>
                <w:color w:val="auto"/>
              </w:rPr>
            </w:pPr>
          </w:p>
        </w:tc>
        <w:tc>
          <w:tcPr>
            <w:tcW w:w="3340" w:type="dxa"/>
            <w:vAlign w:val="bottom"/>
            <w:tcBorders>
              <w:bottom w:val="single" w:sz="8" w:color="0000EE"/>
            </w:tcBorders>
            <w:gridSpan w:val="32"/>
          </w:tcPr>
          <w:p>
            <w:pPr>
              <w:spacing w:after="0" w:line="196" w:lineRule="exact"/>
              <w:rPr>
                <w:rFonts w:ascii="Times New Roman" w:cs="Times New Roman" w:eastAsia="Times New Roman" w:hAnsi="Times New Roman"/>
                <w:sz w:val="18"/>
                <w:szCs w:val="18"/>
                <w:color w:val="0000EE"/>
                <w:w w:val="98"/>
              </w:rPr>
            </w:pPr>
            <w:hyperlink r:id="rId146">
              <w:r>
                <w:rPr>
                  <w:rFonts w:ascii="Times New Roman" w:cs="Times New Roman" w:eastAsia="Times New Roman" w:hAnsi="Times New Roman"/>
                  <w:sz w:val="18"/>
                  <w:szCs w:val="18"/>
                  <w:color w:val="0000EE"/>
                  <w:w w:val="98"/>
                </w:rPr>
                <w:t>Employment Agreement by and among Lulu’s</w:t>
              </w:r>
            </w:hyperlink>
          </w:p>
        </w:tc>
        <w:tc>
          <w:tcPr>
            <w:tcW w:w="160" w:type="dxa"/>
            <w:vAlign w:val="bottom"/>
            <w:gridSpan w:val="3"/>
          </w:tcPr>
          <w:p>
            <w:pPr>
              <w:spacing w:after="0"/>
              <w:rPr>
                <w:sz w:val="17"/>
                <w:szCs w:val="17"/>
                <w:color w:val="auto"/>
              </w:rPr>
            </w:pPr>
          </w:p>
        </w:tc>
        <w:tc>
          <w:tcPr>
            <w:tcW w:w="6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10-Q</w:t>
            </w:r>
          </w:p>
        </w:tc>
        <w:tc>
          <w:tcPr>
            <w:tcW w:w="9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001-41059</w:t>
            </w:r>
          </w:p>
        </w:tc>
        <w:tc>
          <w:tcPr>
            <w:tcW w:w="160" w:type="dxa"/>
            <w:vAlign w:val="bottom"/>
          </w:tcPr>
          <w:p>
            <w:pPr>
              <w:spacing w:after="0"/>
              <w:rPr>
                <w:sz w:val="17"/>
                <w:szCs w:val="17"/>
                <w:color w:val="auto"/>
              </w:rPr>
            </w:pPr>
          </w:p>
        </w:tc>
        <w:tc>
          <w:tcPr>
            <w:tcW w:w="5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140" w:type="dxa"/>
            <w:vAlign w:val="bottom"/>
          </w:tcPr>
          <w:p>
            <w:pPr>
              <w:spacing w:after="0"/>
              <w:rPr>
                <w:sz w:val="17"/>
                <w:szCs w:val="17"/>
                <w:color w:val="auto"/>
              </w:rPr>
            </w:pPr>
          </w:p>
        </w:tc>
        <w:tc>
          <w:tcPr>
            <w:tcW w:w="12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5/17/2022</w:t>
            </w: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360" w:type="dxa"/>
            <w:vAlign w:val="bottom"/>
            <w:tcBorders>
              <w:bottom w:val="single" w:sz="8" w:color="0000EE"/>
            </w:tcBorders>
            <w:gridSpan w:val="33"/>
          </w:tcPr>
          <w:p>
            <w:pPr>
              <w:spacing w:after="0" w:line="196" w:lineRule="exact"/>
              <w:rPr>
                <w:rFonts w:ascii="Times New Roman" w:cs="Times New Roman" w:eastAsia="Times New Roman" w:hAnsi="Times New Roman"/>
                <w:sz w:val="18"/>
                <w:szCs w:val="18"/>
                <w:color w:val="0000EE"/>
                <w:w w:val="99"/>
              </w:rPr>
            </w:pPr>
            <w:hyperlink r:id="rId146">
              <w:r>
                <w:rPr>
                  <w:rFonts w:ascii="Times New Roman" w:cs="Times New Roman" w:eastAsia="Times New Roman" w:hAnsi="Times New Roman"/>
                  <w:sz w:val="18"/>
                  <w:szCs w:val="18"/>
                  <w:color w:val="0000EE"/>
                  <w:w w:val="99"/>
                </w:rPr>
                <w:t>Fashion Lounge, LLC, Lulu’s Fashion Lounge</w:t>
              </w:r>
            </w:hyperlink>
          </w:p>
        </w:tc>
        <w:tc>
          <w:tcPr>
            <w:tcW w:w="140" w:type="dxa"/>
            <w:vAlign w:val="bottom"/>
            <w:gridSpan w:val="2"/>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500" w:type="dxa"/>
            <w:vAlign w:val="bottom"/>
            <w:gridSpan w:val="35"/>
          </w:tcPr>
          <w:p>
            <w:pPr>
              <w:spacing w:after="0" w:line="196" w:lineRule="exact"/>
              <w:rPr>
                <w:rFonts w:ascii="Times New Roman" w:cs="Times New Roman" w:eastAsia="Times New Roman" w:hAnsi="Times New Roman"/>
                <w:sz w:val="18"/>
                <w:szCs w:val="18"/>
                <w:color w:val="0000EE"/>
              </w:rPr>
            </w:pPr>
            <w:hyperlink r:id="rId146">
              <w:r>
                <w:rPr>
                  <w:rFonts w:ascii="Times New Roman" w:cs="Times New Roman" w:eastAsia="Times New Roman" w:hAnsi="Times New Roman"/>
                  <w:sz w:val="18"/>
                  <w:szCs w:val="18"/>
                  <w:color w:val="0000EE"/>
                </w:rPr>
                <w:t>Holdings, Inc., and Mark Vos, dated May 12,</w:t>
              </w:r>
            </w:hyperlink>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4"/>
              </w:rPr>
            </w:pPr>
            <w:hyperlink r:id="rId146">
              <w:r>
                <w:rPr>
                  <w:rFonts w:ascii="Times New Roman" w:cs="Times New Roman" w:eastAsia="Times New Roman" w:hAnsi="Times New Roman"/>
                  <w:sz w:val="18"/>
                  <w:szCs w:val="18"/>
                  <w:color w:val="0000EE"/>
                  <w:w w:val="94"/>
                </w:rPr>
                <w:t>2022</w:t>
              </w:r>
            </w:hyperlink>
          </w:p>
        </w:tc>
        <w:tc>
          <w:tcPr>
            <w:tcW w:w="26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10.18</w:t>
            </w:r>
          </w:p>
        </w:tc>
        <w:tc>
          <w:tcPr>
            <w:tcW w:w="160" w:type="dxa"/>
            <w:vAlign w:val="bottom"/>
          </w:tcPr>
          <w:p>
            <w:pPr>
              <w:spacing w:after="0"/>
              <w:rPr>
                <w:sz w:val="17"/>
                <w:szCs w:val="17"/>
                <w:color w:val="auto"/>
              </w:rPr>
            </w:pPr>
          </w:p>
        </w:tc>
        <w:tc>
          <w:tcPr>
            <w:tcW w:w="3240" w:type="dxa"/>
            <w:vAlign w:val="bottom"/>
            <w:tcBorders>
              <w:bottom w:val="single" w:sz="8" w:color="0000EE"/>
            </w:tcBorders>
            <w:gridSpan w:val="30"/>
          </w:tcPr>
          <w:p>
            <w:pPr>
              <w:spacing w:after="0" w:line="196" w:lineRule="exact"/>
              <w:rPr>
                <w:rFonts w:ascii="Times New Roman" w:cs="Times New Roman" w:eastAsia="Times New Roman" w:hAnsi="Times New Roman"/>
                <w:sz w:val="18"/>
                <w:szCs w:val="18"/>
                <w:color w:val="0000EE"/>
                <w:w w:val="99"/>
              </w:rPr>
            </w:pPr>
            <w:hyperlink r:id="rId147">
              <w:r>
                <w:rPr>
                  <w:rFonts w:ascii="Times New Roman" w:cs="Times New Roman" w:eastAsia="Times New Roman" w:hAnsi="Times New Roman"/>
                  <w:sz w:val="18"/>
                  <w:szCs w:val="18"/>
                  <w:color w:val="0000EE"/>
                  <w:w w:val="99"/>
                </w:rPr>
                <w:t>Credit Agreement, dated as of November 15,</w:t>
              </w:r>
            </w:hyperlink>
          </w:p>
        </w:tc>
        <w:tc>
          <w:tcPr>
            <w:tcW w:w="260" w:type="dxa"/>
            <w:vAlign w:val="bottom"/>
            <w:gridSpan w:val="5"/>
          </w:tcPr>
          <w:p>
            <w:pPr>
              <w:spacing w:after="0"/>
              <w:rPr>
                <w:sz w:val="17"/>
                <w:szCs w:val="17"/>
                <w:color w:val="auto"/>
              </w:rPr>
            </w:pPr>
          </w:p>
        </w:tc>
        <w:tc>
          <w:tcPr>
            <w:tcW w:w="6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10-Q</w:t>
            </w:r>
          </w:p>
        </w:tc>
        <w:tc>
          <w:tcPr>
            <w:tcW w:w="9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001-41059</w:t>
            </w:r>
          </w:p>
        </w:tc>
        <w:tc>
          <w:tcPr>
            <w:tcW w:w="160" w:type="dxa"/>
            <w:vAlign w:val="bottom"/>
          </w:tcPr>
          <w:p>
            <w:pPr>
              <w:spacing w:after="0"/>
              <w:rPr>
                <w:sz w:val="17"/>
                <w:szCs w:val="17"/>
                <w:color w:val="auto"/>
              </w:rPr>
            </w:pPr>
          </w:p>
        </w:tc>
        <w:tc>
          <w:tcPr>
            <w:tcW w:w="5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140" w:type="dxa"/>
            <w:vAlign w:val="bottom"/>
          </w:tcPr>
          <w:p>
            <w:pPr>
              <w:spacing w:after="0"/>
              <w:rPr>
                <w:sz w:val="17"/>
                <w:szCs w:val="17"/>
                <w:color w:val="auto"/>
              </w:rPr>
            </w:pPr>
          </w:p>
        </w:tc>
        <w:tc>
          <w:tcPr>
            <w:tcW w:w="12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5/17/2022</w:t>
            </w: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140" w:type="dxa"/>
            <w:vAlign w:val="bottom"/>
            <w:tcBorders>
              <w:bottom w:val="single" w:sz="8" w:color="0000EE"/>
            </w:tcBorders>
            <w:gridSpan w:val="26"/>
          </w:tcPr>
          <w:p>
            <w:pPr>
              <w:spacing w:after="0" w:line="196" w:lineRule="exact"/>
              <w:rPr>
                <w:rFonts w:ascii="Times New Roman" w:cs="Times New Roman" w:eastAsia="Times New Roman" w:hAnsi="Times New Roman"/>
                <w:sz w:val="18"/>
                <w:szCs w:val="18"/>
                <w:color w:val="0000EE"/>
                <w:w w:val="99"/>
              </w:rPr>
            </w:pPr>
            <w:hyperlink r:id="rId147">
              <w:r>
                <w:rPr>
                  <w:rFonts w:ascii="Times New Roman" w:cs="Times New Roman" w:eastAsia="Times New Roman" w:hAnsi="Times New Roman"/>
                  <w:sz w:val="18"/>
                  <w:szCs w:val="18"/>
                  <w:color w:val="0000EE"/>
                  <w:w w:val="99"/>
                </w:rPr>
                <w:t>2021, among Lulu’s Fashion Lounge, LLC,</w:t>
              </w:r>
            </w:hyperlink>
          </w:p>
        </w:tc>
        <w:tc>
          <w:tcPr>
            <w:tcW w:w="360" w:type="dxa"/>
            <w:vAlign w:val="bottom"/>
            <w:gridSpan w:val="9"/>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180" w:type="dxa"/>
            <w:vAlign w:val="bottom"/>
            <w:tcBorders>
              <w:bottom w:val="single" w:sz="8" w:color="0000EE"/>
            </w:tcBorders>
            <w:gridSpan w:val="28"/>
          </w:tcPr>
          <w:p>
            <w:pPr>
              <w:spacing w:after="0" w:line="196" w:lineRule="exact"/>
              <w:rPr>
                <w:rFonts w:ascii="Times New Roman" w:cs="Times New Roman" w:eastAsia="Times New Roman" w:hAnsi="Times New Roman"/>
                <w:sz w:val="18"/>
                <w:szCs w:val="18"/>
                <w:color w:val="0000EE"/>
                <w:w w:val="98"/>
              </w:rPr>
            </w:pPr>
            <w:hyperlink r:id="rId147">
              <w:r>
                <w:rPr>
                  <w:rFonts w:ascii="Times New Roman" w:cs="Times New Roman" w:eastAsia="Times New Roman" w:hAnsi="Times New Roman"/>
                  <w:sz w:val="18"/>
                  <w:szCs w:val="18"/>
                  <w:color w:val="0000EE"/>
                  <w:w w:val="98"/>
                </w:rPr>
                <w:t>Lulu’s Fashion Lounge Parent, LLC, certain</w:t>
              </w:r>
            </w:hyperlink>
          </w:p>
        </w:tc>
        <w:tc>
          <w:tcPr>
            <w:tcW w:w="320" w:type="dxa"/>
            <w:vAlign w:val="bottom"/>
            <w:gridSpan w:val="7"/>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12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EE"/>
                <w:w w:val="99"/>
              </w:rPr>
            </w:pPr>
            <w:hyperlink r:id="rId147">
              <w:r>
                <w:rPr>
                  <w:rFonts w:ascii="Times New Roman" w:cs="Times New Roman" w:eastAsia="Times New Roman" w:hAnsi="Times New Roman"/>
                  <w:sz w:val="18"/>
                  <w:szCs w:val="18"/>
                  <w:color w:val="0000EE"/>
                  <w:w w:val="99"/>
                </w:rPr>
                <w:t>subsidiaries and Bank of America, N.A., as</w:t>
              </w:r>
            </w:hyperlink>
          </w:p>
        </w:tc>
        <w:tc>
          <w:tcPr>
            <w:tcW w:w="380" w:type="dxa"/>
            <w:vAlign w:val="bottom"/>
            <w:gridSpan w:val="10"/>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500" w:type="dxa"/>
            <w:vAlign w:val="bottom"/>
            <w:gridSpan w:val="35"/>
          </w:tcPr>
          <w:p>
            <w:pPr>
              <w:spacing w:after="0" w:line="196" w:lineRule="exact"/>
              <w:rPr>
                <w:rFonts w:ascii="Times New Roman" w:cs="Times New Roman" w:eastAsia="Times New Roman" w:hAnsi="Times New Roman"/>
                <w:sz w:val="18"/>
                <w:szCs w:val="18"/>
                <w:color w:val="0000EE"/>
              </w:rPr>
            </w:pPr>
            <w:hyperlink r:id="rId147">
              <w:r>
                <w:rPr>
                  <w:rFonts w:ascii="Times New Roman" w:cs="Times New Roman" w:eastAsia="Times New Roman" w:hAnsi="Times New Roman"/>
                  <w:sz w:val="18"/>
                  <w:szCs w:val="18"/>
                  <w:color w:val="0000EE"/>
                </w:rPr>
                <w:t>Administrative Agent, dated as of November</w:t>
              </w:r>
            </w:hyperlink>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5"/>
              </w:rPr>
            </w:pPr>
            <w:hyperlink r:id="rId147">
              <w:r>
                <w:rPr>
                  <w:rFonts w:ascii="Times New Roman" w:cs="Times New Roman" w:eastAsia="Times New Roman" w:hAnsi="Times New Roman"/>
                  <w:sz w:val="18"/>
                  <w:szCs w:val="18"/>
                  <w:color w:val="0000EE"/>
                  <w:w w:val="95"/>
                </w:rPr>
                <w:t>15, 2021</w:t>
              </w:r>
            </w:hyperlink>
          </w:p>
        </w:tc>
        <w:tc>
          <w:tcPr>
            <w:tcW w:w="3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10.19</w:t>
            </w:r>
          </w:p>
        </w:tc>
        <w:tc>
          <w:tcPr>
            <w:tcW w:w="160" w:type="dxa"/>
            <w:vAlign w:val="bottom"/>
          </w:tcPr>
          <w:p>
            <w:pPr>
              <w:spacing w:after="0"/>
              <w:rPr>
                <w:sz w:val="17"/>
                <w:szCs w:val="17"/>
                <w:color w:val="auto"/>
              </w:rPr>
            </w:pPr>
          </w:p>
        </w:tc>
        <w:tc>
          <w:tcPr>
            <w:tcW w:w="300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w w:val="99"/>
              </w:rPr>
            </w:pPr>
            <w:hyperlink r:id="rId148">
              <w:r>
                <w:rPr>
                  <w:rFonts w:ascii="Times New Roman" w:cs="Times New Roman" w:eastAsia="Times New Roman" w:hAnsi="Times New Roman"/>
                  <w:sz w:val="18"/>
                  <w:szCs w:val="18"/>
                  <w:color w:val="0000EE"/>
                  <w:w w:val="99"/>
                </w:rPr>
                <w:t>Master Fulfillment System Acquisition &amp;</w:t>
              </w:r>
            </w:hyperlink>
          </w:p>
        </w:tc>
        <w:tc>
          <w:tcPr>
            <w:tcW w:w="500" w:type="dxa"/>
            <w:vAlign w:val="bottom"/>
            <w:gridSpan w:val="14"/>
          </w:tcPr>
          <w:p>
            <w:pPr>
              <w:spacing w:after="0"/>
              <w:rPr>
                <w:sz w:val="17"/>
                <w:szCs w:val="17"/>
                <w:color w:val="auto"/>
              </w:rPr>
            </w:pPr>
          </w:p>
        </w:tc>
        <w:tc>
          <w:tcPr>
            <w:tcW w:w="6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10-Q</w:t>
            </w:r>
          </w:p>
        </w:tc>
        <w:tc>
          <w:tcPr>
            <w:tcW w:w="9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001-41059</w:t>
            </w:r>
          </w:p>
        </w:tc>
        <w:tc>
          <w:tcPr>
            <w:tcW w:w="160" w:type="dxa"/>
            <w:vAlign w:val="bottom"/>
          </w:tcPr>
          <w:p>
            <w:pPr>
              <w:spacing w:after="0"/>
              <w:rPr>
                <w:sz w:val="17"/>
                <w:szCs w:val="17"/>
                <w:color w:val="auto"/>
              </w:rPr>
            </w:pPr>
          </w:p>
        </w:tc>
        <w:tc>
          <w:tcPr>
            <w:tcW w:w="5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10.8</w:t>
            </w:r>
          </w:p>
        </w:tc>
        <w:tc>
          <w:tcPr>
            <w:tcW w:w="140" w:type="dxa"/>
            <w:vAlign w:val="bottom"/>
          </w:tcPr>
          <w:p>
            <w:pPr>
              <w:spacing w:after="0"/>
              <w:rPr>
                <w:sz w:val="17"/>
                <w:szCs w:val="17"/>
                <w:color w:val="auto"/>
              </w:rPr>
            </w:pPr>
          </w:p>
        </w:tc>
        <w:tc>
          <w:tcPr>
            <w:tcW w:w="12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5/17/2022</w:t>
            </w: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500" w:type="dxa"/>
            <w:vAlign w:val="bottom"/>
            <w:gridSpan w:val="35"/>
          </w:tcPr>
          <w:p>
            <w:pPr>
              <w:spacing w:after="0" w:line="196" w:lineRule="exact"/>
              <w:rPr>
                <w:rFonts w:ascii="Times New Roman" w:cs="Times New Roman" w:eastAsia="Times New Roman" w:hAnsi="Times New Roman"/>
                <w:sz w:val="18"/>
                <w:szCs w:val="18"/>
                <w:color w:val="0000EE"/>
              </w:rPr>
            </w:pPr>
            <w:hyperlink r:id="rId148">
              <w:r>
                <w:rPr>
                  <w:rFonts w:ascii="Times New Roman" w:cs="Times New Roman" w:eastAsia="Times New Roman" w:hAnsi="Times New Roman"/>
                  <w:sz w:val="18"/>
                  <w:szCs w:val="18"/>
                  <w:color w:val="0000EE"/>
                </w:rPr>
                <w:t>Software License Agreement, dated as of</w:t>
              </w:r>
            </w:hyperlink>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960" w:type="dxa"/>
            <w:vAlign w:val="bottom"/>
            <w:tcBorders>
              <w:top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148">
              <w:r>
                <w:rPr>
                  <w:rFonts w:ascii="Times New Roman" w:cs="Times New Roman" w:eastAsia="Times New Roman" w:hAnsi="Times New Roman"/>
                  <w:sz w:val="18"/>
                  <w:szCs w:val="18"/>
                  <w:color w:val="0000EE"/>
                </w:rPr>
                <w:t>September 24, 2021, between 6 River</w:t>
              </w:r>
            </w:hyperlink>
          </w:p>
        </w:tc>
        <w:tc>
          <w:tcPr>
            <w:tcW w:w="540" w:type="dxa"/>
            <w:vAlign w:val="bottom"/>
            <w:gridSpan w:val="16"/>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360" w:type="dxa"/>
            <w:vAlign w:val="bottom"/>
            <w:gridSpan w:val="11"/>
            <w:shd w:val="clear" w:color="auto" w:fill="0000EE"/>
          </w:tcPr>
          <w:p>
            <w:pPr>
              <w:spacing w:after="0" w:line="20" w:lineRule="exact"/>
              <w:rPr>
                <w:sz w:val="1"/>
                <w:szCs w:val="1"/>
                <w:color w:val="auto"/>
              </w:rPr>
            </w:pPr>
          </w:p>
        </w:tc>
        <w:tc>
          <w:tcPr>
            <w:tcW w:w="360" w:type="dxa"/>
            <w:vAlign w:val="bottom"/>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300" w:type="dxa"/>
            <w:vAlign w:val="bottom"/>
            <w:gridSpan w:val="6"/>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500" w:type="dxa"/>
            <w:vAlign w:val="bottom"/>
            <w:gridSpan w:val="35"/>
          </w:tcPr>
          <w:p>
            <w:pPr>
              <w:spacing w:after="0" w:line="196" w:lineRule="exact"/>
              <w:rPr>
                <w:rFonts w:ascii="Times New Roman" w:cs="Times New Roman" w:eastAsia="Times New Roman" w:hAnsi="Times New Roman"/>
                <w:sz w:val="18"/>
                <w:szCs w:val="18"/>
                <w:color w:val="0000EE"/>
              </w:rPr>
            </w:pPr>
            <w:hyperlink r:id="rId148">
              <w:r>
                <w:rPr>
                  <w:rFonts w:ascii="Times New Roman" w:cs="Times New Roman" w:eastAsia="Times New Roman" w:hAnsi="Times New Roman"/>
                  <w:sz w:val="18"/>
                  <w:szCs w:val="18"/>
                  <w:color w:val="0000EE"/>
                </w:rPr>
                <w:t>Systems, LLC and Lulu’s Fashion Lounge,</w:t>
              </w:r>
            </w:hyperlink>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3"/>
              </w:rPr>
            </w:pPr>
            <w:hyperlink r:id="rId148">
              <w:r>
                <w:rPr>
                  <w:rFonts w:ascii="Times New Roman" w:cs="Times New Roman" w:eastAsia="Times New Roman" w:hAnsi="Times New Roman"/>
                  <w:sz w:val="18"/>
                  <w:szCs w:val="18"/>
                  <w:color w:val="0000EE"/>
                  <w:w w:val="93"/>
                </w:rPr>
                <w:t>LLC</w:t>
              </w:r>
            </w:hyperlink>
          </w:p>
        </w:tc>
        <w:tc>
          <w:tcPr>
            <w:tcW w:w="2740" w:type="dxa"/>
            <w:vAlign w:val="bottom"/>
            <w:tcBorders>
              <w:top w:val="single" w:sz="8" w:color="0000EE"/>
            </w:tcBorders>
            <w:gridSpan w:val="23"/>
          </w:tcPr>
          <w:p>
            <w:pPr>
              <w:spacing w:after="0"/>
              <w:rPr>
                <w:sz w:val="17"/>
                <w:szCs w:val="17"/>
                <w:color w:val="auto"/>
              </w:rPr>
            </w:pPr>
          </w:p>
        </w:tc>
        <w:tc>
          <w:tcPr>
            <w:tcW w:w="420" w:type="dxa"/>
            <w:vAlign w:val="bottom"/>
            <w:gridSpan w:val="11"/>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10.20</w:t>
            </w:r>
          </w:p>
        </w:tc>
        <w:tc>
          <w:tcPr>
            <w:tcW w:w="160" w:type="dxa"/>
            <w:vAlign w:val="bottom"/>
          </w:tcPr>
          <w:p>
            <w:pPr>
              <w:spacing w:after="0"/>
              <w:rPr>
                <w:sz w:val="17"/>
                <w:szCs w:val="17"/>
                <w:color w:val="auto"/>
              </w:rPr>
            </w:pPr>
          </w:p>
        </w:tc>
        <w:tc>
          <w:tcPr>
            <w:tcW w:w="3500" w:type="dxa"/>
            <w:vAlign w:val="bottom"/>
            <w:gridSpan w:val="35"/>
          </w:tcPr>
          <w:p>
            <w:pPr>
              <w:spacing w:after="0" w:line="196" w:lineRule="exact"/>
              <w:rPr>
                <w:rFonts w:ascii="Times New Roman" w:cs="Times New Roman" w:eastAsia="Times New Roman" w:hAnsi="Times New Roman"/>
                <w:sz w:val="18"/>
                <w:szCs w:val="18"/>
                <w:color w:val="0000EE"/>
              </w:rPr>
            </w:pPr>
            <w:hyperlink r:id="rId149">
              <w:r>
                <w:rPr>
                  <w:rFonts w:ascii="Times New Roman" w:cs="Times New Roman" w:eastAsia="Times New Roman" w:hAnsi="Times New Roman"/>
                  <w:sz w:val="18"/>
                  <w:szCs w:val="18"/>
                  <w:color w:val="0000EE"/>
                </w:rPr>
                <w:t>Commercial Lease Agreement, dated as of</w:t>
              </w:r>
            </w:hyperlink>
          </w:p>
        </w:tc>
        <w:tc>
          <w:tcPr>
            <w:tcW w:w="6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10-Q</w:t>
            </w:r>
          </w:p>
        </w:tc>
        <w:tc>
          <w:tcPr>
            <w:tcW w:w="9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001-41059</w:t>
            </w:r>
          </w:p>
        </w:tc>
        <w:tc>
          <w:tcPr>
            <w:tcW w:w="160" w:type="dxa"/>
            <w:vAlign w:val="bottom"/>
          </w:tcPr>
          <w:p>
            <w:pPr>
              <w:spacing w:after="0"/>
              <w:rPr>
                <w:sz w:val="17"/>
                <w:szCs w:val="17"/>
                <w:color w:val="auto"/>
              </w:rPr>
            </w:pPr>
          </w:p>
        </w:tc>
        <w:tc>
          <w:tcPr>
            <w:tcW w:w="5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10.9</w:t>
            </w:r>
          </w:p>
        </w:tc>
        <w:tc>
          <w:tcPr>
            <w:tcW w:w="140" w:type="dxa"/>
            <w:vAlign w:val="bottom"/>
          </w:tcPr>
          <w:p>
            <w:pPr>
              <w:spacing w:after="0"/>
              <w:rPr>
                <w:sz w:val="17"/>
                <w:szCs w:val="17"/>
                <w:color w:val="auto"/>
              </w:rPr>
            </w:pPr>
          </w:p>
        </w:tc>
        <w:tc>
          <w:tcPr>
            <w:tcW w:w="12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5/17/2022</w:t>
            </w: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60" w:type="dxa"/>
            <w:vAlign w:val="bottom"/>
            <w:gridSpan w:val="23"/>
            <w:shd w:val="clear" w:color="auto" w:fill="0000EE"/>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300" w:type="dxa"/>
            <w:vAlign w:val="bottom"/>
            <w:gridSpan w:val="6"/>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12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EE"/>
                <w:w w:val="99"/>
              </w:rPr>
            </w:pPr>
            <w:hyperlink r:id="rId149">
              <w:r>
                <w:rPr>
                  <w:rFonts w:ascii="Times New Roman" w:cs="Times New Roman" w:eastAsia="Times New Roman" w:hAnsi="Times New Roman"/>
                  <w:sz w:val="18"/>
                  <w:szCs w:val="18"/>
                  <w:color w:val="0000EE"/>
                  <w:w w:val="99"/>
                </w:rPr>
                <w:t>September 3, 2021 , between Adaya Slover</w:t>
              </w:r>
            </w:hyperlink>
          </w:p>
        </w:tc>
        <w:tc>
          <w:tcPr>
            <w:tcW w:w="380" w:type="dxa"/>
            <w:vAlign w:val="bottom"/>
            <w:gridSpan w:val="10"/>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0" w:type="dxa"/>
            <w:vAlign w:val="bottom"/>
            <w:tcBorders>
              <w:bottom w:val="single" w:sz="8" w:color="0000EE"/>
            </w:tcBorders>
            <w:gridSpan w:val="29"/>
          </w:tcPr>
          <w:p>
            <w:pPr>
              <w:spacing w:after="0" w:line="196" w:lineRule="exact"/>
              <w:rPr>
                <w:rFonts w:ascii="Times New Roman" w:cs="Times New Roman" w:eastAsia="Times New Roman" w:hAnsi="Times New Roman"/>
                <w:sz w:val="18"/>
                <w:szCs w:val="18"/>
                <w:color w:val="0000EE"/>
                <w:w w:val="99"/>
              </w:rPr>
            </w:pPr>
            <w:hyperlink r:id="rId149">
              <w:r>
                <w:rPr>
                  <w:rFonts w:ascii="Times New Roman" w:cs="Times New Roman" w:eastAsia="Times New Roman" w:hAnsi="Times New Roman"/>
                  <w:sz w:val="18"/>
                  <w:szCs w:val="18"/>
                  <w:color w:val="0000EE"/>
                  <w:w w:val="99"/>
                </w:rPr>
                <w:t>Holdings, LLC, and Lulu’s Fashion Lounge,</w:t>
              </w:r>
            </w:hyperlink>
          </w:p>
        </w:tc>
        <w:tc>
          <w:tcPr>
            <w:tcW w:w="300" w:type="dxa"/>
            <w:vAlign w:val="bottom"/>
            <w:gridSpan w:val="6"/>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3"/>
              </w:rPr>
            </w:pPr>
            <w:hyperlink r:id="rId149">
              <w:r>
                <w:rPr>
                  <w:rFonts w:ascii="Times New Roman" w:cs="Times New Roman" w:eastAsia="Times New Roman" w:hAnsi="Times New Roman"/>
                  <w:sz w:val="18"/>
                  <w:szCs w:val="18"/>
                  <w:color w:val="0000EE"/>
                  <w:w w:val="93"/>
                </w:rPr>
                <w:t>LLC</w:t>
              </w:r>
            </w:hyperlink>
          </w:p>
        </w:tc>
        <w:tc>
          <w:tcPr>
            <w:tcW w:w="3160" w:type="dxa"/>
            <w:vAlign w:val="bottom"/>
            <w:gridSpan w:val="34"/>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3" w:name="page104"/>
    <w:bookmarkEnd w:id="10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8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960" w:type="dxa"/>
            <w:vAlign w:val="bottom"/>
            <w:tcBorders>
              <w:bottom w:val="single" w:sz="8" w:color="auto"/>
            </w:tcBorders>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60" w:type="dxa"/>
            <w:vAlign w:val="bottom"/>
          </w:tcPr>
          <w:p>
            <w:pPr>
              <w:spacing w:after="0"/>
              <w:rPr>
                <w:sz w:val="15"/>
                <w:szCs w:val="15"/>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Filed/</w:t>
            </w:r>
          </w:p>
        </w:tc>
        <w:tc>
          <w:tcPr>
            <w:tcW w:w="0" w:type="dxa"/>
            <w:vAlign w:val="bottom"/>
          </w:tcPr>
          <w:p>
            <w:pPr>
              <w:spacing w:after="0"/>
              <w:rPr>
                <w:sz w:val="1"/>
                <w:szCs w:val="1"/>
                <w:color w:val="auto"/>
              </w:rPr>
            </w:pPr>
          </w:p>
        </w:tc>
      </w:tr>
      <w:tr>
        <w:trPr>
          <w:trHeight w:val="187"/>
        </w:trPr>
        <w:tc>
          <w:tcPr>
            <w:tcW w:w="800" w:type="dxa"/>
            <w:vAlign w:val="bottom"/>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Exhibit</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Filing</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Furnished</w:t>
            </w:r>
          </w:p>
        </w:tc>
        <w:tc>
          <w:tcPr>
            <w:tcW w:w="0" w:type="dxa"/>
            <w:vAlign w:val="bottom"/>
          </w:tcPr>
          <w:p>
            <w:pPr>
              <w:spacing w:after="0"/>
              <w:rPr>
                <w:sz w:val="1"/>
                <w:szCs w:val="1"/>
                <w:color w:val="auto"/>
              </w:rPr>
            </w:pPr>
          </w:p>
        </w:tc>
      </w:tr>
      <w:tr>
        <w:trPr>
          <w:trHeight w:val="65"/>
        </w:trPr>
        <w:tc>
          <w:tcPr>
            <w:tcW w:w="8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60" w:type="dxa"/>
            <w:vAlign w:val="bottom"/>
            <w:vMerge w:val="restart"/>
          </w:tcPr>
          <w:p>
            <w:pPr>
              <w:spacing w:after="0"/>
              <w:rPr>
                <w:sz w:val="5"/>
                <w:szCs w:val="5"/>
                <w:color w:val="auto"/>
              </w:rPr>
            </w:pPr>
          </w:p>
        </w:tc>
        <w:tc>
          <w:tcPr>
            <w:tcW w:w="32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600" w:type="dxa"/>
            <w:vAlign w:val="bottom"/>
            <w:gridSpan w:val="28"/>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Exhibit Description</w:t>
            </w:r>
          </w:p>
        </w:tc>
        <w:tc>
          <w:tcPr>
            <w:tcW w:w="120" w:type="dxa"/>
            <w:vAlign w:val="bottom"/>
            <w:vMerge w:val="restart"/>
          </w:tcPr>
          <w:p>
            <w:pPr>
              <w:spacing w:after="0"/>
              <w:rPr>
                <w:sz w:val="5"/>
                <w:szCs w:val="5"/>
                <w:color w:val="auto"/>
              </w:rPr>
            </w:pPr>
          </w:p>
        </w:tc>
        <w:tc>
          <w:tcPr>
            <w:tcW w:w="54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40" w:type="dxa"/>
            <w:vAlign w:val="bottom"/>
            <w:vMerge w:val="restart"/>
          </w:tcPr>
          <w:p>
            <w:pPr>
              <w:spacing w:after="0"/>
              <w:rPr>
                <w:sz w:val="5"/>
                <w:szCs w:val="5"/>
                <w:color w:val="auto"/>
              </w:rPr>
            </w:pPr>
          </w:p>
        </w:tc>
        <w:tc>
          <w:tcPr>
            <w:tcW w:w="940" w:type="dxa"/>
            <w:vAlign w:val="bottom"/>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60" w:type="dxa"/>
            <w:vAlign w:val="bottom"/>
            <w:vMerge w:val="restart"/>
          </w:tcPr>
          <w:p>
            <w:pPr>
              <w:spacing w:after="0"/>
              <w:rPr>
                <w:sz w:val="5"/>
                <w:szCs w:val="5"/>
                <w:color w:val="auto"/>
              </w:rPr>
            </w:pPr>
          </w:p>
        </w:tc>
        <w:tc>
          <w:tcPr>
            <w:tcW w:w="5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0" w:type="dxa"/>
            <w:vAlign w:val="bottom"/>
            <w:vMerge w:val="restart"/>
          </w:tcPr>
          <w:p>
            <w:pPr>
              <w:spacing w:after="0"/>
              <w:rPr>
                <w:sz w:val="5"/>
                <w:szCs w:val="5"/>
                <w:color w:val="auto"/>
              </w:rPr>
            </w:pPr>
          </w:p>
        </w:tc>
        <w:tc>
          <w:tcPr>
            <w:tcW w:w="136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800" w:type="dxa"/>
            <w:vAlign w:val="bottom"/>
            <w:tcBorders>
              <w:bottom w:val="single" w:sz="8" w:color="auto"/>
            </w:tcBorders>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600" w:type="dxa"/>
            <w:vAlign w:val="bottom"/>
            <w:tcBorders>
              <w:bottom w:val="single" w:sz="8" w:color="auto"/>
            </w:tcBorders>
            <w:gridSpan w:val="28"/>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540" w:type="dxa"/>
            <w:vAlign w:val="bottom"/>
            <w:tcBorders>
              <w:bottom w:val="single" w:sz="8" w:color="auto"/>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520" w:type="dxa"/>
            <w:vAlign w:val="bottom"/>
            <w:tcBorders>
              <w:bottom w:val="single" w:sz="8" w:color="auto"/>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160" w:type="dxa"/>
            <w:vAlign w:val="bottom"/>
          </w:tcPr>
          <w:p>
            <w:pPr>
              <w:spacing w:after="0"/>
              <w:rPr>
                <w:sz w:val="15"/>
                <w:szCs w:val="15"/>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Herewith</w:t>
            </w:r>
          </w:p>
        </w:tc>
        <w:tc>
          <w:tcPr>
            <w:tcW w:w="0" w:type="dxa"/>
            <w:vAlign w:val="bottom"/>
          </w:tcPr>
          <w:p>
            <w:pPr>
              <w:spacing w:after="0"/>
              <w:rPr>
                <w:sz w:val="1"/>
                <w:szCs w:val="1"/>
                <w:color w:val="auto"/>
              </w:rPr>
            </w:pPr>
          </w:p>
        </w:tc>
      </w:tr>
      <w:tr>
        <w:trPr>
          <w:trHeight w:val="385"/>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10.21+</w:t>
            </w:r>
          </w:p>
        </w:tc>
        <w:tc>
          <w:tcPr>
            <w:tcW w:w="160" w:type="dxa"/>
            <w:vAlign w:val="bottom"/>
          </w:tcPr>
          <w:p>
            <w:pPr>
              <w:spacing w:after="0"/>
              <w:rPr>
                <w:sz w:val="24"/>
                <w:szCs w:val="24"/>
                <w:color w:val="auto"/>
              </w:rPr>
            </w:pPr>
          </w:p>
        </w:tc>
        <w:tc>
          <w:tcPr>
            <w:tcW w:w="264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r:id="rId151">
              <w:r>
                <w:rPr>
                  <w:rFonts w:ascii="Times New Roman" w:cs="Times New Roman" w:eastAsia="Times New Roman" w:hAnsi="Times New Roman"/>
                  <w:sz w:val="18"/>
                  <w:szCs w:val="18"/>
                  <w:color w:val="0000EE"/>
                  <w:w w:val="99"/>
                </w:rPr>
                <w:t>Employment Agreement, dated as of</w:t>
              </w:r>
            </w:hyperlink>
          </w:p>
        </w:tc>
        <w:tc>
          <w:tcPr>
            <w:tcW w:w="860" w:type="dxa"/>
            <w:vAlign w:val="bottom"/>
            <w:gridSpan w:val="21"/>
          </w:tcPr>
          <w:p>
            <w:pPr>
              <w:spacing w:after="0"/>
              <w:rPr>
                <w:sz w:val="24"/>
                <w:szCs w:val="24"/>
                <w:color w:val="auto"/>
              </w:rPr>
            </w:pPr>
          </w:p>
        </w:tc>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8-K</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001-41059</w:t>
            </w:r>
          </w:p>
        </w:tc>
        <w:tc>
          <w:tcPr>
            <w:tcW w:w="160" w:type="dxa"/>
            <w:vAlign w:val="bottom"/>
          </w:tcPr>
          <w:p>
            <w:pPr>
              <w:spacing w:after="0"/>
              <w:rPr>
                <w:sz w:val="24"/>
                <w:szCs w:val="24"/>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4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11/15/2022</w:t>
            </w: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12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w w:val="99"/>
              </w:rPr>
            </w:pPr>
            <w:hyperlink r:id="rId151">
              <w:r>
                <w:rPr>
                  <w:rFonts w:ascii="Times New Roman" w:cs="Times New Roman" w:eastAsia="Times New Roman" w:hAnsi="Times New Roman"/>
                  <w:sz w:val="18"/>
                  <w:szCs w:val="18"/>
                  <w:color w:val="0000EE"/>
                  <w:w w:val="99"/>
                </w:rPr>
                <w:t>November 11, 2022, among Lulu's Fashion</w:t>
              </w:r>
            </w:hyperlink>
          </w:p>
        </w:tc>
        <w:tc>
          <w:tcPr>
            <w:tcW w:w="380" w:type="dxa"/>
            <w:vAlign w:val="bottom"/>
            <w:gridSpan w:val="10"/>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500" w:type="dxa"/>
            <w:vAlign w:val="bottom"/>
            <w:gridSpan w:val="32"/>
          </w:tcPr>
          <w:p>
            <w:pPr>
              <w:spacing w:after="0" w:line="196" w:lineRule="exact"/>
              <w:rPr>
                <w:rFonts w:ascii="Times New Roman" w:cs="Times New Roman" w:eastAsia="Times New Roman" w:hAnsi="Times New Roman"/>
                <w:sz w:val="18"/>
                <w:szCs w:val="18"/>
                <w:color w:val="0000EE"/>
              </w:rPr>
            </w:pPr>
            <w:hyperlink r:id="rId151">
              <w:r>
                <w:rPr>
                  <w:rFonts w:ascii="Times New Roman" w:cs="Times New Roman" w:eastAsia="Times New Roman" w:hAnsi="Times New Roman"/>
                  <w:sz w:val="18"/>
                  <w:szCs w:val="18"/>
                  <w:color w:val="0000EE"/>
                </w:rPr>
                <w:t>Lounge Holdings, Inc., Lulu's Fashion</w:t>
              </w:r>
            </w:hyperlink>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4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8"/>
              </w:rPr>
            </w:pPr>
            <w:hyperlink r:id="rId151">
              <w:r>
                <w:rPr>
                  <w:rFonts w:ascii="Times New Roman" w:cs="Times New Roman" w:eastAsia="Times New Roman" w:hAnsi="Times New Roman"/>
                  <w:sz w:val="18"/>
                  <w:szCs w:val="18"/>
                  <w:color w:val="0000EE"/>
                  <w:w w:val="98"/>
                </w:rPr>
                <w:t>Lounge, LLC and David W. McCreight</w:t>
              </w:r>
            </w:hyperlink>
          </w:p>
        </w:tc>
        <w:tc>
          <w:tcPr>
            <w:tcW w:w="660" w:type="dxa"/>
            <w:vAlign w:val="bottom"/>
            <w:gridSpan w:val="17"/>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10.22+</w:t>
            </w:r>
          </w:p>
        </w:tc>
        <w:tc>
          <w:tcPr>
            <w:tcW w:w="160" w:type="dxa"/>
            <w:vAlign w:val="bottom"/>
          </w:tcPr>
          <w:p>
            <w:pPr>
              <w:spacing w:after="0"/>
              <w:rPr>
                <w:sz w:val="17"/>
                <w:szCs w:val="17"/>
                <w:color w:val="auto"/>
              </w:rPr>
            </w:pPr>
          </w:p>
        </w:tc>
        <w:tc>
          <w:tcPr>
            <w:tcW w:w="3500" w:type="dxa"/>
            <w:vAlign w:val="bottom"/>
            <w:gridSpan w:val="32"/>
          </w:tcPr>
          <w:p>
            <w:pPr>
              <w:spacing w:after="0" w:line="196" w:lineRule="exact"/>
              <w:rPr>
                <w:rFonts w:ascii="Times New Roman" w:cs="Times New Roman" w:eastAsia="Times New Roman" w:hAnsi="Times New Roman"/>
                <w:sz w:val="18"/>
                <w:szCs w:val="18"/>
                <w:color w:val="0000EE"/>
              </w:rPr>
            </w:pPr>
            <w:hyperlink r:id="rId152">
              <w:r>
                <w:rPr>
                  <w:rFonts w:ascii="Times New Roman" w:cs="Times New Roman" w:eastAsia="Times New Roman" w:hAnsi="Times New Roman"/>
                  <w:sz w:val="18"/>
                  <w:szCs w:val="18"/>
                  <w:color w:val="0000EE"/>
                </w:rPr>
                <w:t>First Amendment to Lulu's Fashion Lounge</w:t>
              </w:r>
            </w:hyperlink>
          </w:p>
        </w:tc>
        <w:tc>
          <w:tcPr>
            <w:tcW w:w="6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8-K</w:t>
            </w:r>
          </w:p>
        </w:tc>
        <w:tc>
          <w:tcPr>
            <w:tcW w:w="9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001-41059</w:t>
            </w:r>
          </w:p>
        </w:tc>
        <w:tc>
          <w:tcPr>
            <w:tcW w:w="160" w:type="dxa"/>
            <w:vAlign w:val="bottom"/>
          </w:tcPr>
          <w:p>
            <w:pPr>
              <w:spacing w:after="0"/>
              <w:rPr>
                <w:sz w:val="17"/>
                <w:szCs w:val="17"/>
                <w:color w:val="auto"/>
              </w:rPr>
            </w:pPr>
          </w:p>
        </w:tc>
        <w:tc>
          <w:tcPr>
            <w:tcW w:w="5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40" w:type="dxa"/>
            <w:vAlign w:val="bottom"/>
          </w:tcPr>
          <w:p>
            <w:pPr>
              <w:spacing w:after="0"/>
              <w:rPr>
                <w:sz w:val="17"/>
                <w:szCs w:val="17"/>
                <w:color w:val="auto"/>
              </w:rPr>
            </w:pPr>
          </w:p>
        </w:tc>
        <w:tc>
          <w:tcPr>
            <w:tcW w:w="12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2/14/2023</w:t>
            </w: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40" w:type="dxa"/>
            <w:vAlign w:val="bottom"/>
            <w:tcBorders>
              <w:top w:val="single" w:sz="8" w:color="0000EE"/>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r:id="rId152">
              <w:r>
                <w:rPr>
                  <w:rFonts w:ascii="Times New Roman" w:cs="Times New Roman" w:eastAsia="Times New Roman" w:hAnsi="Times New Roman"/>
                  <w:sz w:val="18"/>
                  <w:szCs w:val="18"/>
                  <w:color w:val="0000EE"/>
                  <w:w w:val="99"/>
                </w:rPr>
                <w:t>Holdings, Inc. 2021 Equity Incentive Plan</w:t>
              </w:r>
            </w:hyperlink>
          </w:p>
        </w:tc>
        <w:tc>
          <w:tcPr>
            <w:tcW w:w="100" w:type="dxa"/>
            <w:vAlign w:val="bottom"/>
            <w:tcBorders>
              <w:top w:val="single" w:sz="8" w:color="0000EE"/>
            </w:tcBorders>
            <w:gridSpan w:val="5"/>
          </w:tcPr>
          <w:p>
            <w:pPr>
              <w:spacing w:after="0"/>
              <w:rPr>
                <w:sz w:val="17"/>
                <w:szCs w:val="17"/>
                <w:color w:val="auto"/>
              </w:rPr>
            </w:pPr>
          </w:p>
        </w:tc>
        <w:tc>
          <w:tcPr>
            <w:tcW w:w="360" w:type="dxa"/>
            <w:vAlign w:val="bottom"/>
            <w:gridSpan w:val="9"/>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8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152">
              <w:r>
                <w:rPr>
                  <w:rFonts w:ascii="Times New Roman" w:cs="Times New Roman" w:eastAsia="Times New Roman" w:hAnsi="Times New Roman"/>
                  <w:sz w:val="18"/>
                  <w:szCs w:val="18"/>
                  <w:color w:val="0000EE"/>
                  <w:w w:val="99"/>
                </w:rPr>
                <w:t>Stock Option Agreement, dated as of</w:t>
              </w:r>
            </w:hyperlink>
          </w:p>
        </w:tc>
        <w:tc>
          <w:tcPr>
            <w:tcW w:w="820" w:type="dxa"/>
            <w:vAlign w:val="bottom"/>
            <w:gridSpan w:val="19"/>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12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w w:val="99"/>
              </w:rPr>
            </w:pPr>
            <w:hyperlink r:id="rId152">
              <w:r>
                <w:rPr>
                  <w:rFonts w:ascii="Times New Roman" w:cs="Times New Roman" w:eastAsia="Times New Roman" w:hAnsi="Times New Roman"/>
                  <w:sz w:val="18"/>
                  <w:szCs w:val="18"/>
                  <w:color w:val="0000EE"/>
                  <w:w w:val="99"/>
                </w:rPr>
                <w:t>February 13, 2023, between Lulu's Fashion</w:t>
              </w:r>
            </w:hyperlink>
          </w:p>
        </w:tc>
        <w:tc>
          <w:tcPr>
            <w:tcW w:w="380" w:type="dxa"/>
            <w:vAlign w:val="bottom"/>
            <w:gridSpan w:val="10"/>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6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8"/>
              </w:rPr>
            </w:pPr>
            <w:hyperlink r:id="rId152">
              <w:r>
                <w:rPr>
                  <w:rFonts w:ascii="Times New Roman" w:cs="Times New Roman" w:eastAsia="Times New Roman" w:hAnsi="Times New Roman"/>
                  <w:sz w:val="18"/>
                  <w:szCs w:val="18"/>
                  <w:color w:val="0000EE"/>
                  <w:w w:val="98"/>
                </w:rPr>
                <w:t>Lounge Holdings, Inc. and David W.</w:t>
              </w:r>
            </w:hyperlink>
          </w:p>
        </w:tc>
        <w:tc>
          <w:tcPr>
            <w:tcW w:w="840" w:type="dxa"/>
            <w:vAlign w:val="bottom"/>
            <w:gridSpan w:val="20"/>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7"/>
              </w:rPr>
            </w:pPr>
            <w:hyperlink r:id="rId152">
              <w:r>
                <w:rPr>
                  <w:rFonts w:ascii="Times New Roman" w:cs="Times New Roman" w:eastAsia="Times New Roman" w:hAnsi="Times New Roman"/>
                  <w:sz w:val="18"/>
                  <w:szCs w:val="18"/>
                  <w:color w:val="0000EE"/>
                  <w:w w:val="97"/>
                </w:rPr>
                <w:t>McCreight</w:t>
              </w:r>
            </w:hyperlink>
          </w:p>
        </w:tc>
        <w:tc>
          <w:tcPr>
            <w:tcW w:w="2720" w:type="dxa"/>
            <w:vAlign w:val="bottom"/>
            <w:gridSpan w:val="29"/>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10.23+</w:t>
            </w:r>
          </w:p>
        </w:tc>
        <w:tc>
          <w:tcPr>
            <w:tcW w:w="160" w:type="dxa"/>
            <w:vAlign w:val="bottom"/>
          </w:tcPr>
          <w:p>
            <w:pPr>
              <w:spacing w:after="0"/>
              <w:rPr>
                <w:sz w:val="17"/>
                <w:szCs w:val="17"/>
                <w:color w:val="auto"/>
              </w:rPr>
            </w:pPr>
          </w:p>
        </w:tc>
        <w:tc>
          <w:tcPr>
            <w:tcW w:w="3360" w:type="dxa"/>
            <w:vAlign w:val="bottom"/>
            <w:tcBorders>
              <w:bottom w:val="single" w:sz="8" w:color="0000EE"/>
            </w:tcBorders>
            <w:gridSpan w:val="30"/>
          </w:tcPr>
          <w:p>
            <w:pPr>
              <w:spacing w:after="0" w:line="196" w:lineRule="exact"/>
              <w:rPr>
                <w:rFonts w:ascii="Times New Roman" w:cs="Times New Roman" w:eastAsia="Times New Roman" w:hAnsi="Times New Roman"/>
                <w:sz w:val="18"/>
                <w:szCs w:val="18"/>
                <w:color w:val="0000EE"/>
              </w:rPr>
            </w:pPr>
            <w:hyperlink r:id="rId153">
              <w:r>
                <w:rPr>
                  <w:rFonts w:ascii="Times New Roman" w:cs="Times New Roman" w:eastAsia="Times New Roman" w:hAnsi="Times New Roman"/>
                  <w:sz w:val="18"/>
                  <w:szCs w:val="18"/>
                  <w:color w:val="0000EE"/>
                </w:rPr>
                <w:t>Employment Agreement, dated as of March 5,</w:t>
              </w:r>
            </w:hyperlink>
          </w:p>
        </w:tc>
        <w:tc>
          <w:tcPr>
            <w:tcW w:w="140" w:type="dxa"/>
            <w:vAlign w:val="bottom"/>
            <w:gridSpan w:val="2"/>
          </w:tcPr>
          <w:p>
            <w:pPr>
              <w:spacing w:after="0"/>
              <w:rPr>
                <w:sz w:val="17"/>
                <w:szCs w:val="17"/>
                <w:color w:val="auto"/>
              </w:rPr>
            </w:pPr>
          </w:p>
        </w:tc>
        <w:tc>
          <w:tcPr>
            <w:tcW w:w="6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8-K</w:t>
            </w:r>
          </w:p>
        </w:tc>
        <w:tc>
          <w:tcPr>
            <w:tcW w:w="9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001-41059</w:t>
            </w:r>
          </w:p>
        </w:tc>
        <w:tc>
          <w:tcPr>
            <w:tcW w:w="160" w:type="dxa"/>
            <w:vAlign w:val="bottom"/>
          </w:tcPr>
          <w:p>
            <w:pPr>
              <w:spacing w:after="0"/>
              <w:rPr>
                <w:sz w:val="17"/>
                <w:szCs w:val="17"/>
                <w:color w:val="auto"/>
              </w:rPr>
            </w:pPr>
          </w:p>
        </w:tc>
        <w:tc>
          <w:tcPr>
            <w:tcW w:w="5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40" w:type="dxa"/>
            <w:vAlign w:val="bottom"/>
          </w:tcPr>
          <w:p>
            <w:pPr>
              <w:spacing w:after="0"/>
              <w:rPr>
                <w:sz w:val="17"/>
                <w:szCs w:val="17"/>
                <w:color w:val="auto"/>
              </w:rPr>
            </w:pPr>
          </w:p>
        </w:tc>
        <w:tc>
          <w:tcPr>
            <w:tcW w:w="12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03/06/2023</w:t>
            </w: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4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153">
              <w:r>
                <w:rPr>
                  <w:rFonts w:ascii="Times New Roman" w:cs="Times New Roman" w:eastAsia="Times New Roman" w:hAnsi="Times New Roman"/>
                  <w:sz w:val="18"/>
                  <w:szCs w:val="18"/>
                  <w:color w:val="0000EE"/>
                  <w:w w:val="99"/>
                </w:rPr>
                <w:t>2023, among Lulu's Fashion Lounge</w:t>
              </w:r>
            </w:hyperlink>
          </w:p>
        </w:tc>
        <w:tc>
          <w:tcPr>
            <w:tcW w:w="860" w:type="dxa"/>
            <w:vAlign w:val="bottom"/>
            <w:gridSpan w:val="21"/>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EE"/>
                <w:w w:val="99"/>
              </w:rPr>
            </w:pPr>
            <w:hyperlink r:id="rId153">
              <w:r>
                <w:rPr>
                  <w:rFonts w:ascii="Times New Roman" w:cs="Times New Roman" w:eastAsia="Times New Roman" w:hAnsi="Times New Roman"/>
                  <w:sz w:val="18"/>
                  <w:szCs w:val="18"/>
                  <w:color w:val="0000EE"/>
                  <w:w w:val="99"/>
                </w:rPr>
                <w:t>Holdings, Inc., Lulu's Fashion Lounge, LLC</w:t>
              </w:r>
            </w:hyperlink>
          </w:p>
        </w:tc>
        <w:tc>
          <w:tcPr>
            <w:tcW w:w="300" w:type="dxa"/>
            <w:vAlign w:val="bottom"/>
            <w:gridSpan w:val="7"/>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153">
              <w:r>
                <w:rPr>
                  <w:rFonts w:ascii="Times New Roman" w:cs="Times New Roman" w:eastAsia="Times New Roman" w:hAnsi="Times New Roman"/>
                  <w:sz w:val="18"/>
                  <w:szCs w:val="18"/>
                  <w:color w:val="0000EE"/>
                  <w:w w:val="99"/>
                </w:rPr>
                <w:t>and Crystal Landsem</w:t>
              </w:r>
            </w:hyperlink>
          </w:p>
        </w:tc>
        <w:tc>
          <w:tcPr>
            <w:tcW w:w="1960" w:type="dxa"/>
            <w:vAlign w:val="bottom"/>
            <w:gridSpan w:val="27"/>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10.24+</w:t>
            </w:r>
          </w:p>
        </w:tc>
        <w:tc>
          <w:tcPr>
            <w:tcW w:w="160" w:type="dxa"/>
            <w:vAlign w:val="bottom"/>
          </w:tcPr>
          <w:p>
            <w:pPr>
              <w:spacing w:after="0"/>
              <w:rPr>
                <w:sz w:val="17"/>
                <w:szCs w:val="17"/>
                <w:color w:val="auto"/>
              </w:rPr>
            </w:pPr>
          </w:p>
        </w:tc>
        <w:tc>
          <w:tcPr>
            <w:tcW w:w="290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7"/>
              </w:rPr>
            </w:pPr>
            <w:hyperlink r:id="rId154">
              <w:r>
                <w:rPr>
                  <w:rFonts w:ascii="Times New Roman" w:cs="Times New Roman" w:eastAsia="Times New Roman" w:hAnsi="Times New Roman"/>
                  <w:sz w:val="18"/>
                  <w:szCs w:val="18"/>
                  <w:color w:val="0000EE"/>
                  <w:w w:val="97"/>
                </w:rPr>
                <w:t>Amendment to Employment Agreement,</w:t>
              </w:r>
            </w:hyperlink>
          </w:p>
        </w:tc>
        <w:tc>
          <w:tcPr>
            <w:tcW w:w="600" w:type="dxa"/>
            <w:vAlign w:val="bottom"/>
            <w:gridSpan w:val="16"/>
          </w:tcPr>
          <w:p>
            <w:pPr>
              <w:spacing w:after="0"/>
              <w:rPr>
                <w:sz w:val="17"/>
                <w:szCs w:val="17"/>
                <w:color w:val="auto"/>
              </w:rPr>
            </w:pPr>
          </w:p>
        </w:tc>
        <w:tc>
          <w:tcPr>
            <w:tcW w:w="6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8-K</w:t>
            </w:r>
          </w:p>
        </w:tc>
        <w:tc>
          <w:tcPr>
            <w:tcW w:w="9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001-41059</w:t>
            </w:r>
          </w:p>
        </w:tc>
        <w:tc>
          <w:tcPr>
            <w:tcW w:w="160" w:type="dxa"/>
            <w:vAlign w:val="bottom"/>
          </w:tcPr>
          <w:p>
            <w:pPr>
              <w:spacing w:after="0"/>
              <w:rPr>
                <w:sz w:val="17"/>
                <w:szCs w:val="17"/>
                <w:color w:val="auto"/>
              </w:rPr>
            </w:pPr>
          </w:p>
        </w:tc>
        <w:tc>
          <w:tcPr>
            <w:tcW w:w="5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140" w:type="dxa"/>
            <w:vAlign w:val="bottom"/>
          </w:tcPr>
          <w:p>
            <w:pPr>
              <w:spacing w:after="0"/>
              <w:rPr>
                <w:sz w:val="17"/>
                <w:szCs w:val="17"/>
                <w:color w:val="auto"/>
              </w:rPr>
            </w:pPr>
          </w:p>
        </w:tc>
        <w:tc>
          <w:tcPr>
            <w:tcW w:w="12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03/06/2023</w:t>
            </w: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500" w:type="dxa"/>
            <w:vAlign w:val="bottom"/>
            <w:gridSpan w:val="32"/>
          </w:tcPr>
          <w:p>
            <w:pPr>
              <w:spacing w:after="0" w:line="196" w:lineRule="exact"/>
              <w:rPr>
                <w:rFonts w:ascii="Times New Roman" w:cs="Times New Roman" w:eastAsia="Times New Roman" w:hAnsi="Times New Roman"/>
                <w:sz w:val="18"/>
                <w:szCs w:val="18"/>
                <w:color w:val="0000EE"/>
              </w:rPr>
            </w:pPr>
            <w:hyperlink r:id="rId154">
              <w:r>
                <w:rPr>
                  <w:rFonts w:ascii="Times New Roman" w:cs="Times New Roman" w:eastAsia="Times New Roman" w:hAnsi="Times New Roman"/>
                  <w:sz w:val="18"/>
                  <w:szCs w:val="18"/>
                  <w:color w:val="0000EE"/>
                </w:rPr>
                <w:t>dated as of March 5, 2023, among Lulu's</w:t>
              </w:r>
            </w:hyperlink>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gridSpan w:val="5"/>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340" w:type="dxa"/>
            <w:vAlign w:val="bottom"/>
            <w:tcBorders>
              <w:bottom w:val="single" w:sz="8" w:color="0000EE"/>
            </w:tcBorders>
            <w:gridSpan w:val="29"/>
          </w:tcPr>
          <w:p>
            <w:pPr>
              <w:spacing w:after="0" w:line="196" w:lineRule="exact"/>
              <w:rPr>
                <w:rFonts w:ascii="Times New Roman" w:cs="Times New Roman" w:eastAsia="Times New Roman" w:hAnsi="Times New Roman"/>
                <w:sz w:val="18"/>
                <w:szCs w:val="18"/>
                <w:color w:val="0000EE"/>
                <w:w w:val="99"/>
              </w:rPr>
            </w:pPr>
            <w:hyperlink r:id="rId154">
              <w:r>
                <w:rPr>
                  <w:rFonts w:ascii="Times New Roman" w:cs="Times New Roman" w:eastAsia="Times New Roman" w:hAnsi="Times New Roman"/>
                  <w:sz w:val="18"/>
                  <w:szCs w:val="18"/>
                  <w:color w:val="0000EE"/>
                  <w:w w:val="99"/>
                </w:rPr>
                <w:t>Fashion Lounge Holdings, Inc, Lulu's Fashion</w:t>
              </w:r>
            </w:hyperlink>
          </w:p>
        </w:tc>
        <w:tc>
          <w:tcPr>
            <w:tcW w:w="160" w:type="dxa"/>
            <w:vAlign w:val="bottom"/>
            <w:gridSpan w:val="3"/>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500" w:type="dxa"/>
            <w:vAlign w:val="bottom"/>
            <w:gridSpan w:val="32"/>
          </w:tcPr>
          <w:p>
            <w:pPr>
              <w:spacing w:after="0" w:line="196" w:lineRule="exact"/>
              <w:rPr>
                <w:rFonts w:ascii="Times New Roman" w:cs="Times New Roman" w:eastAsia="Times New Roman" w:hAnsi="Times New Roman"/>
                <w:sz w:val="18"/>
                <w:szCs w:val="18"/>
                <w:color w:val="0000EE"/>
              </w:rPr>
            </w:pPr>
            <w:hyperlink r:id="rId154">
              <w:r>
                <w:rPr>
                  <w:rFonts w:ascii="Times New Roman" w:cs="Times New Roman" w:eastAsia="Times New Roman" w:hAnsi="Times New Roman"/>
                  <w:sz w:val="18"/>
                  <w:szCs w:val="18"/>
                  <w:color w:val="0000EE"/>
                </w:rPr>
                <w:t>Lounge, LLC and Mark Vos</w:t>
              </w:r>
            </w:hyperlink>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10.25+</w:t>
            </w:r>
          </w:p>
        </w:tc>
        <w:tc>
          <w:tcPr>
            <w:tcW w:w="160" w:type="dxa"/>
            <w:vAlign w:val="bottom"/>
          </w:tcPr>
          <w:p>
            <w:pPr>
              <w:spacing w:after="0"/>
              <w:rPr>
                <w:sz w:val="17"/>
                <w:szCs w:val="17"/>
                <w:color w:val="auto"/>
              </w:rPr>
            </w:pPr>
          </w:p>
        </w:tc>
        <w:tc>
          <w:tcPr>
            <w:tcW w:w="3360" w:type="dxa"/>
            <w:vAlign w:val="bottom"/>
            <w:tcBorders>
              <w:bottom w:val="single" w:sz="8" w:color="0000EE"/>
            </w:tcBorders>
            <w:gridSpan w:val="30"/>
          </w:tcPr>
          <w:p>
            <w:pPr>
              <w:spacing w:after="0" w:line="196" w:lineRule="exact"/>
              <w:rPr>
                <w:rFonts w:ascii="Times New Roman" w:cs="Times New Roman" w:eastAsia="Times New Roman" w:hAnsi="Times New Roman"/>
                <w:sz w:val="18"/>
                <w:szCs w:val="18"/>
                <w:color w:val="0000EE"/>
              </w:rPr>
            </w:pPr>
            <w:hyperlink r:id="rId155">
              <w:r>
                <w:rPr>
                  <w:rFonts w:ascii="Times New Roman" w:cs="Times New Roman" w:eastAsia="Times New Roman" w:hAnsi="Times New Roman"/>
                  <w:sz w:val="18"/>
                  <w:szCs w:val="18"/>
                  <w:color w:val="0000EE"/>
                </w:rPr>
                <w:t>Employment Agreement, dated as of March 8,</w:t>
              </w:r>
            </w:hyperlink>
          </w:p>
        </w:tc>
        <w:tc>
          <w:tcPr>
            <w:tcW w:w="140" w:type="dxa"/>
            <w:vAlign w:val="bottom"/>
            <w:gridSpan w:val="2"/>
          </w:tcPr>
          <w:p>
            <w:pPr>
              <w:spacing w:after="0"/>
              <w:rPr>
                <w:sz w:val="17"/>
                <w:szCs w:val="17"/>
                <w:color w:val="auto"/>
              </w:rPr>
            </w:pPr>
          </w:p>
        </w:tc>
        <w:tc>
          <w:tcPr>
            <w:tcW w:w="6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8-K</w:t>
            </w:r>
          </w:p>
        </w:tc>
        <w:tc>
          <w:tcPr>
            <w:tcW w:w="9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001-41059</w:t>
            </w:r>
          </w:p>
        </w:tc>
        <w:tc>
          <w:tcPr>
            <w:tcW w:w="160" w:type="dxa"/>
            <w:vAlign w:val="bottom"/>
          </w:tcPr>
          <w:p>
            <w:pPr>
              <w:spacing w:after="0"/>
              <w:rPr>
                <w:sz w:val="17"/>
                <w:szCs w:val="17"/>
                <w:color w:val="auto"/>
              </w:rPr>
            </w:pPr>
          </w:p>
        </w:tc>
        <w:tc>
          <w:tcPr>
            <w:tcW w:w="5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140" w:type="dxa"/>
            <w:vAlign w:val="bottom"/>
          </w:tcPr>
          <w:p>
            <w:pPr>
              <w:spacing w:after="0"/>
              <w:rPr>
                <w:sz w:val="17"/>
                <w:szCs w:val="17"/>
                <w:color w:val="auto"/>
              </w:rPr>
            </w:pPr>
          </w:p>
        </w:tc>
        <w:tc>
          <w:tcPr>
            <w:tcW w:w="12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03/09/2023</w:t>
            </w: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4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155">
              <w:r>
                <w:rPr>
                  <w:rFonts w:ascii="Times New Roman" w:cs="Times New Roman" w:eastAsia="Times New Roman" w:hAnsi="Times New Roman"/>
                  <w:sz w:val="18"/>
                  <w:szCs w:val="18"/>
                  <w:color w:val="0000EE"/>
                  <w:w w:val="99"/>
                </w:rPr>
                <w:t>2023, among Lulu's Fashion Lounge</w:t>
              </w:r>
            </w:hyperlink>
          </w:p>
        </w:tc>
        <w:tc>
          <w:tcPr>
            <w:tcW w:w="860" w:type="dxa"/>
            <w:vAlign w:val="bottom"/>
            <w:gridSpan w:val="21"/>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EE"/>
                <w:w w:val="99"/>
              </w:rPr>
            </w:pPr>
            <w:hyperlink r:id="rId155">
              <w:r>
                <w:rPr>
                  <w:rFonts w:ascii="Times New Roman" w:cs="Times New Roman" w:eastAsia="Times New Roman" w:hAnsi="Times New Roman"/>
                  <w:sz w:val="18"/>
                  <w:szCs w:val="18"/>
                  <w:color w:val="0000EE"/>
                  <w:w w:val="99"/>
                </w:rPr>
                <w:t>Holdings, Inc., Lulu's Fashion Lounge, LLC</w:t>
              </w:r>
            </w:hyperlink>
          </w:p>
        </w:tc>
        <w:tc>
          <w:tcPr>
            <w:tcW w:w="300" w:type="dxa"/>
            <w:vAlign w:val="bottom"/>
            <w:gridSpan w:val="7"/>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8"/>
              </w:rPr>
            </w:pPr>
            <w:hyperlink r:id="rId155">
              <w:r>
                <w:rPr>
                  <w:rFonts w:ascii="Times New Roman" w:cs="Times New Roman" w:eastAsia="Times New Roman" w:hAnsi="Times New Roman"/>
                  <w:sz w:val="18"/>
                  <w:szCs w:val="18"/>
                  <w:color w:val="0000EE"/>
                  <w:w w:val="98"/>
                </w:rPr>
                <w:t>and Tiffany R. Smith</w:t>
              </w:r>
            </w:hyperlink>
          </w:p>
        </w:tc>
        <w:tc>
          <w:tcPr>
            <w:tcW w:w="1980" w:type="dxa"/>
            <w:vAlign w:val="bottom"/>
            <w:gridSpan w:val="28"/>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10.26+</w:t>
            </w:r>
          </w:p>
        </w:tc>
        <w:tc>
          <w:tcPr>
            <w:tcW w:w="160" w:type="dxa"/>
            <w:vAlign w:val="bottom"/>
          </w:tcPr>
          <w:p>
            <w:pPr>
              <w:spacing w:after="0"/>
              <w:rPr>
                <w:sz w:val="17"/>
                <w:szCs w:val="17"/>
                <w:color w:val="auto"/>
              </w:rPr>
            </w:pPr>
          </w:p>
        </w:tc>
        <w:tc>
          <w:tcPr>
            <w:tcW w:w="3500" w:type="dxa"/>
            <w:vAlign w:val="bottom"/>
            <w:gridSpan w:val="32"/>
          </w:tcPr>
          <w:p>
            <w:pPr>
              <w:spacing w:after="0" w:line="196" w:lineRule="exact"/>
              <w:rPr>
                <w:rFonts w:ascii="Times New Roman" w:cs="Times New Roman" w:eastAsia="Times New Roman" w:hAnsi="Times New Roman"/>
                <w:sz w:val="18"/>
                <w:szCs w:val="18"/>
                <w:color w:val="0000EE"/>
              </w:rPr>
            </w:pPr>
            <w:hyperlink r:id="rId156">
              <w:r>
                <w:rPr>
                  <w:rFonts w:ascii="Times New Roman" w:cs="Times New Roman" w:eastAsia="Times New Roman" w:hAnsi="Times New Roman"/>
                  <w:sz w:val="18"/>
                  <w:szCs w:val="18"/>
                  <w:color w:val="0000EE"/>
                </w:rPr>
                <w:t>Amended 2021 Employee Stock Purchase</w:t>
              </w:r>
            </w:hyperlink>
          </w:p>
        </w:tc>
        <w:tc>
          <w:tcPr>
            <w:tcW w:w="6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10-K</w:t>
            </w:r>
          </w:p>
        </w:tc>
        <w:tc>
          <w:tcPr>
            <w:tcW w:w="9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001-41059</w:t>
            </w:r>
          </w:p>
        </w:tc>
        <w:tc>
          <w:tcPr>
            <w:tcW w:w="160" w:type="dxa"/>
            <w:vAlign w:val="bottom"/>
          </w:tcPr>
          <w:p>
            <w:pPr>
              <w:spacing w:after="0"/>
              <w:rPr>
                <w:sz w:val="17"/>
                <w:szCs w:val="17"/>
                <w:color w:val="auto"/>
              </w:rPr>
            </w:pPr>
          </w:p>
        </w:tc>
        <w:tc>
          <w:tcPr>
            <w:tcW w:w="5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10.26+</w:t>
            </w:r>
          </w:p>
        </w:tc>
        <w:tc>
          <w:tcPr>
            <w:tcW w:w="140" w:type="dxa"/>
            <w:vAlign w:val="bottom"/>
          </w:tcPr>
          <w:p>
            <w:pPr>
              <w:spacing w:after="0"/>
              <w:rPr>
                <w:sz w:val="17"/>
                <w:szCs w:val="17"/>
                <w:color w:val="auto"/>
              </w:rPr>
            </w:pPr>
          </w:p>
        </w:tc>
        <w:tc>
          <w:tcPr>
            <w:tcW w:w="12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03/14/2023</w:t>
            </w: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3"/>
              </w:rPr>
            </w:pPr>
            <w:hyperlink r:id="rId156">
              <w:r>
                <w:rPr>
                  <w:rFonts w:ascii="Times New Roman" w:cs="Times New Roman" w:eastAsia="Times New Roman" w:hAnsi="Times New Roman"/>
                  <w:sz w:val="18"/>
                  <w:szCs w:val="18"/>
                  <w:color w:val="0000EE"/>
                  <w:w w:val="93"/>
                </w:rPr>
                <w:t>Plan</w:t>
              </w:r>
            </w:hyperlink>
          </w:p>
        </w:tc>
        <w:tc>
          <w:tcPr>
            <w:tcW w:w="2700" w:type="dxa"/>
            <w:vAlign w:val="bottom"/>
            <w:tcBorders>
              <w:top w:val="single" w:sz="8" w:color="0000EE"/>
            </w:tcBorders>
            <w:gridSpan w:val="16"/>
          </w:tcPr>
          <w:p>
            <w:pPr>
              <w:spacing w:after="0"/>
              <w:rPr>
                <w:sz w:val="17"/>
                <w:szCs w:val="17"/>
                <w:color w:val="auto"/>
              </w:rPr>
            </w:pPr>
          </w:p>
        </w:tc>
        <w:tc>
          <w:tcPr>
            <w:tcW w:w="480" w:type="dxa"/>
            <w:vAlign w:val="bottom"/>
            <w:gridSpan w:val="15"/>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10.27</w:t>
            </w:r>
          </w:p>
        </w:tc>
        <w:tc>
          <w:tcPr>
            <w:tcW w:w="160" w:type="dxa"/>
            <w:vAlign w:val="bottom"/>
          </w:tcPr>
          <w:p>
            <w:pPr>
              <w:spacing w:after="0"/>
              <w:rPr>
                <w:sz w:val="17"/>
                <w:szCs w:val="17"/>
                <w:color w:val="auto"/>
              </w:rPr>
            </w:pPr>
          </w:p>
        </w:tc>
        <w:tc>
          <w:tcPr>
            <w:tcW w:w="3340" w:type="dxa"/>
            <w:vAlign w:val="bottom"/>
            <w:tcBorders>
              <w:bottom w:val="single" w:sz="8" w:color="0000EE"/>
            </w:tcBorders>
            <w:gridSpan w:val="29"/>
          </w:tcPr>
          <w:p>
            <w:pPr>
              <w:spacing w:after="0" w:line="196" w:lineRule="exact"/>
              <w:rPr>
                <w:rFonts w:ascii="Times New Roman" w:cs="Times New Roman" w:eastAsia="Times New Roman" w:hAnsi="Times New Roman"/>
                <w:sz w:val="18"/>
                <w:szCs w:val="18"/>
                <w:color w:val="0000EE"/>
                <w:w w:val="99"/>
              </w:rPr>
            </w:pPr>
            <w:hyperlink r:id="rId157">
              <w:r>
                <w:rPr>
                  <w:rFonts w:ascii="Times New Roman" w:cs="Times New Roman" w:eastAsia="Times New Roman" w:hAnsi="Times New Roman"/>
                  <w:sz w:val="18"/>
                  <w:szCs w:val="18"/>
                  <w:color w:val="0000EE"/>
                  <w:w w:val="99"/>
                </w:rPr>
                <w:t>Commercial Lease Agreement (Unit B), dated</w:t>
              </w:r>
            </w:hyperlink>
          </w:p>
        </w:tc>
        <w:tc>
          <w:tcPr>
            <w:tcW w:w="160" w:type="dxa"/>
            <w:vAlign w:val="bottom"/>
            <w:gridSpan w:val="3"/>
          </w:tcPr>
          <w:p>
            <w:pPr>
              <w:spacing w:after="0"/>
              <w:rPr>
                <w:sz w:val="17"/>
                <w:szCs w:val="17"/>
                <w:color w:val="auto"/>
              </w:rPr>
            </w:pPr>
          </w:p>
        </w:tc>
        <w:tc>
          <w:tcPr>
            <w:tcW w:w="6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10-K</w:t>
            </w:r>
          </w:p>
        </w:tc>
        <w:tc>
          <w:tcPr>
            <w:tcW w:w="9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001-41059</w:t>
            </w:r>
          </w:p>
        </w:tc>
        <w:tc>
          <w:tcPr>
            <w:tcW w:w="160" w:type="dxa"/>
            <w:vAlign w:val="bottom"/>
          </w:tcPr>
          <w:p>
            <w:pPr>
              <w:spacing w:after="0"/>
              <w:rPr>
                <w:sz w:val="17"/>
                <w:szCs w:val="17"/>
                <w:color w:val="auto"/>
              </w:rPr>
            </w:pPr>
          </w:p>
        </w:tc>
        <w:tc>
          <w:tcPr>
            <w:tcW w:w="5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10.27</w:t>
            </w:r>
          </w:p>
        </w:tc>
        <w:tc>
          <w:tcPr>
            <w:tcW w:w="140" w:type="dxa"/>
            <w:vAlign w:val="bottom"/>
          </w:tcPr>
          <w:p>
            <w:pPr>
              <w:spacing w:after="0"/>
              <w:rPr>
                <w:sz w:val="17"/>
                <w:szCs w:val="17"/>
                <w:color w:val="auto"/>
              </w:rPr>
            </w:pPr>
          </w:p>
        </w:tc>
        <w:tc>
          <w:tcPr>
            <w:tcW w:w="12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03/14/2023</w:t>
            </w: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500" w:type="dxa"/>
            <w:vAlign w:val="bottom"/>
            <w:gridSpan w:val="32"/>
          </w:tcPr>
          <w:p>
            <w:pPr>
              <w:spacing w:after="0" w:line="196" w:lineRule="exact"/>
              <w:rPr>
                <w:rFonts w:ascii="Times New Roman" w:cs="Times New Roman" w:eastAsia="Times New Roman" w:hAnsi="Times New Roman"/>
                <w:sz w:val="18"/>
                <w:szCs w:val="18"/>
                <w:color w:val="0000EE"/>
              </w:rPr>
            </w:pPr>
            <w:hyperlink r:id="rId157">
              <w:r>
                <w:rPr>
                  <w:rFonts w:ascii="Times New Roman" w:cs="Times New Roman" w:eastAsia="Times New Roman" w:hAnsi="Times New Roman"/>
                  <w:sz w:val="18"/>
                  <w:szCs w:val="18"/>
                  <w:color w:val="0000EE"/>
                </w:rPr>
                <w:t>as of May 6, 2017, between Hegan Lane</w:t>
              </w:r>
            </w:hyperlink>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240" w:type="dxa"/>
            <w:vAlign w:val="bottom"/>
            <w:gridSpan w:val="4"/>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gridSpan w:val="5"/>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EE"/>
                <w:w w:val="98"/>
              </w:rPr>
            </w:pPr>
            <w:hyperlink r:id="rId157">
              <w:r>
                <w:rPr>
                  <w:rFonts w:ascii="Times New Roman" w:cs="Times New Roman" w:eastAsia="Times New Roman" w:hAnsi="Times New Roman"/>
                  <w:sz w:val="18"/>
                  <w:szCs w:val="18"/>
                  <w:color w:val="0000EE"/>
                  <w:w w:val="98"/>
                </w:rPr>
                <w:t>Partnership and Lulu’s Fashion Lounge, Inc.</w:t>
              </w:r>
            </w:hyperlink>
          </w:p>
        </w:tc>
        <w:tc>
          <w:tcPr>
            <w:tcW w:w="300" w:type="dxa"/>
            <w:vAlign w:val="bottom"/>
            <w:gridSpan w:val="7"/>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10.28</w:t>
            </w:r>
          </w:p>
        </w:tc>
        <w:tc>
          <w:tcPr>
            <w:tcW w:w="160" w:type="dxa"/>
            <w:vAlign w:val="bottom"/>
          </w:tcPr>
          <w:p>
            <w:pPr>
              <w:spacing w:after="0"/>
              <w:rPr>
                <w:sz w:val="24"/>
                <w:szCs w:val="24"/>
                <w:color w:val="auto"/>
              </w:rPr>
            </w:pPr>
          </w:p>
        </w:tc>
        <w:tc>
          <w:tcPr>
            <w:tcW w:w="3320" w:type="dxa"/>
            <w:vAlign w:val="bottom"/>
            <w:tcBorders>
              <w:bottom w:val="single" w:sz="8" w:color="0000EE"/>
            </w:tcBorders>
            <w:gridSpan w:val="28"/>
          </w:tcPr>
          <w:p>
            <w:pPr>
              <w:spacing w:after="0"/>
              <w:rPr>
                <w:rFonts w:ascii="Times New Roman" w:cs="Times New Roman" w:eastAsia="Times New Roman" w:hAnsi="Times New Roman"/>
                <w:sz w:val="18"/>
                <w:szCs w:val="18"/>
                <w:color w:val="0000EE"/>
                <w:w w:val="99"/>
              </w:rPr>
            </w:pPr>
            <w:hyperlink r:id="rId158">
              <w:r>
                <w:rPr>
                  <w:rFonts w:ascii="Times New Roman" w:cs="Times New Roman" w:eastAsia="Times New Roman" w:hAnsi="Times New Roman"/>
                  <w:sz w:val="18"/>
                  <w:szCs w:val="18"/>
                  <w:color w:val="0000EE"/>
                  <w:w w:val="99"/>
                </w:rPr>
                <w:t>Commercial Lease Agreement (Unit E), dated</w:t>
              </w:r>
            </w:hyperlink>
          </w:p>
        </w:tc>
        <w:tc>
          <w:tcPr>
            <w:tcW w:w="180" w:type="dxa"/>
            <w:vAlign w:val="bottom"/>
            <w:gridSpan w:val="4"/>
          </w:tcPr>
          <w:p>
            <w:pPr>
              <w:spacing w:after="0"/>
              <w:rPr>
                <w:sz w:val="24"/>
                <w:szCs w:val="24"/>
                <w:color w:val="auto"/>
              </w:rPr>
            </w:pPr>
          </w:p>
        </w:tc>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10-K</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001-41059</w:t>
            </w:r>
          </w:p>
        </w:tc>
        <w:tc>
          <w:tcPr>
            <w:tcW w:w="160" w:type="dxa"/>
            <w:vAlign w:val="bottom"/>
          </w:tcPr>
          <w:p>
            <w:pPr>
              <w:spacing w:after="0"/>
              <w:rPr>
                <w:sz w:val="24"/>
                <w:szCs w:val="24"/>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10.28</w:t>
            </w:r>
          </w:p>
        </w:tc>
        <w:tc>
          <w:tcPr>
            <w:tcW w:w="14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03/14/2023</w:t>
            </w: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360" w:type="dxa"/>
            <w:vAlign w:val="bottom"/>
            <w:tcBorders>
              <w:bottom w:val="single" w:sz="8" w:color="0000EE"/>
            </w:tcBorders>
            <w:gridSpan w:val="30"/>
          </w:tcPr>
          <w:p>
            <w:pPr>
              <w:spacing w:after="0" w:line="196" w:lineRule="exact"/>
              <w:rPr>
                <w:rFonts w:ascii="Times New Roman" w:cs="Times New Roman" w:eastAsia="Times New Roman" w:hAnsi="Times New Roman"/>
                <w:sz w:val="18"/>
                <w:szCs w:val="18"/>
                <w:color w:val="0000EE"/>
                <w:w w:val="99"/>
              </w:rPr>
            </w:pPr>
            <w:hyperlink r:id="rId158">
              <w:r>
                <w:rPr>
                  <w:rFonts w:ascii="Times New Roman" w:cs="Times New Roman" w:eastAsia="Times New Roman" w:hAnsi="Times New Roman"/>
                  <w:sz w:val="18"/>
                  <w:szCs w:val="18"/>
                  <w:color w:val="0000EE"/>
                  <w:w w:val="99"/>
                </w:rPr>
                <w:t>as of November 5, 2019, between Hegan Lane</w:t>
              </w:r>
            </w:hyperlink>
          </w:p>
        </w:tc>
        <w:tc>
          <w:tcPr>
            <w:tcW w:w="140" w:type="dxa"/>
            <w:vAlign w:val="bottom"/>
            <w:gridSpan w:val="2"/>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500" w:type="dxa"/>
            <w:vAlign w:val="bottom"/>
            <w:gridSpan w:val="32"/>
          </w:tcPr>
          <w:p>
            <w:pPr>
              <w:spacing w:after="0" w:line="196" w:lineRule="exact"/>
              <w:rPr>
                <w:rFonts w:ascii="Times New Roman" w:cs="Times New Roman" w:eastAsia="Times New Roman" w:hAnsi="Times New Roman"/>
                <w:sz w:val="18"/>
                <w:szCs w:val="18"/>
                <w:color w:val="0000EE"/>
              </w:rPr>
            </w:pPr>
            <w:hyperlink r:id="rId158">
              <w:r>
                <w:rPr>
                  <w:rFonts w:ascii="Times New Roman" w:cs="Times New Roman" w:eastAsia="Times New Roman" w:hAnsi="Times New Roman"/>
                  <w:sz w:val="18"/>
                  <w:szCs w:val="18"/>
                  <w:color w:val="0000EE"/>
                </w:rPr>
                <w:t>Partnership and Lulu’s Fashion Lounge, LLC</w:t>
              </w:r>
            </w:hyperlink>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240" w:type="dxa"/>
            <w:vAlign w:val="bottom"/>
            <w:gridSpan w:val="4"/>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gridSpan w:val="7"/>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10.29</w:t>
            </w:r>
          </w:p>
        </w:tc>
        <w:tc>
          <w:tcPr>
            <w:tcW w:w="160" w:type="dxa"/>
            <w:vAlign w:val="bottom"/>
          </w:tcPr>
          <w:p>
            <w:pPr>
              <w:spacing w:after="0"/>
              <w:rPr>
                <w:sz w:val="17"/>
                <w:szCs w:val="17"/>
                <w:color w:val="auto"/>
              </w:rPr>
            </w:pPr>
          </w:p>
        </w:tc>
        <w:tc>
          <w:tcPr>
            <w:tcW w:w="3340" w:type="dxa"/>
            <w:vAlign w:val="bottom"/>
            <w:tcBorders>
              <w:bottom w:val="single" w:sz="8" w:color="0000EE"/>
            </w:tcBorders>
            <w:gridSpan w:val="29"/>
          </w:tcPr>
          <w:p>
            <w:pPr>
              <w:spacing w:after="0" w:line="196" w:lineRule="exact"/>
              <w:rPr>
                <w:rFonts w:ascii="Times New Roman" w:cs="Times New Roman" w:eastAsia="Times New Roman" w:hAnsi="Times New Roman"/>
                <w:sz w:val="18"/>
                <w:szCs w:val="18"/>
                <w:color w:val="0000EE"/>
                <w:w w:val="99"/>
              </w:rPr>
            </w:pPr>
            <w:hyperlink r:id="rId159">
              <w:r>
                <w:rPr>
                  <w:rFonts w:ascii="Times New Roman" w:cs="Times New Roman" w:eastAsia="Times New Roman" w:hAnsi="Times New Roman"/>
                  <w:sz w:val="18"/>
                  <w:szCs w:val="18"/>
                  <w:color w:val="0000EE"/>
                  <w:w w:val="99"/>
                </w:rPr>
                <w:t>Commercial Lease Agreement (Unit G), dated</w:t>
              </w:r>
            </w:hyperlink>
          </w:p>
        </w:tc>
        <w:tc>
          <w:tcPr>
            <w:tcW w:w="160" w:type="dxa"/>
            <w:vAlign w:val="bottom"/>
            <w:gridSpan w:val="3"/>
          </w:tcPr>
          <w:p>
            <w:pPr>
              <w:spacing w:after="0"/>
              <w:rPr>
                <w:sz w:val="17"/>
                <w:szCs w:val="17"/>
                <w:color w:val="auto"/>
              </w:rPr>
            </w:pPr>
          </w:p>
        </w:tc>
        <w:tc>
          <w:tcPr>
            <w:tcW w:w="6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10-K</w:t>
            </w:r>
          </w:p>
        </w:tc>
        <w:tc>
          <w:tcPr>
            <w:tcW w:w="9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001-41059</w:t>
            </w:r>
          </w:p>
        </w:tc>
        <w:tc>
          <w:tcPr>
            <w:tcW w:w="160" w:type="dxa"/>
            <w:vAlign w:val="bottom"/>
          </w:tcPr>
          <w:p>
            <w:pPr>
              <w:spacing w:after="0"/>
              <w:rPr>
                <w:sz w:val="17"/>
                <w:szCs w:val="17"/>
                <w:color w:val="auto"/>
              </w:rPr>
            </w:pPr>
          </w:p>
        </w:tc>
        <w:tc>
          <w:tcPr>
            <w:tcW w:w="5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10.29</w:t>
            </w:r>
          </w:p>
        </w:tc>
        <w:tc>
          <w:tcPr>
            <w:tcW w:w="140" w:type="dxa"/>
            <w:vAlign w:val="bottom"/>
          </w:tcPr>
          <w:p>
            <w:pPr>
              <w:spacing w:after="0"/>
              <w:rPr>
                <w:sz w:val="17"/>
                <w:szCs w:val="17"/>
                <w:color w:val="auto"/>
              </w:rPr>
            </w:pPr>
          </w:p>
        </w:tc>
        <w:tc>
          <w:tcPr>
            <w:tcW w:w="12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03/14/2023</w:t>
            </w: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4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r:id="rId159">
              <w:r>
                <w:rPr>
                  <w:rFonts w:ascii="Times New Roman" w:cs="Times New Roman" w:eastAsia="Times New Roman" w:hAnsi="Times New Roman"/>
                  <w:sz w:val="18"/>
                  <w:szCs w:val="18"/>
                  <w:color w:val="0000EE"/>
                  <w:w w:val="99"/>
                </w:rPr>
                <w:t>as of September 24, 2020, between Hegan</w:t>
              </w:r>
            </w:hyperlink>
          </w:p>
        </w:tc>
        <w:tc>
          <w:tcPr>
            <w:tcW w:w="460" w:type="dxa"/>
            <w:vAlign w:val="bottom"/>
            <w:gridSpan w:val="14"/>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500" w:type="dxa"/>
            <w:vAlign w:val="bottom"/>
            <w:gridSpan w:val="32"/>
          </w:tcPr>
          <w:p>
            <w:pPr>
              <w:spacing w:after="0" w:line="196" w:lineRule="exact"/>
              <w:rPr>
                <w:rFonts w:ascii="Times New Roman" w:cs="Times New Roman" w:eastAsia="Times New Roman" w:hAnsi="Times New Roman"/>
                <w:sz w:val="18"/>
                <w:szCs w:val="18"/>
                <w:color w:val="0000EE"/>
              </w:rPr>
            </w:pPr>
            <w:hyperlink r:id="rId159">
              <w:r>
                <w:rPr>
                  <w:rFonts w:ascii="Times New Roman" w:cs="Times New Roman" w:eastAsia="Times New Roman" w:hAnsi="Times New Roman"/>
                  <w:sz w:val="18"/>
                  <w:szCs w:val="18"/>
                  <w:color w:val="0000EE"/>
                </w:rPr>
                <w:t>Lane Partnership and Lulu’s Fashion Lounge,</w:t>
              </w:r>
            </w:hyperlink>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3"/>
              </w:rPr>
            </w:pPr>
            <w:hyperlink r:id="rId159">
              <w:r>
                <w:rPr>
                  <w:rFonts w:ascii="Times New Roman" w:cs="Times New Roman" w:eastAsia="Times New Roman" w:hAnsi="Times New Roman"/>
                  <w:sz w:val="18"/>
                  <w:szCs w:val="18"/>
                  <w:color w:val="0000EE"/>
                  <w:w w:val="93"/>
                </w:rPr>
                <w:t>LLC</w:t>
              </w:r>
            </w:hyperlink>
          </w:p>
        </w:tc>
        <w:tc>
          <w:tcPr>
            <w:tcW w:w="2940" w:type="dxa"/>
            <w:vAlign w:val="bottom"/>
            <w:tcBorders>
              <w:top w:val="single" w:sz="8" w:color="0000EE"/>
            </w:tcBorders>
            <w:gridSpan w:val="25"/>
          </w:tcPr>
          <w:p>
            <w:pPr>
              <w:spacing w:after="0"/>
              <w:rPr>
                <w:sz w:val="17"/>
                <w:szCs w:val="17"/>
                <w:color w:val="auto"/>
              </w:rPr>
            </w:pPr>
          </w:p>
        </w:tc>
        <w:tc>
          <w:tcPr>
            <w:tcW w:w="220" w:type="dxa"/>
            <w:vAlign w:val="bottom"/>
            <w:gridSpan w:val="5"/>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10.30</w:t>
            </w:r>
          </w:p>
        </w:tc>
        <w:tc>
          <w:tcPr>
            <w:tcW w:w="160" w:type="dxa"/>
            <w:vAlign w:val="bottom"/>
          </w:tcPr>
          <w:p>
            <w:pPr>
              <w:spacing w:after="0"/>
              <w:rPr>
                <w:sz w:val="24"/>
                <w:szCs w:val="24"/>
                <w:color w:val="auto"/>
              </w:rPr>
            </w:pPr>
          </w:p>
        </w:tc>
        <w:tc>
          <w:tcPr>
            <w:tcW w:w="3500" w:type="dxa"/>
            <w:vAlign w:val="bottom"/>
            <w:gridSpan w:val="32"/>
          </w:tcPr>
          <w:p>
            <w:pPr>
              <w:spacing w:after="0"/>
              <w:rPr>
                <w:rFonts w:ascii="Times New Roman" w:cs="Times New Roman" w:eastAsia="Times New Roman" w:hAnsi="Times New Roman"/>
                <w:sz w:val="18"/>
                <w:szCs w:val="18"/>
                <w:color w:val="0000EE"/>
              </w:rPr>
            </w:pPr>
            <w:hyperlink r:id="rId160">
              <w:r>
                <w:rPr>
                  <w:rFonts w:ascii="Times New Roman" w:cs="Times New Roman" w:eastAsia="Times New Roman" w:hAnsi="Times New Roman"/>
                  <w:sz w:val="18"/>
                  <w:szCs w:val="18"/>
                  <w:color w:val="0000EE"/>
                </w:rPr>
                <w:t>Addendum to the Commercial Lease</w:t>
              </w:r>
            </w:hyperlink>
          </w:p>
        </w:tc>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10-K</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001-41059</w:t>
            </w:r>
          </w:p>
        </w:tc>
        <w:tc>
          <w:tcPr>
            <w:tcW w:w="160" w:type="dxa"/>
            <w:vAlign w:val="bottom"/>
          </w:tcPr>
          <w:p>
            <w:pPr>
              <w:spacing w:after="0"/>
              <w:rPr>
                <w:sz w:val="24"/>
                <w:szCs w:val="24"/>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10.30</w:t>
            </w:r>
          </w:p>
        </w:tc>
        <w:tc>
          <w:tcPr>
            <w:tcW w:w="14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03/14/2023</w:t>
            </w: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80" w:type="dxa"/>
            <w:vAlign w:val="bottom"/>
            <w:gridSpan w:val="6"/>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10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w w:val="99"/>
              </w:rPr>
            </w:pPr>
            <w:hyperlink r:id="rId160">
              <w:r>
                <w:rPr>
                  <w:rFonts w:ascii="Times New Roman" w:cs="Times New Roman" w:eastAsia="Times New Roman" w:hAnsi="Times New Roman"/>
                  <w:sz w:val="18"/>
                  <w:szCs w:val="18"/>
                  <w:color w:val="0000EE"/>
                  <w:w w:val="99"/>
                </w:rPr>
                <w:t>Agreement (Unit B), dated as of January 6,</w:t>
              </w:r>
            </w:hyperlink>
          </w:p>
        </w:tc>
        <w:tc>
          <w:tcPr>
            <w:tcW w:w="400" w:type="dxa"/>
            <w:vAlign w:val="bottom"/>
            <w:gridSpan w:val="11"/>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14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w w:val="99"/>
              </w:rPr>
            </w:pPr>
            <w:hyperlink r:id="rId160">
              <w:r>
                <w:rPr>
                  <w:rFonts w:ascii="Times New Roman" w:cs="Times New Roman" w:eastAsia="Times New Roman" w:hAnsi="Times New Roman"/>
                  <w:sz w:val="18"/>
                  <w:szCs w:val="18"/>
                  <w:color w:val="0000EE"/>
                  <w:w w:val="99"/>
                </w:rPr>
                <w:t>2020, between Hegan Lane Partnership and</w:t>
              </w:r>
            </w:hyperlink>
          </w:p>
        </w:tc>
        <w:tc>
          <w:tcPr>
            <w:tcW w:w="360" w:type="dxa"/>
            <w:vAlign w:val="bottom"/>
            <w:gridSpan w:val="9"/>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0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8"/>
              </w:rPr>
            </w:pPr>
            <w:hyperlink r:id="rId160">
              <w:r>
                <w:rPr>
                  <w:rFonts w:ascii="Times New Roman" w:cs="Times New Roman" w:eastAsia="Times New Roman" w:hAnsi="Times New Roman"/>
                  <w:sz w:val="18"/>
                  <w:szCs w:val="18"/>
                  <w:color w:val="0000EE"/>
                  <w:w w:val="98"/>
                </w:rPr>
                <w:t>Lulu’s Fashion Lounge, LLC</w:t>
              </w:r>
            </w:hyperlink>
          </w:p>
        </w:tc>
        <w:tc>
          <w:tcPr>
            <w:tcW w:w="1400" w:type="dxa"/>
            <w:vAlign w:val="bottom"/>
            <w:gridSpan w:val="24"/>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10.31</w:t>
            </w:r>
          </w:p>
        </w:tc>
        <w:tc>
          <w:tcPr>
            <w:tcW w:w="160" w:type="dxa"/>
            <w:vAlign w:val="bottom"/>
          </w:tcPr>
          <w:p>
            <w:pPr>
              <w:spacing w:after="0"/>
              <w:rPr>
                <w:sz w:val="17"/>
                <w:szCs w:val="17"/>
                <w:color w:val="auto"/>
              </w:rPr>
            </w:pPr>
          </w:p>
        </w:tc>
        <w:tc>
          <w:tcPr>
            <w:tcW w:w="3500" w:type="dxa"/>
            <w:vAlign w:val="bottom"/>
            <w:gridSpan w:val="32"/>
          </w:tcPr>
          <w:p>
            <w:pPr>
              <w:spacing w:after="0" w:line="196" w:lineRule="exact"/>
              <w:rPr>
                <w:rFonts w:ascii="Times New Roman" w:cs="Times New Roman" w:eastAsia="Times New Roman" w:hAnsi="Times New Roman"/>
                <w:sz w:val="18"/>
                <w:szCs w:val="18"/>
                <w:color w:val="0000EE"/>
              </w:rPr>
            </w:pPr>
            <w:hyperlink r:id="rId161">
              <w:r>
                <w:rPr>
                  <w:rFonts w:ascii="Times New Roman" w:cs="Times New Roman" w:eastAsia="Times New Roman" w:hAnsi="Times New Roman"/>
                  <w:sz w:val="18"/>
                  <w:szCs w:val="18"/>
                  <w:color w:val="0000EE"/>
                </w:rPr>
                <w:t>Extension to the Commercial Lease</w:t>
              </w:r>
            </w:hyperlink>
          </w:p>
        </w:tc>
        <w:tc>
          <w:tcPr>
            <w:tcW w:w="6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10-K</w:t>
            </w:r>
          </w:p>
        </w:tc>
        <w:tc>
          <w:tcPr>
            <w:tcW w:w="9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001-41059</w:t>
            </w:r>
          </w:p>
        </w:tc>
        <w:tc>
          <w:tcPr>
            <w:tcW w:w="160" w:type="dxa"/>
            <w:vAlign w:val="bottom"/>
          </w:tcPr>
          <w:p>
            <w:pPr>
              <w:spacing w:after="0"/>
              <w:rPr>
                <w:sz w:val="17"/>
                <w:szCs w:val="17"/>
                <w:color w:val="auto"/>
              </w:rPr>
            </w:pPr>
          </w:p>
        </w:tc>
        <w:tc>
          <w:tcPr>
            <w:tcW w:w="5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10.31</w:t>
            </w:r>
          </w:p>
        </w:tc>
        <w:tc>
          <w:tcPr>
            <w:tcW w:w="140" w:type="dxa"/>
            <w:vAlign w:val="bottom"/>
          </w:tcPr>
          <w:p>
            <w:pPr>
              <w:spacing w:after="0"/>
              <w:rPr>
                <w:sz w:val="17"/>
                <w:szCs w:val="17"/>
                <w:color w:val="auto"/>
              </w:rPr>
            </w:pPr>
          </w:p>
        </w:tc>
        <w:tc>
          <w:tcPr>
            <w:tcW w:w="12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03/14/2023</w:t>
            </w: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80" w:type="dxa"/>
            <w:vAlign w:val="bottom"/>
            <w:gridSpan w:val="6"/>
            <w:shd w:val="clear" w:color="auto" w:fill="0000EE"/>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0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8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9"/>
              </w:rPr>
            </w:pPr>
            <w:hyperlink r:id="rId161">
              <w:r>
                <w:rPr>
                  <w:rFonts w:ascii="Times New Roman" w:cs="Times New Roman" w:eastAsia="Times New Roman" w:hAnsi="Times New Roman"/>
                  <w:sz w:val="18"/>
                  <w:szCs w:val="18"/>
                  <w:color w:val="0000EE"/>
                  <w:w w:val="99"/>
                </w:rPr>
                <w:t>Agreement (Unit B, Unit C, Unit E, Unit F</w:t>
              </w:r>
            </w:hyperlink>
          </w:p>
        </w:tc>
        <w:tc>
          <w:tcPr>
            <w:tcW w:w="420" w:type="dxa"/>
            <w:vAlign w:val="bottom"/>
            <w:gridSpan w:val="12"/>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500" w:type="dxa"/>
            <w:vAlign w:val="bottom"/>
            <w:gridSpan w:val="32"/>
          </w:tcPr>
          <w:p>
            <w:pPr>
              <w:spacing w:after="0" w:line="196" w:lineRule="exact"/>
              <w:rPr>
                <w:rFonts w:ascii="Times New Roman" w:cs="Times New Roman" w:eastAsia="Times New Roman" w:hAnsi="Times New Roman"/>
                <w:sz w:val="18"/>
                <w:szCs w:val="18"/>
                <w:color w:val="0000EE"/>
              </w:rPr>
            </w:pPr>
            <w:hyperlink r:id="rId161">
              <w:r>
                <w:rPr>
                  <w:rFonts w:ascii="Times New Roman" w:cs="Times New Roman" w:eastAsia="Times New Roman" w:hAnsi="Times New Roman"/>
                  <w:sz w:val="18"/>
                  <w:szCs w:val="18"/>
                  <w:color w:val="0000EE"/>
                </w:rPr>
                <w:t>and Unit G), dated as of December 27, 2022,</w:t>
              </w:r>
            </w:hyperlink>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60" w:type="dxa"/>
            <w:vAlign w:val="bottom"/>
            <w:tcBorders>
              <w:top w:val="single" w:sz="8" w:color="0000EE"/>
            </w:tcBorders>
            <w:gridSpan w:val="26"/>
          </w:tcPr>
          <w:p>
            <w:pPr>
              <w:spacing w:after="0" w:line="196" w:lineRule="exact"/>
              <w:rPr>
                <w:rFonts w:ascii="Times New Roman" w:cs="Times New Roman" w:eastAsia="Times New Roman" w:hAnsi="Times New Roman"/>
                <w:sz w:val="18"/>
                <w:szCs w:val="18"/>
                <w:color w:val="0000EE"/>
              </w:rPr>
            </w:pPr>
            <w:hyperlink r:id="rId161">
              <w:r>
                <w:rPr>
                  <w:rFonts w:ascii="Times New Roman" w:cs="Times New Roman" w:eastAsia="Times New Roman" w:hAnsi="Times New Roman"/>
                  <w:sz w:val="18"/>
                  <w:szCs w:val="18"/>
                  <w:color w:val="0000EE"/>
                </w:rPr>
                <w:t>between Hegan Lane Partnership and Lulu’s</w:t>
              </w:r>
            </w:hyperlink>
          </w:p>
        </w:tc>
        <w:tc>
          <w:tcPr>
            <w:tcW w:w="240" w:type="dxa"/>
            <w:vAlign w:val="bottom"/>
            <w:gridSpan w:val="6"/>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180" w:type="dxa"/>
            <w:vAlign w:val="bottom"/>
            <w:tcBorders>
              <w:top w:val="single" w:sz="8" w:color="0000EE"/>
            </w:tcBorders>
            <w:gridSpan w:val="24"/>
          </w:tcPr>
          <w:p>
            <w:pPr>
              <w:spacing w:after="0" w:line="196" w:lineRule="exact"/>
              <w:rPr>
                <w:rFonts w:ascii="Times New Roman" w:cs="Times New Roman" w:eastAsia="Times New Roman" w:hAnsi="Times New Roman"/>
                <w:sz w:val="18"/>
                <w:szCs w:val="18"/>
                <w:color w:val="0000EE"/>
              </w:rPr>
            </w:pPr>
            <w:hyperlink r:id="rId161">
              <w:r>
                <w:rPr>
                  <w:rFonts w:ascii="Times New Roman" w:cs="Times New Roman" w:eastAsia="Times New Roman" w:hAnsi="Times New Roman"/>
                  <w:sz w:val="18"/>
                  <w:szCs w:val="18"/>
                  <w:color w:val="0000EE"/>
                </w:rPr>
                <w:t>Fashion Lounge, LLC</w:t>
              </w:r>
            </w:hyperlink>
          </w:p>
        </w:tc>
        <w:tc>
          <w:tcPr>
            <w:tcW w:w="320" w:type="dxa"/>
            <w:vAlign w:val="bottom"/>
            <w:gridSpan w:val="8"/>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80" w:type="dxa"/>
            <w:vAlign w:val="bottom"/>
            <w:gridSpan w:val="6"/>
            <w:shd w:val="clear" w:color="auto" w:fill="0000EE"/>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660" w:type="dxa"/>
            <w:vAlign w:val="bottom"/>
            <w:gridSpan w:val="10"/>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9"/>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10.32</w:t>
            </w:r>
          </w:p>
        </w:tc>
        <w:tc>
          <w:tcPr>
            <w:tcW w:w="160" w:type="dxa"/>
            <w:vAlign w:val="bottom"/>
          </w:tcPr>
          <w:p>
            <w:pPr>
              <w:spacing w:after="0"/>
              <w:rPr>
                <w:sz w:val="17"/>
                <w:szCs w:val="17"/>
                <w:color w:val="auto"/>
              </w:rPr>
            </w:pPr>
          </w:p>
        </w:tc>
        <w:tc>
          <w:tcPr>
            <w:tcW w:w="3500" w:type="dxa"/>
            <w:vAlign w:val="bottom"/>
            <w:gridSpan w:val="32"/>
          </w:tcPr>
          <w:p>
            <w:pPr>
              <w:spacing w:after="0" w:line="196" w:lineRule="exact"/>
              <w:rPr>
                <w:rFonts w:ascii="Times New Roman" w:cs="Times New Roman" w:eastAsia="Times New Roman" w:hAnsi="Times New Roman"/>
                <w:sz w:val="18"/>
                <w:szCs w:val="18"/>
                <w:color w:val="0000EE"/>
              </w:rPr>
            </w:pPr>
            <w:hyperlink r:id="rId162">
              <w:r>
                <w:rPr>
                  <w:rFonts w:ascii="Times New Roman" w:cs="Times New Roman" w:eastAsia="Times New Roman" w:hAnsi="Times New Roman"/>
                  <w:sz w:val="18"/>
                  <w:szCs w:val="18"/>
                  <w:color w:val="0000EE"/>
                </w:rPr>
                <w:t>Commercial Lease Agreement, dated as of</w:t>
              </w:r>
            </w:hyperlink>
          </w:p>
        </w:tc>
        <w:tc>
          <w:tcPr>
            <w:tcW w:w="6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10-Q</w:t>
            </w: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001-41059</w:t>
            </w:r>
          </w:p>
        </w:tc>
        <w:tc>
          <w:tcPr>
            <w:tcW w:w="160" w:type="dxa"/>
            <w:vAlign w:val="bottom"/>
          </w:tcPr>
          <w:p>
            <w:pPr>
              <w:spacing w:after="0"/>
              <w:rPr>
                <w:sz w:val="17"/>
                <w:szCs w:val="17"/>
                <w:color w:val="auto"/>
              </w:rPr>
            </w:pPr>
          </w:p>
        </w:tc>
        <w:tc>
          <w:tcPr>
            <w:tcW w:w="5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40" w:type="dxa"/>
            <w:vAlign w:val="bottom"/>
          </w:tcPr>
          <w:p>
            <w:pPr>
              <w:spacing w:after="0"/>
              <w:rPr>
                <w:sz w:val="17"/>
                <w:szCs w:val="17"/>
                <w:color w:val="auto"/>
              </w:rPr>
            </w:pPr>
          </w:p>
        </w:tc>
        <w:tc>
          <w:tcPr>
            <w:tcW w:w="12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08/08/2023</w:t>
            </w: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0" w:type="dxa"/>
            <w:vAlign w:val="bottom"/>
            <w:gridSpan w:val="9"/>
            <w:shd w:val="clear" w:color="auto" w:fill="0000EE"/>
          </w:tcPr>
          <w:p>
            <w:pPr>
              <w:spacing w:after="0" w:line="20" w:lineRule="exact"/>
              <w:rPr>
                <w:sz w:val="1"/>
                <w:szCs w:val="1"/>
                <w:color w:val="auto"/>
              </w:rPr>
            </w:pPr>
          </w:p>
        </w:tc>
        <w:tc>
          <w:tcPr>
            <w:tcW w:w="660" w:type="dxa"/>
            <w:vAlign w:val="bottom"/>
            <w:gridSpan w:val="10"/>
            <w:shd w:val="clear" w:color="auto" w:fill="0000EE"/>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9"/>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500" w:type="dxa"/>
            <w:vAlign w:val="bottom"/>
            <w:gridSpan w:val="32"/>
          </w:tcPr>
          <w:p>
            <w:pPr>
              <w:spacing w:after="0" w:line="196" w:lineRule="exact"/>
              <w:rPr>
                <w:rFonts w:ascii="Times New Roman" w:cs="Times New Roman" w:eastAsia="Times New Roman" w:hAnsi="Times New Roman"/>
                <w:sz w:val="18"/>
                <w:szCs w:val="18"/>
                <w:color w:val="0000EE"/>
              </w:rPr>
            </w:pPr>
            <w:hyperlink r:id="rId162">
              <w:r>
                <w:rPr>
                  <w:rFonts w:ascii="Times New Roman" w:cs="Times New Roman" w:eastAsia="Times New Roman" w:hAnsi="Times New Roman"/>
                  <w:sz w:val="18"/>
                  <w:szCs w:val="18"/>
                  <w:color w:val="0000EE"/>
                </w:rPr>
                <w:t>June 29, 2023, between 8303-8315 Melrose</w:t>
              </w:r>
            </w:hyperlink>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140" w:type="dxa"/>
            <w:vAlign w:val="bottom"/>
            <w:tcBorders>
              <w:top w:val="single" w:sz="8" w:color="0000EE"/>
            </w:tcBorders>
            <w:gridSpan w:val="23"/>
          </w:tcPr>
          <w:p>
            <w:pPr>
              <w:spacing w:after="0" w:line="196" w:lineRule="exact"/>
              <w:rPr>
                <w:rFonts w:ascii="Times New Roman" w:cs="Times New Roman" w:eastAsia="Times New Roman" w:hAnsi="Times New Roman"/>
                <w:sz w:val="18"/>
                <w:szCs w:val="18"/>
                <w:color w:val="0000EE"/>
                <w:w w:val="99"/>
              </w:rPr>
            </w:pPr>
            <w:hyperlink r:id="rId162">
              <w:r>
                <w:rPr>
                  <w:rFonts w:ascii="Times New Roman" w:cs="Times New Roman" w:eastAsia="Times New Roman" w:hAnsi="Times New Roman"/>
                  <w:sz w:val="18"/>
                  <w:szCs w:val="18"/>
                  <w:color w:val="0000EE"/>
                  <w:w w:val="99"/>
                </w:rPr>
                <w:t>Ave, LLC, Melrose Investment Group LLC</w:t>
              </w:r>
            </w:hyperlink>
          </w:p>
        </w:tc>
        <w:tc>
          <w:tcPr>
            <w:tcW w:w="360" w:type="dxa"/>
            <w:vAlign w:val="bottom"/>
            <w:gridSpan w:val="9"/>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0" w:type="dxa"/>
            <w:vAlign w:val="bottom"/>
            <w:tcBorders>
              <w:top w:val="single" w:sz="8" w:color="0000EE"/>
              <w:bottom w:val="single" w:sz="8" w:color="0000EE"/>
            </w:tcBorders>
            <w:gridSpan w:val="9"/>
          </w:tcPr>
          <w:p>
            <w:pPr>
              <w:spacing w:after="0" w:line="196" w:lineRule="exact"/>
              <w:rPr>
                <w:rFonts w:ascii="Times New Roman" w:cs="Times New Roman" w:eastAsia="Times New Roman" w:hAnsi="Times New Roman"/>
                <w:sz w:val="18"/>
                <w:szCs w:val="18"/>
                <w:color w:val="0000EE"/>
                <w:w w:val="98"/>
              </w:rPr>
            </w:pPr>
            <w:hyperlink r:id="rId162">
              <w:r>
                <w:rPr>
                  <w:rFonts w:ascii="Times New Roman" w:cs="Times New Roman" w:eastAsia="Times New Roman" w:hAnsi="Times New Roman"/>
                  <w:sz w:val="18"/>
                  <w:szCs w:val="18"/>
                  <w:color w:val="0000EE"/>
                  <w:w w:val="98"/>
                </w:rPr>
                <w:t>and Lulu’s Fashion Lounge, LLC</w:t>
              </w:r>
            </w:hyperlink>
          </w:p>
        </w:tc>
        <w:tc>
          <w:tcPr>
            <w:tcW w:w="720" w:type="dxa"/>
            <w:vAlign w:val="bottom"/>
            <w:tcBorders>
              <w:top w:val="single" w:sz="8" w:color="0000EE"/>
            </w:tcBorders>
            <w:gridSpan w:val="13"/>
          </w:tcPr>
          <w:p>
            <w:pPr>
              <w:spacing w:after="0"/>
              <w:rPr>
                <w:sz w:val="17"/>
                <w:szCs w:val="17"/>
                <w:color w:val="auto"/>
              </w:rPr>
            </w:pPr>
          </w:p>
        </w:tc>
        <w:tc>
          <w:tcPr>
            <w:tcW w:w="380" w:type="dxa"/>
            <w:vAlign w:val="bottom"/>
            <w:gridSpan w:val="10"/>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4" w:name="page105"/>
    <w:bookmarkEnd w:id="10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8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960" w:type="dxa"/>
            <w:vAlign w:val="bottom"/>
            <w:tcBorders>
              <w:bottom w:val="single" w:sz="8" w:color="auto"/>
            </w:tcBorders>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60" w:type="dxa"/>
            <w:vAlign w:val="bottom"/>
          </w:tcPr>
          <w:p>
            <w:pPr>
              <w:spacing w:after="0"/>
              <w:rPr>
                <w:sz w:val="15"/>
                <w:szCs w:val="15"/>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Filed/</w:t>
            </w:r>
          </w:p>
        </w:tc>
        <w:tc>
          <w:tcPr>
            <w:tcW w:w="0" w:type="dxa"/>
            <w:vAlign w:val="bottom"/>
          </w:tcPr>
          <w:p>
            <w:pPr>
              <w:spacing w:after="0"/>
              <w:rPr>
                <w:sz w:val="1"/>
                <w:szCs w:val="1"/>
                <w:color w:val="auto"/>
              </w:rPr>
            </w:pPr>
          </w:p>
        </w:tc>
      </w:tr>
      <w:tr>
        <w:trPr>
          <w:trHeight w:val="187"/>
        </w:trPr>
        <w:tc>
          <w:tcPr>
            <w:tcW w:w="800" w:type="dxa"/>
            <w:vAlign w:val="bottom"/>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Exhibit</w:t>
            </w: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Filing</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Furnished</w:t>
            </w:r>
          </w:p>
        </w:tc>
        <w:tc>
          <w:tcPr>
            <w:tcW w:w="0" w:type="dxa"/>
            <w:vAlign w:val="bottom"/>
          </w:tcPr>
          <w:p>
            <w:pPr>
              <w:spacing w:after="0"/>
              <w:rPr>
                <w:sz w:val="1"/>
                <w:szCs w:val="1"/>
                <w:color w:val="auto"/>
              </w:rPr>
            </w:pPr>
          </w:p>
        </w:tc>
      </w:tr>
      <w:tr>
        <w:trPr>
          <w:trHeight w:val="65"/>
        </w:trPr>
        <w:tc>
          <w:tcPr>
            <w:tcW w:w="8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60" w:type="dxa"/>
            <w:vAlign w:val="bottom"/>
            <w:vMerge w:val="restart"/>
          </w:tcPr>
          <w:p>
            <w:pPr>
              <w:spacing w:after="0"/>
              <w:rPr>
                <w:sz w:val="5"/>
                <w:szCs w:val="5"/>
                <w:color w:val="auto"/>
              </w:rPr>
            </w:pPr>
          </w:p>
        </w:tc>
        <w:tc>
          <w:tcPr>
            <w:tcW w:w="840" w:type="dxa"/>
            <w:vAlign w:val="bottom"/>
          </w:tcPr>
          <w:p>
            <w:pPr>
              <w:spacing w:after="0"/>
              <w:rPr>
                <w:sz w:val="5"/>
                <w:szCs w:val="5"/>
                <w:color w:val="auto"/>
              </w:rPr>
            </w:pPr>
          </w:p>
        </w:tc>
        <w:tc>
          <w:tcPr>
            <w:tcW w:w="2520" w:type="dxa"/>
            <w:vAlign w:val="bottom"/>
            <w:gridSpan w:val="23"/>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Exhibit Description</w:t>
            </w:r>
          </w:p>
        </w:tc>
        <w:tc>
          <w:tcPr>
            <w:tcW w:w="140" w:type="dxa"/>
            <w:vAlign w:val="bottom"/>
            <w:vMerge w:val="restart"/>
          </w:tcPr>
          <w:p>
            <w:pPr>
              <w:spacing w:after="0"/>
              <w:rPr>
                <w:sz w:val="5"/>
                <w:szCs w:val="5"/>
                <w:color w:val="auto"/>
              </w:rPr>
            </w:pPr>
          </w:p>
        </w:tc>
        <w:tc>
          <w:tcPr>
            <w:tcW w:w="54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40" w:type="dxa"/>
            <w:vAlign w:val="bottom"/>
            <w:vMerge w:val="restart"/>
          </w:tcPr>
          <w:p>
            <w:pPr>
              <w:spacing w:after="0"/>
              <w:rPr>
                <w:sz w:val="5"/>
                <w:szCs w:val="5"/>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60" w:type="dxa"/>
            <w:vAlign w:val="bottom"/>
            <w:vMerge w:val="restart"/>
          </w:tcPr>
          <w:p>
            <w:pPr>
              <w:spacing w:after="0"/>
              <w:rPr>
                <w:sz w:val="5"/>
                <w:szCs w:val="5"/>
                <w:color w:val="auto"/>
              </w:rPr>
            </w:pP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0" w:type="dxa"/>
            <w:vAlign w:val="bottom"/>
            <w:vMerge w:val="restart"/>
          </w:tcPr>
          <w:p>
            <w:pPr>
              <w:spacing w:after="0"/>
              <w:rPr>
                <w:sz w:val="5"/>
                <w:szCs w:val="5"/>
                <w:color w:val="auto"/>
              </w:rPr>
            </w:pPr>
          </w:p>
        </w:tc>
        <w:tc>
          <w:tcPr>
            <w:tcW w:w="136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800" w:type="dxa"/>
            <w:vAlign w:val="bottom"/>
            <w:tcBorders>
              <w:bottom w:val="single" w:sz="8" w:color="auto"/>
            </w:tcBorders>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gridSpan w:val="23"/>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540" w:type="dxa"/>
            <w:vAlign w:val="bottom"/>
            <w:tcBorders>
              <w:bottom w:val="single" w:sz="8" w:color="auto"/>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520" w:type="dxa"/>
            <w:vAlign w:val="bottom"/>
            <w:tcBorders>
              <w:bottom w:val="single" w:sz="8" w:color="auto"/>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160" w:type="dxa"/>
            <w:vAlign w:val="bottom"/>
          </w:tcPr>
          <w:p>
            <w:pPr>
              <w:spacing w:after="0"/>
              <w:rPr>
                <w:sz w:val="15"/>
                <w:szCs w:val="15"/>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Herewith</w:t>
            </w:r>
          </w:p>
        </w:tc>
        <w:tc>
          <w:tcPr>
            <w:tcW w:w="0" w:type="dxa"/>
            <w:vAlign w:val="bottom"/>
          </w:tcPr>
          <w:p>
            <w:pPr>
              <w:spacing w:after="0"/>
              <w:rPr>
                <w:sz w:val="1"/>
                <w:szCs w:val="1"/>
                <w:color w:val="auto"/>
              </w:rPr>
            </w:pPr>
          </w:p>
        </w:tc>
      </w:tr>
      <w:tr>
        <w:trPr>
          <w:trHeight w:val="385"/>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10.33</w:t>
            </w:r>
          </w:p>
        </w:tc>
        <w:tc>
          <w:tcPr>
            <w:tcW w:w="160" w:type="dxa"/>
            <w:vAlign w:val="bottom"/>
          </w:tcPr>
          <w:p>
            <w:pPr>
              <w:spacing w:after="0"/>
              <w:rPr>
                <w:sz w:val="24"/>
                <w:szCs w:val="24"/>
                <w:color w:val="auto"/>
              </w:rPr>
            </w:pPr>
          </w:p>
        </w:tc>
        <w:tc>
          <w:tcPr>
            <w:tcW w:w="278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r:id="rId164">
              <w:r>
                <w:rPr>
                  <w:rFonts w:ascii="Times New Roman" w:cs="Times New Roman" w:eastAsia="Times New Roman" w:hAnsi="Times New Roman"/>
                  <w:sz w:val="18"/>
                  <w:szCs w:val="18"/>
                  <w:color w:val="0000EE"/>
                  <w:w w:val="99"/>
                </w:rPr>
                <w:t>Amendment to Lulu's Fashion Lounge</w:t>
              </w:r>
            </w:hyperlink>
          </w:p>
        </w:tc>
        <w:tc>
          <w:tcPr>
            <w:tcW w:w="720" w:type="dxa"/>
            <w:vAlign w:val="bottom"/>
            <w:gridSpan w:val="12"/>
          </w:tcPr>
          <w:p>
            <w:pPr>
              <w:spacing w:after="0"/>
              <w:rPr>
                <w:sz w:val="24"/>
                <w:szCs w:val="24"/>
                <w:color w:val="auto"/>
              </w:rPr>
            </w:pPr>
          </w:p>
        </w:tc>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8-K</w:t>
            </w: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001-41059</w:t>
            </w:r>
          </w:p>
        </w:tc>
        <w:tc>
          <w:tcPr>
            <w:tcW w:w="160" w:type="dxa"/>
            <w:vAlign w:val="bottom"/>
          </w:tcPr>
          <w:p>
            <w:pPr>
              <w:spacing w:after="0"/>
              <w:rPr>
                <w:sz w:val="24"/>
                <w:szCs w:val="24"/>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4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06/14/2023</w:t>
            </w: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2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164">
              <w:r>
                <w:rPr>
                  <w:rFonts w:ascii="Times New Roman" w:cs="Times New Roman" w:eastAsia="Times New Roman" w:hAnsi="Times New Roman"/>
                  <w:sz w:val="18"/>
                  <w:szCs w:val="18"/>
                  <w:color w:val="0000EE"/>
                  <w:w w:val="99"/>
                </w:rPr>
                <w:t>Holdings, Inc. Omnibus Equity Plan</w:t>
              </w:r>
            </w:hyperlink>
          </w:p>
        </w:tc>
        <w:tc>
          <w:tcPr>
            <w:tcW w:w="880" w:type="dxa"/>
            <w:vAlign w:val="bottom"/>
            <w:gridSpan w:val="16"/>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10.34</w:t>
            </w:r>
          </w:p>
        </w:tc>
        <w:tc>
          <w:tcPr>
            <w:tcW w:w="160" w:type="dxa"/>
            <w:vAlign w:val="bottom"/>
          </w:tcPr>
          <w:p>
            <w:pPr>
              <w:spacing w:after="0"/>
              <w:rPr>
                <w:sz w:val="17"/>
                <w:szCs w:val="17"/>
                <w:color w:val="auto"/>
              </w:rPr>
            </w:pPr>
          </w:p>
        </w:tc>
        <w:tc>
          <w:tcPr>
            <w:tcW w:w="278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165">
              <w:r>
                <w:rPr>
                  <w:rFonts w:ascii="Times New Roman" w:cs="Times New Roman" w:eastAsia="Times New Roman" w:hAnsi="Times New Roman"/>
                  <w:sz w:val="18"/>
                  <w:szCs w:val="18"/>
                  <w:color w:val="0000EE"/>
                  <w:w w:val="99"/>
                </w:rPr>
                <w:t>Amendment to Lulu's Fashion Lounge</w:t>
              </w:r>
            </w:hyperlink>
          </w:p>
        </w:tc>
        <w:tc>
          <w:tcPr>
            <w:tcW w:w="720" w:type="dxa"/>
            <w:vAlign w:val="bottom"/>
            <w:gridSpan w:val="12"/>
          </w:tcPr>
          <w:p>
            <w:pPr>
              <w:spacing w:after="0"/>
              <w:rPr>
                <w:sz w:val="17"/>
                <w:szCs w:val="17"/>
                <w:color w:val="auto"/>
              </w:rPr>
            </w:pPr>
          </w:p>
        </w:tc>
        <w:tc>
          <w:tcPr>
            <w:tcW w:w="6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10-Q</w:t>
            </w: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001-41059</w:t>
            </w:r>
          </w:p>
        </w:tc>
        <w:tc>
          <w:tcPr>
            <w:tcW w:w="160" w:type="dxa"/>
            <w:vAlign w:val="bottom"/>
          </w:tcPr>
          <w:p>
            <w:pPr>
              <w:spacing w:after="0"/>
              <w:rPr>
                <w:sz w:val="17"/>
                <w:szCs w:val="17"/>
                <w:color w:val="auto"/>
              </w:rPr>
            </w:pPr>
          </w:p>
        </w:tc>
        <w:tc>
          <w:tcPr>
            <w:tcW w:w="5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40" w:type="dxa"/>
            <w:vAlign w:val="bottom"/>
          </w:tcPr>
          <w:p>
            <w:pPr>
              <w:spacing w:after="0"/>
              <w:rPr>
                <w:sz w:val="17"/>
                <w:szCs w:val="17"/>
                <w:color w:val="auto"/>
              </w:rPr>
            </w:pPr>
          </w:p>
        </w:tc>
        <w:tc>
          <w:tcPr>
            <w:tcW w:w="12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11/08/2023</w:t>
            </w: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500" w:type="dxa"/>
            <w:vAlign w:val="bottom"/>
            <w:gridSpan w:val="25"/>
          </w:tcPr>
          <w:p>
            <w:pPr>
              <w:spacing w:after="0" w:line="196" w:lineRule="exact"/>
              <w:rPr>
                <w:rFonts w:ascii="Times New Roman" w:cs="Times New Roman" w:eastAsia="Times New Roman" w:hAnsi="Times New Roman"/>
                <w:sz w:val="18"/>
                <w:szCs w:val="18"/>
                <w:color w:val="0000EE"/>
              </w:rPr>
            </w:pPr>
            <w:hyperlink r:id="rId165">
              <w:r>
                <w:rPr>
                  <w:rFonts w:ascii="Times New Roman" w:cs="Times New Roman" w:eastAsia="Times New Roman" w:hAnsi="Times New Roman"/>
                  <w:sz w:val="18"/>
                  <w:szCs w:val="18"/>
                  <w:color w:val="0000EE"/>
                </w:rPr>
                <w:t>Holdings, Inc. Non-Employee Director</w:t>
              </w:r>
            </w:hyperlink>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0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8"/>
              </w:rPr>
            </w:pPr>
            <w:hyperlink r:id="rId165">
              <w:r>
                <w:rPr>
                  <w:rFonts w:ascii="Times New Roman" w:cs="Times New Roman" w:eastAsia="Times New Roman" w:hAnsi="Times New Roman"/>
                  <w:sz w:val="18"/>
                  <w:szCs w:val="18"/>
                  <w:color w:val="0000EE"/>
                  <w:w w:val="98"/>
                </w:rPr>
                <w:t>Compensation Program</w:t>
              </w:r>
            </w:hyperlink>
          </w:p>
        </w:tc>
        <w:tc>
          <w:tcPr>
            <w:tcW w:w="1100" w:type="dxa"/>
            <w:vAlign w:val="bottom"/>
            <w:tcBorders>
              <w:top w:val="single" w:sz="8" w:color="0000EE"/>
            </w:tcBorders>
            <w:gridSpan w:val="11"/>
          </w:tcPr>
          <w:p>
            <w:pPr>
              <w:spacing w:after="0"/>
              <w:rPr>
                <w:sz w:val="17"/>
                <w:szCs w:val="17"/>
                <w:color w:val="auto"/>
              </w:rPr>
            </w:pPr>
          </w:p>
        </w:tc>
        <w:tc>
          <w:tcPr>
            <w:tcW w:w="700" w:type="dxa"/>
            <w:vAlign w:val="bottom"/>
            <w:gridSpan w:val="11"/>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10.35</w:t>
            </w:r>
          </w:p>
        </w:tc>
        <w:tc>
          <w:tcPr>
            <w:tcW w:w="160" w:type="dxa"/>
            <w:vAlign w:val="bottom"/>
          </w:tcPr>
          <w:p>
            <w:pPr>
              <w:spacing w:after="0"/>
              <w:rPr>
                <w:sz w:val="17"/>
                <w:szCs w:val="17"/>
                <w:color w:val="auto"/>
              </w:rPr>
            </w:pPr>
          </w:p>
        </w:tc>
        <w:tc>
          <w:tcPr>
            <w:tcW w:w="262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166">
              <w:r>
                <w:rPr>
                  <w:rFonts w:ascii="Times New Roman" w:cs="Times New Roman" w:eastAsia="Times New Roman" w:hAnsi="Times New Roman"/>
                  <w:sz w:val="18"/>
                  <w:szCs w:val="18"/>
                  <w:color w:val="0000EE"/>
                  <w:w w:val="99"/>
                </w:rPr>
                <w:t>Second Amendment to Employment</w:t>
              </w:r>
            </w:hyperlink>
          </w:p>
        </w:tc>
        <w:tc>
          <w:tcPr>
            <w:tcW w:w="880" w:type="dxa"/>
            <w:vAlign w:val="bottom"/>
            <w:gridSpan w:val="16"/>
          </w:tcPr>
          <w:p>
            <w:pPr>
              <w:spacing w:after="0"/>
              <w:rPr>
                <w:sz w:val="17"/>
                <w:szCs w:val="17"/>
                <w:color w:val="auto"/>
              </w:rPr>
            </w:pPr>
          </w:p>
        </w:tc>
        <w:tc>
          <w:tcPr>
            <w:tcW w:w="6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8-K</w:t>
            </w: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001-41059</w:t>
            </w:r>
          </w:p>
        </w:tc>
        <w:tc>
          <w:tcPr>
            <w:tcW w:w="160" w:type="dxa"/>
            <w:vAlign w:val="bottom"/>
          </w:tcPr>
          <w:p>
            <w:pPr>
              <w:spacing w:after="0"/>
              <w:rPr>
                <w:sz w:val="17"/>
                <w:szCs w:val="17"/>
                <w:color w:val="auto"/>
              </w:rPr>
            </w:pPr>
          </w:p>
        </w:tc>
        <w:tc>
          <w:tcPr>
            <w:tcW w:w="5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40" w:type="dxa"/>
            <w:vAlign w:val="bottom"/>
          </w:tcPr>
          <w:p>
            <w:pPr>
              <w:spacing w:after="0"/>
              <w:rPr>
                <w:sz w:val="17"/>
                <w:szCs w:val="17"/>
                <w:color w:val="auto"/>
              </w:rPr>
            </w:pPr>
          </w:p>
        </w:tc>
        <w:tc>
          <w:tcPr>
            <w:tcW w:w="12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01/10/2024</w:t>
            </w: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90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166">
              <w:r>
                <w:rPr>
                  <w:rFonts w:ascii="Times New Roman" w:cs="Times New Roman" w:eastAsia="Times New Roman" w:hAnsi="Times New Roman"/>
                  <w:sz w:val="18"/>
                  <w:szCs w:val="18"/>
                  <w:color w:val="0000EE"/>
                  <w:w w:val="99"/>
                </w:rPr>
                <w:t>Agreement, dated as of January 9, 2024,</w:t>
              </w:r>
            </w:hyperlink>
          </w:p>
        </w:tc>
        <w:tc>
          <w:tcPr>
            <w:tcW w:w="600" w:type="dxa"/>
            <w:vAlign w:val="bottom"/>
            <w:gridSpan w:val="8"/>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30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w w:val="99"/>
              </w:rPr>
            </w:pPr>
            <w:hyperlink r:id="rId166">
              <w:r>
                <w:rPr>
                  <w:rFonts w:ascii="Times New Roman" w:cs="Times New Roman" w:eastAsia="Times New Roman" w:hAnsi="Times New Roman"/>
                  <w:sz w:val="18"/>
                  <w:szCs w:val="18"/>
                  <w:color w:val="0000EE"/>
                  <w:w w:val="99"/>
                </w:rPr>
                <w:t>among Lulu's Fashion Lounge Holdings, Inc.,</w:t>
              </w:r>
            </w:hyperlink>
          </w:p>
        </w:tc>
        <w:tc>
          <w:tcPr>
            <w:tcW w:w="200" w:type="dxa"/>
            <w:vAlign w:val="bottom"/>
            <w:gridSpan w:val="3"/>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18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w w:val="98"/>
              </w:rPr>
            </w:pPr>
            <w:hyperlink r:id="rId166">
              <w:r>
                <w:rPr>
                  <w:rFonts w:ascii="Times New Roman" w:cs="Times New Roman" w:eastAsia="Times New Roman" w:hAnsi="Times New Roman"/>
                  <w:sz w:val="18"/>
                  <w:szCs w:val="18"/>
                  <w:color w:val="0000EE"/>
                  <w:w w:val="98"/>
                </w:rPr>
                <w:t>Lulu's Fashion Lounge, LLC and Mark Vos.</w:t>
              </w:r>
            </w:hyperlink>
          </w:p>
        </w:tc>
        <w:tc>
          <w:tcPr>
            <w:tcW w:w="320" w:type="dxa"/>
            <w:vAlign w:val="bottom"/>
            <w:gridSpan w:val="4"/>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10.36</w:t>
            </w:r>
          </w:p>
        </w:tc>
        <w:tc>
          <w:tcPr>
            <w:tcW w:w="160" w:type="dxa"/>
            <w:vAlign w:val="bottom"/>
          </w:tcPr>
          <w:p>
            <w:pPr>
              <w:spacing w:after="0"/>
              <w:rPr>
                <w:sz w:val="17"/>
                <w:szCs w:val="17"/>
                <w:color w:val="auto"/>
              </w:rPr>
            </w:pPr>
          </w:p>
        </w:tc>
        <w:tc>
          <w:tcPr>
            <w:tcW w:w="334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w w:val="98"/>
              </w:rPr>
            </w:pPr>
            <w:hyperlink r:id="rId167">
              <w:r>
                <w:rPr>
                  <w:rFonts w:ascii="Times New Roman" w:cs="Times New Roman" w:eastAsia="Times New Roman" w:hAnsi="Times New Roman"/>
                  <w:sz w:val="18"/>
                  <w:szCs w:val="18"/>
                  <w:color w:val="0000EE"/>
                  <w:w w:val="98"/>
                </w:rPr>
                <w:t>Form of Performance Stock Unit Award Grant</w:t>
              </w:r>
            </w:hyperlink>
          </w:p>
        </w:tc>
        <w:tc>
          <w:tcPr>
            <w:tcW w:w="160" w:type="dxa"/>
            <w:vAlign w:val="bottom"/>
            <w:gridSpan w:val="2"/>
          </w:tcPr>
          <w:p>
            <w:pPr>
              <w:spacing w:after="0"/>
              <w:rPr>
                <w:sz w:val="17"/>
                <w:szCs w:val="17"/>
                <w:color w:val="auto"/>
              </w:rPr>
            </w:pPr>
          </w:p>
        </w:tc>
        <w:tc>
          <w:tcPr>
            <w:tcW w:w="6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8-K</w:t>
            </w: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001-41059</w:t>
            </w:r>
          </w:p>
        </w:tc>
        <w:tc>
          <w:tcPr>
            <w:tcW w:w="160" w:type="dxa"/>
            <w:vAlign w:val="bottom"/>
          </w:tcPr>
          <w:p>
            <w:pPr>
              <w:spacing w:after="0"/>
              <w:rPr>
                <w:sz w:val="17"/>
                <w:szCs w:val="17"/>
                <w:color w:val="auto"/>
              </w:rPr>
            </w:pPr>
          </w:p>
        </w:tc>
        <w:tc>
          <w:tcPr>
            <w:tcW w:w="5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140" w:type="dxa"/>
            <w:vAlign w:val="bottom"/>
          </w:tcPr>
          <w:p>
            <w:pPr>
              <w:spacing w:after="0"/>
              <w:rPr>
                <w:sz w:val="17"/>
                <w:szCs w:val="17"/>
                <w:color w:val="auto"/>
              </w:rPr>
            </w:pPr>
          </w:p>
        </w:tc>
        <w:tc>
          <w:tcPr>
            <w:tcW w:w="12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01/10/2024</w:t>
            </w: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500" w:type="dxa"/>
            <w:vAlign w:val="bottom"/>
            <w:gridSpan w:val="25"/>
          </w:tcPr>
          <w:p>
            <w:pPr>
              <w:spacing w:after="0" w:line="196" w:lineRule="exact"/>
              <w:rPr>
                <w:rFonts w:ascii="Times New Roman" w:cs="Times New Roman" w:eastAsia="Times New Roman" w:hAnsi="Times New Roman"/>
                <w:sz w:val="18"/>
                <w:szCs w:val="18"/>
                <w:color w:val="0000EE"/>
              </w:rPr>
            </w:pPr>
            <w:hyperlink r:id="rId167">
              <w:r>
                <w:rPr>
                  <w:rFonts w:ascii="Times New Roman" w:cs="Times New Roman" w:eastAsia="Times New Roman" w:hAnsi="Times New Roman"/>
                  <w:sz w:val="18"/>
                  <w:szCs w:val="18"/>
                  <w:color w:val="0000EE"/>
                </w:rPr>
                <w:t>Notice and Performance Stock Unit Award</w:t>
              </w:r>
            </w:hyperlink>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7"/>
              </w:rPr>
            </w:pPr>
            <w:hyperlink r:id="rId167">
              <w:r>
                <w:rPr>
                  <w:rFonts w:ascii="Times New Roman" w:cs="Times New Roman" w:eastAsia="Times New Roman" w:hAnsi="Times New Roman"/>
                  <w:sz w:val="18"/>
                  <w:szCs w:val="18"/>
                  <w:color w:val="0000EE"/>
                  <w:w w:val="97"/>
                </w:rPr>
                <w:t>Agreement.</w:t>
              </w:r>
            </w:hyperlink>
          </w:p>
        </w:tc>
        <w:tc>
          <w:tcPr>
            <w:tcW w:w="2240" w:type="dxa"/>
            <w:vAlign w:val="bottom"/>
            <w:tcBorders>
              <w:top w:val="single" w:sz="8" w:color="0000EE"/>
            </w:tcBorders>
            <w:gridSpan w:val="18"/>
          </w:tcPr>
          <w:p>
            <w:pPr>
              <w:spacing w:after="0"/>
              <w:rPr>
                <w:sz w:val="17"/>
                <w:szCs w:val="17"/>
                <w:color w:val="auto"/>
              </w:rPr>
            </w:pPr>
          </w:p>
        </w:tc>
        <w:tc>
          <w:tcPr>
            <w:tcW w:w="420" w:type="dxa"/>
            <w:vAlign w:val="bottom"/>
            <w:gridSpan w:val="6"/>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10.37</w:t>
            </w:r>
          </w:p>
        </w:tc>
        <w:tc>
          <w:tcPr>
            <w:tcW w:w="160" w:type="dxa"/>
            <w:vAlign w:val="bottom"/>
          </w:tcPr>
          <w:p>
            <w:pPr>
              <w:spacing w:after="0"/>
              <w:rPr>
                <w:sz w:val="17"/>
                <w:szCs w:val="17"/>
                <w:color w:val="auto"/>
              </w:rPr>
            </w:pPr>
          </w:p>
        </w:tc>
        <w:tc>
          <w:tcPr>
            <w:tcW w:w="264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9"/>
              </w:rPr>
              <w:t>Employment Agreement, dated as of</w:t>
            </w:r>
          </w:p>
        </w:tc>
        <w:tc>
          <w:tcPr>
            <w:tcW w:w="860" w:type="dxa"/>
            <w:vAlign w:val="bottom"/>
            <w:gridSpan w:val="15"/>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100" w:type="dxa"/>
            <w:vAlign w:val="bottom"/>
            <w:tcBorders>
              <w:bottom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w w:val="99"/>
              </w:rPr>
              <w:t>December 21, 2023, among Lulu's Fashion</w:t>
            </w:r>
          </w:p>
        </w:tc>
        <w:tc>
          <w:tcPr>
            <w:tcW w:w="400" w:type="dxa"/>
            <w:vAlign w:val="bottom"/>
            <w:gridSpan w:val="5"/>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50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Lounge Holdings, Inc., Lulu's Fashion</w:t>
            </w: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760" w:type="dxa"/>
            <w:vAlign w:val="bottom"/>
            <w:tcBorders>
              <w:top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Lounge, LLC and Laura Deady</w:t>
            </w:r>
            <w:r>
              <w:rPr>
                <w:rFonts w:ascii="Times New Roman" w:cs="Times New Roman" w:eastAsia="Times New Roman" w:hAnsi="Times New Roman"/>
                <w:sz w:val="18"/>
                <w:szCs w:val="18"/>
                <w:color w:val="000000"/>
              </w:rPr>
              <w:t>.</w:t>
            </w:r>
          </w:p>
        </w:tc>
        <w:tc>
          <w:tcPr>
            <w:tcW w:w="740" w:type="dxa"/>
            <w:vAlign w:val="bottom"/>
            <w:gridSpan w:val="13"/>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10.38</w:t>
            </w:r>
          </w:p>
        </w:tc>
        <w:tc>
          <w:tcPr>
            <w:tcW w:w="160" w:type="dxa"/>
            <w:vAlign w:val="bottom"/>
          </w:tcPr>
          <w:p>
            <w:pPr>
              <w:spacing w:after="0"/>
              <w:rPr>
                <w:sz w:val="17"/>
                <w:szCs w:val="17"/>
                <w:color w:val="auto"/>
              </w:rPr>
            </w:pPr>
          </w:p>
        </w:tc>
        <w:tc>
          <w:tcPr>
            <w:tcW w:w="350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Second Amendment to Lulu's Fashion Lounge</w:t>
            </w: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340" w:type="dxa"/>
            <w:vAlign w:val="bottom"/>
            <w:tcBorders>
              <w:top w:val="single" w:sz="8" w:color="0000EE"/>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Holdings, Inc. Non-Employee Director</w:t>
            </w:r>
          </w:p>
        </w:tc>
        <w:tc>
          <w:tcPr>
            <w:tcW w:w="160" w:type="dxa"/>
            <w:vAlign w:val="bottom"/>
            <w:gridSpan w:val="2"/>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0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8"/>
              </w:rPr>
              <w:t>Compensation Program</w:t>
            </w:r>
          </w:p>
        </w:tc>
        <w:tc>
          <w:tcPr>
            <w:tcW w:w="1100" w:type="dxa"/>
            <w:vAlign w:val="bottom"/>
            <w:tcBorders>
              <w:top w:val="single" w:sz="8" w:color="0000EE"/>
            </w:tcBorders>
            <w:gridSpan w:val="11"/>
          </w:tcPr>
          <w:p>
            <w:pPr>
              <w:spacing w:after="0"/>
              <w:rPr>
                <w:sz w:val="17"/>
                <w:szCs w:val="17"/>
                <w:color w:val="auto"/>
              </w:rPr>
            </w:pPr>
          </w:p>
        </w:tc>
        <w:tc>
          <w:tcPr>
            <w:tcW w:w="700" w:type="dxa"/>
            <w:vAlign w:val="bottom"/>
            <w:gridSpan w:val="11"/>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19</w:t>
            </w:r>
          </w:p>
        </w:tc>
        <w:tc>
          <w:tcPr>
            <w:tcW w:w="160" w:type="dxa"/>
            <w:vAlign w:val="bottom"/>
          </w:tcPr>
          <w:p>
            <w:pPr>
              <w:spacing w:after="0"/>
              <w:rPr>
                <w:sz w:val="17"/>
                <w:szCs w:val="17"/>
                <w:color w:val="auto"/>
              </w:rPr>
            </w:pPr>
          </w:p>
        </w:tc>
        <w:tc>
          <w:tcPr>
            <w:tcW w:w="350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Insider Trading Compliance Policy</w:t>
            </w: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196"/>
        </w:trPr>
        <w:tc>
          <w:tcPr>
            <w:tcW w:w="8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21.1</w:t>
            </w:r>
          </w:p>
        </w:tc>
        <w:tc>
          <w:tcPr>
            <w:tcW w:w="160" w:type="dxa"/>
            <w:vAlign w:val="bottom"/>
          </w:tcPr>
          <w:p>
            <w:pPr>
              <w:spacing w:after="0"/>
              <w:rPr>
                <w:sz w:val="17"/>
                <w:szCs w:val="17"/>
                <w:color w:val="auto"/>
              </w:rPr>
            </w:pPr>
          </w:p>
        </w:tc>
        <w:tc>
          <w:tcPr>
            <w:tcW w:w="212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Subsidiaries of the Registrant</w:t>
            </w:r>
          </w:p>
        </w:tc>
        <w:tc>
          <w:tcPr>
            <w:tcW w:w="400" w:type="dxa"/>
            <w:vAlign w:val="bottom"/>
            <w:tcBorders>
              <w:top w:val="single" w:sz="8" w:color="0000EE"/>
            </w:tcBorders>
            <w:gridSpan w:val="2"/>
          </w:tcPr>
          <w:p>
            <w:pPr>
              <w:spacing w:after="0"/>
              <w:rPr>
                <w:sz w:val="17"/>
                <w:szCs w:val="17"/>
                <w:color w:val="auto"/>
              </w:rPr>
            </w:pPr>
          </w:p>
        </w:tc>
        <w:tc>
          <w:tcPr>
            <w:tcW w:w="980" w:type="dxa"/>
            <w:vAlign w:val="bottom"/>
            <w:gridSpan w:val="18"/>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196"/>
        </w:trPr>
        <w:tc>
          <w:tcPr>
            <w:tcW w:w="8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23.1</w:t>
            </w:r>
          </w:p>
        </w:tc>
        <w:tc>
          <w:tcPr>
            <w:tcW w:w="160" w:type="dxa"/>
            <w:vAlign w:val="bottom"/>
          </w:tcPr>
          <w:p>
            <w:pPr>
              <w:spacing w:after="0"/>
              <w:rPr>
                <w:sz w:val="17"/>
                <w:szCs w:val="17"/>
                <w:color w:val="auto"/>
              </w:rPr>
            </w:pPr>
          </w:p>
        </w:tc>
        <w:tc>
          <w:tcPr>
            <w:tcW w:w="3040" w:type="dxa"/>
            <w:vAlign w:val="bottom"/>
            <w:tcBorders>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w w:val="99"/>
              </w:rPr>
              <w:t>Consent of Independent Registered Public</w:t>
            </w:r>
          </w:p>
        </w:tc>
        <w:tc>
          <w:tcPr>
            <w:tcW w:w="460" w:type="dxa"/>
            <w:vAlign w:val="bottom"/>
            <w:gridSpan w:val="7"/>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8"/>
              </w:rPr>
              <w:t>Accounting Firm</w:t>
            </w:r>
          </w:p>
        </w:tc>
        <w:tc>
          <w:tcPr>
            <w:tcW w:w="2260" w:type="dxa"/>
            <w:vAlign w:val="bottom"/>
            <w:gridSpan w:val="23"/>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160" w:type="dxa"/>
            <w:vAlign w:val="bottom"/>
          </w:tcPr>
          <w:p>
            <w:pPr>
              <w:spacing w:after="0"/>
              <w:rPr>
                <w:sz w:val="17"/>
                <w:szCs w:val="17"/>
                <w:color w:val="auto"/>
              </w:rPr>
            </w:pPr>
          </w:p>
        </w:tc>
        <w:tc>
          <w:tcPr>
            <w:tcW w:w="350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Chief Executive Officer</w:t>
            </w: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740" w:type="dxa"/>
            <w:vAlign w:val="bottom"/>
            <w:tcBorders>
              <w:top w:val="single" w:sz="8" w:color="0000EE"/>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pursuant to Rule 13a-14(a)/15d-14(a).</w:t>
            </w:r>
          </w:p>
        </w:tc>
        <w:tc>
          <w:tcPr>
            <w:tcW w:w="120" w:type="dxa"/>
            <w:vAlign w:val="bottom"/>
            <w:tcBorders>
              <w:top w:val="single" w:sz="8" w:color="0000EE"/>
            </w:tcBorders>
            <w:gridSpan w:val="5"/>
          </w:tcPr>
          <w:p>
            <w:pPr>
              <w:spacing w:after="0"/>
              <w:rPr>
                <w:sz w:val="17"/>
                <w:szCs w:val="17"/>
                <w:color w:val="auto"/>
              </w:rPr>
            </w:pPr>
          </w:p>
        </w:tc>
        <w:tc>
          <w:tcPr>
            <w:tcW w:w="640" w:type="dxa"/>
            <w:vAlign w:val="bottom"/>
            <w:gridSpan w:val="9"/>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160" w:type="dxa"/>
            <w:vAlign w:val="bottom"/>
          </w:tcPr>
          <w:p>
            <w:pPr>
              <w:spacing w:after="0"/>
              <w:rPr>
                <w:sz w:val="17"/>
                <w:szCs w:val="17"/>
                <w:color w:val="auto"/>
              </w:rPr>
            </w:pPr>
          </w:p>
        </w:tc>
        <w:tc>
          <w:tcPr>
            <w:tcW w:w="2820" w:type="dxa"/>
            <w:vAlign w:val="bottom"/>
            <w:tcBorders>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8"/>
              </w:rPr>
              <w:t>Certification of Chief Financial Officer</w:t>
            </w:r>
          </w:p>
        </w:tc>
        <w:tc>
          <w:tcPr>
            <w:tcW w:w="680" w:type="dxa"/>
            <w:vAlign w:val="bottom"/>
            <w:gridSpan w:val="10"/>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74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pursuant to Rule 13a-14(a)/15d-14(a).</w:t>
            </w:r>
          </w:p>
        </w:tc>
        <w:tc>
          <w:tcPr>
            <w:tcW w:w="760" w:type="dxa"/>
            <w:vAlign w:val="bottom"/>
            <w:gridSpan w:val="14"/>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160" w:type="dxa"/>
            <w:vAlign w:val="bottom"/>
          </w:tcPr>
          <w:p>
            <w:pPr>
              <w:spacing w:after="0"/>
              <w:rPr>
                <w:sz w:val="17"/>
                <w:szCs w:val="17"/>
                <w:color w:val="auto"/>
              </w:rPr>
            </w:pPr>
          </w:p>
        </w:tc>
        <w:tc>
          <w:tcPr>
            <w:tcW w:w="350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Chief Executive Officer</w:t>
            </w: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60" w:type="dxa"/>
            <w:vAlign w:val="bottom"/>
            <w:tcBorders>
              <w:top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pursuant to 18 U.S.C. Section 1350.</w:t>
            </w:r>
          </w:p>
        </w:tc>
        <w:tc>
          <w:tcPr>
            <w:tcW w:w="640" w:type="dxa"/>
            <w:vAlign w:val="bottom"/>
            <w:gridSpan w:val="9"/>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gridSpan w:val="4"/>
            <w:shd w:val="clear" w:color="auto" w:fill="0000EE"/>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240" w:type="dxa"/>
            <w:vAlign w:val="bottom"/>
            <w:gridSpan w:val="7"/>
          </w:tcPr>
          <w:p>
            <w:pPr>
              <w:spacing w:after="0" w:line="20" w:lineRule="exact"/>
              <w:rPr>
                <w:sz w:val="1"/>
                <w:szCs w:val="1"/>
                <w:color w:val="auto"/>
              </w:rPr>
            </w:pPr>
          </w:p>
        </w:tc>
        <w:tc>
          <w:tcPr>
            <w:tcW w:w="680" w:type="dxa"/>
            <w:vAlign w:val="bottom"/>
            <w:gridSpan w:val="1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160" w:type="dxa"/>
            <w:vAlign w:val="bottom"/>
          </w:tcPr>
          <w:p>
            <w:pPr>
              <w:spacing w:after="0"/>
              <w:rPr>
                <w:sz w:val="17"/>
                <w:szCs w:val="17"/>
                <w:color w:val="auto"/>
              </w:rPr>
            </w:pPr>
          </w:p>
        </w:tc>
        <w:tc>
          <w:tcPr>
            <w:tcW w:w="2820" w:type="dxa"/>
            <w:vAlign w:val="bottom"/>
            <w:tcBorders>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8"/>
              </w:rPr>
              <w:t>Certification of Chief Financial Officer</w:t>
            </w:r>
          </w:p>
        </w:tc>
        <w:tc>
          <w:tcPr>
            <w:tcW w:w="680" w:type="dxa"/>
            <w:vAlign w:val="bottom"/>
            <w:gridSpan w:val="10"/>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50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pursuant to 18 U.S.C. Section 1350.</w:t>
            </w: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gridSpan w:val="4"/>
            <w:shd w:val="clear" w:color="auto" w:fill="0000EE"/>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240" w:type="dxa"/>
            <w:vAlign w:val="bottom"/>
            <w:gridSpan w:val="7"/>
          </w:tcPr>
          <w:p>
            <w:pPr>
              <w:spacing w:after="0" w:line="20" w:lineRule="exact"/>
              <w:rPr>
                <w:sz w:val="1"/>
                <w:szCs w:val="1"/>
                <w:color w:val="auto"/>
              </w:rPr>
            </w:pPr>
          </w:p>
        </w:tc>
        <w:tc>
          <w:tcPr>
            <w:tcW w:w="680" w:type="dxa"/>
            <w:vAlign w:val="bottom"/>
            <w:gridSpan w:val="1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97</w:t>
            </w:r>
          </w:p>
        </w:tc>
        <w:tc>
          <w:tcPr>
            <w:tcW w:w="160" w:type="dxa"/>
            <w:vAlign w:val="bottom"/>
          </w:tcPr>
          <w:p>
            <w:pPr>
              <w:spacing w:after="0"/>
              <w:rPr>
                <w:sz w:val="17"/>
                <w:szCs w:val="17"/>
                <w:color w:val="auto"/>
              </w:rPr>
            </w:pPr>
          </w:p>
        </w:tc>
        <w:tc>
          <w:tcPr>
            <w:tcW w:w="350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Policy for the Recovery of Erroneously</w:t>
            </w: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20" w:type="dxa"/>
            <w:vAlign w:val="bottom"/>
            <w:tcBorders>
              <w:top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Awarded Compensation</w:t>
            </w:r>
          </w:p>
        </w:tc>
        <w:tc>
          <w:tcPr>
            <w:tcW w:w="680" w:type="dxa"/>
            <w:vAlign w:val="bottom"/>
            <w:gridSpan w:val="10"/>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60" w:type="dxa"/>
            <w:vAlign w:val="bottom"/>
            <w:gridSpan w:val="2"/>
          </w:tcPr>
          <w:p>
            <w:pPr>
              <w:spacing w:after="0" w:line="20" w:lineRule="exact"/>
              <w:rPr>
                <w:sz w:val="1"/>
                <w:szCs w:val="1"/>
                <w:color w:val="auto"/>
              </w:rPr>
            </w:pPr>
          </w:p>
        </w:tc>
        <w:tc>
          <w:tcPr>
            <w:tcW w:w="1720" w:type="dxa"/>
            <w:vAlign w:val="bottom"/>
            <w:gridSpan w:val="4"/>
            <w:shd w:val="clear" w:color="auto" w:fill="0000EE"/>
          </w:tcPr>
          <w:p>
            <w:pPr>
              <w:spacing w:after="0" w:line="20" w:lineRule="exact"/>
              <w:rPr>
                <w:sz w:val="1"/>
                <w:szCs w:val="1"/>
                <w:color w:val="auto"/>
              </w:rPr>
            </w:pPr>
          </w:p>
        </w:tc>
        <w:tc>
          <w:tcPr>
            <w:tcW w:w="1780" w:type="dxa"/>
            <w:vAlign w:val="bottom"/>
            <w:gridSpan w:val="21"/>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350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Inline XBRL Instance Document - the</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50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instance document does not appear in the</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50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Interactive Data file because its XBRL tags</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50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are embedded within the Inline XBRL</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50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document</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350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Inline XBRL Taxonomy Extension Schema</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50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Document</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350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Inline XBRL Taxonomy Extension</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50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Calculation Linkbase Document</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350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Inline XBRL Taxonomy Extension Definition</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50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350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Inline XBRL Taxonomy Extension Label</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50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350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Inline XBRL Taxonomy Extension</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34"/>
        </w:trPr>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50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Presentation Linkbase Document</w:t>
            </w: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5" w:name="page106"/>
    <w:bookmarkEnd w:id="10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8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33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8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Filed/</w:t>
            </w:r>
          </w:p>
        </w:tc>
        <w:tc>
          <w:tcPr>
            <w:tcW w:w="0" w:type="dxa"/>
            <w:vAlign w:val="bottom"/>
          </w:tcPr>
          <w:p>
            <w:pPr>
              <w:spacing w:after="0"/>
              <w:rPr>
                <w:sz w:val="1"/>
                <w:szCs w:val="1"/>
                <w:color w:val="auto"/>
              </w:rPr>
            </w:pPr>
          </w:p>
        </w:tc>
      </w:tr>
      <w:tr>
        <w:trPr>
          <w:trHeight w:val="187"/>
        </w:trPr>
        <w:tc>
          <w:tcPr>
            <w:tcW w:w="800" w:type="dxa"/>
            <w:vAlign w:val="bottom"/>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Exhibit</w:t>
            </w:r>
          </w:p>
        </w:tc>
        <w:tc>
          <w:tcPr>
            <w:tcW w:w="16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gridSpan w:val="2"/>
            <w:vMerge w:val="restart"/>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Filing</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Furnished</w:t>
            </w:r>
          </w:p>
        </w:tc>
        <w:tc>
          <w:tcPr>
            <w:tcW w:w="0" w:type="dxa"/>
            <w:vAlign w:val="bottom"/>
          </w:tcPr>
          <w:p>
            <w:pPr>
              <w:spacing w:after="0"/>
              <w:rPr>
                <w:sz w:val="1"/>
                <w:szCs w:val="1"/>
                <w:color w:val="auto"/>
              </w:rPr>
            </w:pPr>
          </w:p>
        </w:tc>
      </w:tr>
      <w:tr>
        <w:trPr>
          <w:trHeight w:val="65"/>
        </w:trPr>
        <w:tc>
          <w:tcPr>
            <w:tcW w:w="8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60" w:type="dxa"/>
            <w:vAlign w:val="bottom"/>
            <w:vMerge w:val="restart"/>
          </w:tcPr>
          <w:p>
            <w:pPr>
              <w:spacing w:after="0"/>
              <w:rPr>
                <w:sz w:val="5"/>
                <w:szCs w:val="5"/>
                <w:color w:val="auto"/>
              </w:rPr>
            </w:pPr>
          </w:p>
        </w:tc>
        <w:tc>
          <w:tcPr>
            <w:tcW w:w="33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Exhibit Description</w:t>
            </w:r>
          </w:p>
        </w:tc>
        <w:tc>
          <w:tcPr>
            <w:tcW w:w="140" w:type="dxa"/>
            <w:vAlign w:val="bottom"/>
            <w:vMerge w:val="restart"/>
          </w:tcPr>
          <w:p>
            <w:pPr>
              <w:spacing w:after="0"/>
              <w:rPr>
                <w:sz w:val="5"/>
                <w:szCs w:val="5"/>
                <w:color w:val="auto"/>
              </w:rPr>
            </w:pPr>
          </w:p>
        </w:tc>
        <w:tc>
          <w:tcPr>
            <w:tcW w:w="54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40" w:type="dxa"/>
            <w:vAlign w:val="bottom"/>
            <w:vMerge w:val="restart"/>
          </w:tcPr>
          <w:p>
            <w:pPr>
              <w:spacing w:after="0"/>
              <w:rPr>
                <w:sz w:val="5"/>
                <w:szCs w:val="5"/>
                <w:color w:val="auto"/>
              </w:rPr>
            </w:pPr>
          </w:p>
        </w:tc>
        <w:tc>
          <w:tcPr>
            <w:tcW w:w="940" w:type="dxa"/>
            <w:vAlign w:val="bottom"/>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60" w:type="dxa"/>
            <w:vAlign w:val="bottom"/>
            <w:vMerge w:val="restart"/>
          </w:tcPr>
          <w:p>
            <w:pPr>
              <w:spacing w:after="0"/>
              <w:rPr>
                <w:sz w:val="5"/>
                <w:szCs w:val="5"/>
                <w:color w:val="auto"/>
              </w:rPr>
            </w:pPr>
          </w:p>
        </w:tc>
        <w:tc>
          <w:tcPr>
            <w:tcW w:w="5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0" w:type="dxa"/>
            <w:vAlign w:val="bottom"/>
            <w:vMerge w:val="restart"/>
          </w:tcPr>
          <w:p>
            <w:pPr>
              <w:spacing w:after="0"/>
              <w:rPr>
                <w:sz w:val="5"/>
                <w:szCs w:val="5"/>
                <w:color w:val="auto"/>
              </w:rPr>
            </w:pPr>
          </w:p>
        </w:tc>
        <w:tc>
          <w:tcPr>
            <w:tcW w:w="320" w:type="dxa"/>
            <w:vAlign w:val="bottom"/>
            <w:vMerge w:val="restart"/>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800" w:type="dxa"/>
            <w:vAlign w:val="bottom"/>
            <w:tcBorders>
              <w:bottom w:val="single" w:sz="8" w:color="auto"/>
            </w:tcBorders>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3360" w:type="dxa"/>
            <w:vAlign w:val="bottom"/>
            <w:tcBorders>
              <w:bottom w:val="single" w:sz="8" w:color="auto"/>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540" w:type="dxa"/>
            <w:vAlign w:val="bottom"/>
            <w:tcBorders>
              <w:bottom w:val="single" w:sz="8" w:color="auto"/>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520" w:type="dxa"/>
            <w:vAlign w:val="bottom"/>
            <w:tcBorders>
              <w:bottom w:val="single" w:sz="8" w:color="auto"/>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320" w:type="dxa"/>
            <w:vAlign w:val="bottom"/>
            <w:tcBorders>
              <w:bottom w:val="single" w:sz="8" w:color="auto"/>
            </w:tcBorders>
            <w:vMerge w:val="continue"/>
          </w:tcPr>
          <w:p>
            <w:pPr>
              <w:spacing w:after="0"/>
              <w:rPr>
                <w:sz w:val="15"/>
                <w:szCs w:val="15"/>
                <w:color w:val="auto"/>
              </w:rPr>
            </w:pPr>
          </w:p>
        </w:tc>
        <w:tc>
          <w:tcPr>
            <w:tcW w:w="880" w:type="dxa"/>
            <w:vAlign w:val="bottom"/>
            <w:tcBorders>
              <w:bottom w:val="single" w:sz="8" w:color="auto"/>
            </w:tcBorders>
          </w:tcPr>
          <w:p>
            <w:pPr>
              <w:jc w:val="center"/>
              <w:ind w:right="228"/>
              <w:spacing w:after="0"/>
              <w:rPr>
                <w:sz w:val="20"/>
                <w:szCs w:val="20"/>
                <w:color w:val="auto"/>
              </w:rPr>
            </w:pPr>
            <w:r>
              <w:rPr>
                <w:rFonts w:ascii="Times New Roman" w:cs="Times New Roman" w:eastAsia="Times New Roman" w:hAnsi="Times New Roman"/>
                <w:sz w:val="14"/>
                <w:szCs w:val="14"/>
                <w:b w:val="1"/>
                <w:bCs w:val="1"/>
                <w:color w:val="auto"/>
              </w:rPr>
              <w:t>Date</w:t>
            </w:r>
          </w:p>
        </w:tc>
        <w:tc>
          <w:tcPr>
            <w:tcW w:w="160" w:type="dxa"/>
            <w:vAlign w:val="bottom"/>
          </w:tcPr>
          <w:p>
            <w:pPr>
              <w:spacing w:after="0"/>
              <w:rPr>
                <w:sz w:val="15"/>
                <w:szCs w:val="15"/>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Herewith</w:t>
            </w:r>
          </w:p>
        </w:tc>
        <w:tc>
          <w:tcPr>
            <w:tcW w:w="0" w:type="dxa"/>
            <w:vAlign w:val="bottom"/>
          </w:tcPr>
          <w:p>
            <w:pPr>
              <w:spacing w:after="0"/>
              <w:rPr>
                <w:sz w:val="1"/>
                <w:szCs w:val="1"/>
                <w:color w:val="auto"/>
              </w:rPr>
            </w:pPr>
          </w:p>
        </w:tc>
      </w:tr>
      <w:tr>
        <w:trPr>
          <w:trHeight w:val="407"/>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60" w:type="dxa"/>
            <w:vAlign w:val="bottom"/>
          </w:tcPr>
          <w:p>
            <w:pPr>
              <w:spacing w:after="0"/>
              <w:rPr>
                <w:sz w:val="24"/>
                <w:szCs w:val="24"/>
                <w:color w:val="auto"/>
              </w:rPr>
            </w:pPr>
          </w:p>
        </w:tc>
        <w:tc>
          <w:tcPr>
            <w:tcW w:w="35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Cover Page Interactive Data File (as formatted</w:t>
            </w: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34"/>
        </w:trPr>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5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as Inline XBRL and contained in Exhibit 101)</w:t>
            </w: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59690</wp:posOffset>
            </wp:positionV>
            <wp:extent cx="141414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9">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137" w:lineRule="exact"/>
        <w:rPr>
          <w:sz w:val="20"/>
          <w:szCs w:val="20"/>
          <w:color w:val="auto"/>
        </w:rPr>
      </w:pPr>
    </w:p>
    <w:p>
      <w:pPr>
        <w:ind w:left="700" w:hanging="650"/>
        <w:spacing w:after="0"/>
        <w:tabs>
          <w:tab w:leader="none" w:pos="7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700" w:hanging="650"/>
        <w:spacing w:after="0"/>
        <w:tabs>
          <w:tab w:leader="none" w:pos="7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9" w:lineRule="exact"/>
        <w:rPr>
          <w:sz w:val="20"/>
          <w:szCs w:val="20"/>
          <w:color w:val="auto"/>
        </w:rPr>
      </w:pPr>
    </w:p>
    <w:p>
      <w:pPr>
        <w:ind w:left="700" w:hanging="650"/>
        <w:spacing w:after="0"/>
        <w:tabs>
          <w:tab w:leader="none" w:pos="7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a management contract or compensatory plan or arrangement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46" w:lineRule="exact"/>
        <w:rPr>
          <w:rFonts w:ascii="Times New Roman" w:cs="Times New Roman" w:eastAsia="Times New Roman" w:hAnsi="Times New Roman"/>
          <w:sz w:val="18"/>
          <w:szCs w:val="18"/>
          <w:color w:val="auto"/>
        </w:rPr>
      </w:pPr>
    </w:p>
    <w:p>
      <w:pPr>
        <w:ind w:left="43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7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6" w:name="page107"/>
    <w:bookmarkEnd w:id="10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7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7" w:name="page108"/>
    <w:bookmarkEnd w:id="10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90"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LULU’S FASHION LOUNGE HOLDINGS, INC.</w:t>
      </w:r>
    </w:p>
    <w:p>
      <w:pPr>
        <w:spacing w:after="0" w:line="189" w:lineRule="exact"/>
        <w:rPr>
          <w:sz w:val="20"/>
          <w:szCs w:val="20"/>
          <w:color w:val="auto"/>
        </w:rPr>
      </w:pPr>
    </w:p>
    <w:p>
      <w:pPr>
        <w:ind w:left="60"/>
        <w:spacing w:after="0"/>
        <w:tabs>
          <w:tab w:leader="none" w:pos="4500" w:val="left"/>
          <w:tab w:leader="none" w:pos="6120" w:val="left"/>
        </w:tabs>
        <w:rPr>
          <w:sz w:val="20"/>
          <w:szCs w:val="20"/>
          <w:color w:val="auto"/>
        </w:rPr>
      </w:pPr>
      <w:r>
        <w:rPr>
          <w:rFonts w:ascii="Times New Roman" w:cs="Times New Roman" w:eastAsia="Times New Roman" w:hAnsi="Times New Roman"/>
          <w:sz w:val="18"/>
          <w:szCs w:val="18"/>
          <w:color w:val="auto"/>
        </w:rPr>
        <w:t>Date: March 6,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Crystal Landsem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3048635</wp:posOffset>
            </wp:positionH>
            <wp:positionV relativeFrom="paragraph">
              <wp:posOffset>17145</wp:posOffset>
            </wp:positionV>
            <wp:extent cx="263207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72">
                      <a:extLst>
                        <a:ext uri="{28A0092B-C50C-407E-A947-70E740481C1C}"/>
                      </a:extLst>
                    </a:blip>
                    <a:srcRect/>
                    <a:stretch>
                      <a:fillRect/>
                    </a:stretch>
                  </pic:blipFill>
                  <pic:spPr bwMode="auto">
                    <a:xfrm>
                      <a:off x="0" y="0"/>
                      <a:ext cx="2632075" cy="8890"/>
                    </a:xfrm>
                    <a:prstGeom prst="rect">
                      <a:avLst/>
                    </a:prstGeom>
                    <a:noFill/>
                  </pic:spPr>
                </pic:pic>
              </a:graphicData>
            </a:graphic>
          </wp:anchor>
        </w:drawing>
      </w:r>
    </w:p>
    <w:p>
      <w:pPr>
        <w:spacing w:after="0" w:line="12"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b w:val="1"/>
          <w:bCs w:val="1"/>
          <w:color w:val="auto"/>
        </w:rPr>
        <w:t>Crystal Landsem</w:t>
      </w:r>
    </w:p>
    <w:p>
      <w:pPr>
        <w:spacing w:after="0" w:line="31"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3"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342" w:lineRule="exact"/>
        <w:rPr>
          <w:sz w:val="20"/>
          <w:szCs w:val="20"/>
          <w:color w:val="auto"/>
        </w:rPr>
      </w:pPr>
    </w:p>
    <w:p>
      <w:pPr>
        <w:ind w:left="60"/>
        <w:spacing w:after="0"/>
        <w:tabs>
          <w:tab w:leader="none" w:pos="4500" w:val="left"/>
          <w:tab w:leader="none" w:pos="6140" w:val="left"/>
        </w:tabs>
        <w:rPr>
          <w:sz w:val="20"/>
          <w:szCs w:val="20"/>
          <w:color w:val="auto"/>
        </w:rPr>
      </w:pPr>
      <w:r>
        <w:rPr>
          <w:rFonts w:ascii="Times New Roman" w:cs="Times New Roman" w:eastAsia="Times New Roman" w:hAnsi="Times New Roman"/>
          <w:sz w:val="18"/>
          <w:szCs w:val="18"/>
          <w:color w:val="auto"/>
        </w:rPr>
        <w:t>Date: March 6,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Tiffany R.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3048635</wp:posOffset>
            </wp:positionH>
            <wp:positionV relativeFrom="paragraph">
              <wp:posOffset>17145</wp:posOffset>
            </wp:positionV>
            <wp:extent cx="263207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73">
                      <a:extLst>
                        <a:ext uri="{28A0092B-C50C-407E-A947-70E740481C1C}"/>
                      </a:extLst>
                    </a:blip>
                    <a:srcRect/>
                    <a:stretch>
                      <a:fillRect/>
                    </a:stretch>
                  </pic:blipFill>
                  <pic:spPr bwMode="auto">
                    <a:xfrm>
                      <a:off x="0" y="0"/>
                      <a:ext cx="2632075" cy="8255"/>
                    </a:xfrm>
                    <a:prstGeom prst="rect">
                      <a:avLst/>
                    </a:prstGeom>
                    <a:noFill/>
                  </pic:spPr>
                </pic:pic>
              </a:graphicData>
            </a:graphic>
          </wp:anchor>
        </w:drawing>
      </w:r>
    </w:p>
    <w:p>
      <w:pPr>
        <w:spacing w:after="0" w:line="12" w:lineRule="exact"/>
        <w:rPr>
          <w:sz w:val="20"/>
          <w:szCs w:val="20"/>
          <w:color w:val="auto"/>
        </w:rPr>
      </w:pPr>
    </w:p>
    <w:p>
      <w:pPr>
        <w:jc w:val="center"/>
        <w:ind w:left="4720"/>
        <w:spacing w:after="0"/>
        <w:rPr>
          <w:sz w:val="20"/>
          <w:szCs w:val="20"/>
          <w:color w:val="auto"/>
        </w:rPr>
      </w:pPr>
      <w:r>
        <w:rPr>
          <w:rFonts w:ascii="Times New Roman" w:cs="Times New Roman" w:eastAsia="Times New Roman" w:hAnsi="Times New Roman"/>
          <w:sz w:val="18"/>
          <w:szCs w:val="18"/>
          <w:b w:val="1"/>
          <w:bCs w:val="1"/>
          <w:color w:val="auto"/>
        </w:rPr>
        <w:t>Tiffany R. Smith</w:t>
      </w:r>
    </w:p>
    <w:p>
      <w:pPr>
        <w:spacing w:after="0" w:line="31" w:lineRule="exact"/>
        <w:rPr>
          <w:sz w:val="20"/>
          <w:szCs w:val="20"/>
          <w:color w:val="auto"/>
        </w:rPr>
      </w:pPr>
    </w:p>
    <w:p>
      <w:pPr>
        <w:jc w:val="center"/>
        <w:ind w:left="472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3" w:lineRule="exact"/>
        <w:rPr>
          <w:sz w:val="20"/>
          <w:szCs w:val="20"/>
          <w:color w:val="auto"/>
        </w:rPr>
      </w:pPr>
    </w:p>
    <w:p>
      <w:pPr>
        <w:jc w:val="center"/>
        <w:ind w:left="472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pacing w:after="0" w:line="220" w:lineRule="exact"/>
        <w:rPr>
          <w:sz w:val="20"/>
          <w:szCs w:val="20"/>
          <w:color w:val="auto"/>
        </w:rPr>
      </w:pPr>
    </w:p>
    <w:p>
      <w:pPr>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90"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2480" w:type="dxa"/>
            <w:vAlign w:val="bottom"/>
          </w:tcPr>
          <w:p>
            <w:pPr>
              <w:ind w:left="860"/>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20" w:type="dxa"/>
            <w:vAlign w:val="bottom"/>
          </w:tcPr>
          <w:p>
            <w:pPr>
              <w:spacing w:after="0"/>
              <w:rPr>
                <w:sz w:val="20"/>
                <w:szCs w:val="20"/>
                <w:color w:val="auto"/>
              </w:rPr>
            </w:pPr>
          </w:p>
        </w:tc>
        <w:tc>
          <w:tcPr>
            <w:tcW w:w="4340" w:type="dxa"/>
            <w:vAlign w:val="bottom"/>
          </w:tcPr>
          <w:p>
            <w:pPr>
              <w:ind w:left="196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1540" w:type="dxa"/>
            <w:vAlign w:val="bottom"/>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338"/>
        </w:trPr>
        <w:tc>
          <w:tcPr>
            <w:tcW w:w="2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Crystal Landsem</w:t>
            </w:r>
          </w:p>
        </w:tc>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 (Principal Executive Officer)</w:t>
            </w:r>
          </w:p>
        </w:tc>
        <w:tc>
          <w:tcPr>
            <w:tcW w:w="154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rPr>
              <w:t>March 6, 2024</w:t>
            </w:r>
          </w:p>
        </w:tc>
      </w:tr>
      <w:tr>
        <w:trPr>
          <w:trHeight w:val="228"/>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Crystal Landsem</w:t>
            </w:r>
          </w:p>
        </w:tc>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 Director</w:t>
            </w:r>
          </w:p>
        </w:tc>
        <w:tc>
          <w:tcPr>
            <w:tcW w:w="1540" w:type="dxa"/>
            <w:vAlign w:val="bottom"/>
          </w:tcPr>
          <w:p>
            <w:pPr>
              <w:spacing w:after="0"/>
              <w:rPr>
                <w:sz w:val="19"/>
                <w:szCs w:val="19"/>
                <w:color w:val="auto"/>
              </w:rPr>
            </w:pPr>
          </w:p>
        </w:tc>
      </w:tr>
      <w:tr>
        <w:trPr>
          <w:trHeight w:val="333"/>
        </w:trPr>
        <w:tc>
          <w:tcPr>
            <w:tcW w:w="2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Tiffany R. Smith</w:t>
            </w:r>
          </w:p>
        </w:tc>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 (Principal Financial and</w:t>
            </w:r>
          </w:p>
        </w:tc>
        <w:tc>
          <w:tcPr>
            <w:tcW w:w="154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rPr>
              <w:t>March 6, 2024</w:t>
            </w:r>
          </w:p>
        </w:tc>
      </w:tr>
      <w:tr>
        <w:trPr>
          <w:trHeight w:val="228"/>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Tiffany R. Smith</w:t>
            </w:r>
          </w:p>
        </w:tc>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Accounting Officer)</w:t>
            </w:r>
          </w:p>
        </w:tc>
        <w:tc>
          <w:tcPr>
            <w:tcW w:w="1540" w:type="dxa"/>
            <w:vAlign w:val="bottom"/>
          </w:tcPr>
          <w:p>
            <w:pPr>
              <w:spacing w:after="0"/>
              <w:rPr>
                <w:sz w:val="19"/>
                <w:szCs w:val="19"/>
                <w:color w:val="auto"/>
              </w:rPr>
            </w:pPr>
          </w:p>
        </w:tc>
      </w:tr>
      <w:tr>
        <w:trPr>
          <w:trHeight w:val="333"/>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/s/John Black</w:t>
            </w:r>
          </w:p>
        </w:tc>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 and Board Chair</w:t>
            </w:r>
          </w:p>
        </w:tc>
        <w:tc>
          <w:tcPr>
            <w:tcW w:w="154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rPr>
              <w:t>March 6, 2024</w:t>
            </w:r>
          </w:p>
        </w:tc>
      </w:tr>
      <w:tr>
        <w:trPr>
          <w:trHeight w:val="228"/>
        </w:trPr>
        <w:tc>
          <w:tcPr>
            <w:tcW w:w="24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John Black</w:t>
            </w:r>
          </w:p>
        </w:tc>
        <w:tc>
          <w:tcPr>
            <w:tcW w:w="20" w:type="dxa"/>
            <w:vAlign w:val="bottom"/>
            <w:tcBorders>
              <w:top w:val="single" w:sz="8" w:color="auto"/>
            </w:tcBorders>
          </w:tcPr>
          <w:p>
            <w:pPr>
              <w:spacing w:after="0"/>
              <w:rPr>
                <w:sz w:val="19"/>
                <w:szCs w:val="19"/>
                <w:color w:val="auto"/>
              </w:rPr>
            </w:pPr>
          </w:p>
        </w:tc>
        <w:tc>
          <w:tcPr>
            <w:tcW w:w="434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333"/>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/s/ Dara Bazzano</w:t>
            </w:r>
          </w:p>
        </w:tc>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54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rPr>
              <w:t>March 6, 2024</w:t>
            </w:r>
          </w:p>
        </w:tc>
      </w:tr>
      <w:tr>
        <w:trPr>
          <w:trHeight w:val="228"/>
        </w:trPr>
        <w:tc>
          <w:tcPr>
            <w:tcW w:w="24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Dara Bazzano</w:t>
            </w:r>
          </w:p>
        </w:tc>
        <w:tc>
          <w:tcPr>
            <w:tcW w:w="20" w:type="dxa"/>
            <w:vAlign w:val="bottom"/>
            <w:tcBorders>
              <w:top w:val="single" w:sz="8" w:color="auto"/>
            </w:tcBorders>
          </w:tcPr>
          <w:p>
            <w:pPr>
              <w:spacing w:after="0"/>
              <w:rPr>
                <w:sz w:val="19"/>
                <w:szCs w:val="19"/>
                <w:color w:val="auto"/>
              </w:rPr>
            </w:pPr>
          </w:p>
        </w:tc>
        <w:tc>
          <w:tcPr>
            <w:tcW w:w="434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333"/>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/s/ David McCreight</w:t>
            </w:r>
          </w:p>
        </w:tc>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54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rPr>
              <w:t>March 6, 2024</w:t>
            </w:r>
          </w:p>
        </w:tc>
      </w:tr>
      <w:tr>
        <w:trPr>
          <w:trHeight w:val="228"/>
        </w:trPr>
        <w:tc>
          <w:tcPr>
            <w:tcW w:w="24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David McCreight</w:t>
            </w:r>
          </w:p>
        </w:tc>
        <w:tc>
          <w:tcPr>
            <w:tcW w:w="20" w:type="dxa"/>
            <w:vAlign w:val="bottom"/>
            <w:tcBorders>
              <w:top w:val="single" w:sz="8" w:color="auto"/>
            </w:tcBorders>
          </w:tcPr>
          <w:p>
            <w:pPr>
              <w:spacing w:after="0"/>
              <w:rPr>
                <w:sz w:val="19"/>
                <w:szCs w:val="19"/>
                <w:color w:val="auto"/>
              </w:rPr>
            </w:pPr>
          </w:p>
        </w:tc>
        <w:tc>
          <w:tcPr>
            <w:tcW w:w="434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333"/>
        </w:trPr>
        <w:tc>
          <w:tcPr>
            <w:tcW w:w="2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Evan Karp</w:t>
            </w:r>
          </w:p>
        </w:tc>
        <w:tc>
          <w:tcPr>
            <w:tcW w:w="20" w:type="dxa"/>
            <w:vAlign w:val="bottom"/>
            <w:tcBorders>
              <w:bottom w:val="single" w:sz="8" w:color="auto"/>
            </w:tcBorders>
          </w:tcPr>
          <w:p>
            <w:pPr>
              <w:spacing w:after="0"/>
              <w:rPr>
                <w:sz w:val="24"/>
                <w:szCs w:val="24"/>
                <w:color w:val="auto"/>
              </w:rPr>
            </w:pPr>
          </w:p>
        </w:tc>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54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rPr>
              <w:t>March 6, 2024</w:t>
            </w:r>
          </w:p>
        </w:tc>
      </w:tr>
      <w:tr>
        <w:trPr>
          <w:trHeight w:val="228"/>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Evan Karp</w:t>
            </w:r>
          </w:p>
        </w:tc>
        <w:tc>
          <w:tcPr>
            <w:tcW w:w="2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427"/>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/s/ Anisa Kumar</w:t>
            </w:r>
          </w:p>
        </w:tc>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54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rPr>
              <w:t>March 6, 2024</w:t>
            </w:r>
          </w:p>
        </w:tc>
      </w:tr>
      <w:tr>
        <w:trPr>
          <w:trHeight w:val="228"/>
        </w:trPr>
        <w:tc>
          <w:tcPr>
            <w:tcW w:w="24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Anisa Kumar</w:t>
            </w:r>
          </w:p>
        </w:tc>
        <w:tc>
          <w:tcPr>
            <w:tcW w:w="20" w:type="dxa"/>
            <w:vAlign w:val="bottom"/>
            <w:tcBorders>
              <w:top w:val="single" w:sz="8" w:color="auto"/>
            </w:tcBorders>
          </w:tcPr>
          <w:p>
            <w:pPr>
              <w:spacing w:after="0"/>
              <w:rPr>
                <w:sz w:val="19"/>
                <w:szCs w:val="19"/>
                <w:color w:val="auto"/>
              </w:rPr>
            </w:pPr>
          </w:p>
        </w:tc>
        <w:tc>
          <w:tcPr>
            <w:tcW w:w="434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333"/>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/s/ Michael Mardy</w:t>
            </w:r>
          </w:p>
        </w:tc>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54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rPr>
              <w:t>March 6, 2024</w:t>
            </w:r>
          </w:p>
        </w:tc>
      </w:tr>
      <w:tr>
        <w:trPr>
          <w:trHeight w:val="228"/>
        </w:trPr>
        <w:tc>
          <w:tcPr>
            <w:tcW w:w="24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Michael Mardy</w:t>
            </w:r>
          </w:p>
        </w:tc>
        <w:tc>
          <w:tcPr>
            <w:tcW w:w="20" w:type="dxa"/>
            <w:vAlign w:val="bottom"/>
            <w:tcBorders>
              <w:top w:val="single" w:sz="8" w:color="auto"/>
            </w:tcBorders>
          </w:tcPr>
          <w:p>
            <w:pPr>
              <w:spacing w:after="0"/>
              <w:rPr>
                <w:sz w:val="19"/>
                <w:szCs w:val="19"/>
                <w:color w:val="auto"/>
              </w:rPr>
            </w:pPr>
          </w:p>
        </w:tc>
        <w:tc>
          <w:tcPr>
            <w:tcW w:w="434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333"/>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/s/ Kelly McCarthy</w:t>
            </w:r>
          </w:p>
        </w:tc>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54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rPr>
              <w:t>March 6, 2024</w:t>
            </w:r>
          </w:p>
        </w:tc>
      </w:tr>
      <w:tr>
        <w:trPr>
          <w:trHeight w:val="228"/>
        </w:trPr>
        <w:tc>
          <w:tcPr>
            <w:tcW w:w="24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Kelly McCarthy</w:t>
            </w:r>
          </w:p>
        </w:tc>
        <w:tc>
          <w:tcPr>
            <w:tcW w:w="20" w:type="dxa"/>
            <w:vAlign w:val="bottom"/>
            <w:tcBorders>
              <w:top w:val="single" w:sz="8" w:color="auto"/>
            </w:tcBorders>
          </w:tcPr>
          <w:p>
            <w:pPr>
              <w:spacing w:after="0"/>
              <w:rPr>
                <w:sz w:val="19"/>
                <w:szCs w:val="19"/>
                <w:color w:val="auto"/>
              </w:rPr>
            </w:pPr>
          </w:p>
        </w:tc>
        <w:tc>
          <w:tcPr>
            <w:tcW w:w="434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333"/>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/s/ Danielle Qi</w:t>
            </w:r>
          </w:p>
        </w:tc>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54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rPr>
              <w:t>March 6, 2024</w:t>
            </w:r>
          </w:p>
        </w:tc>
      </w:tr>
      <w:tr>
        <w:trPr>
          <w:trHeight w:val="228"/>
        </w:trPr>
        <w:tc>
          <w:tcPr>
            <w:tcW w:w="24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Danielle Qi</w:t>
            </w:r>
          </w:p>
        </w:tc>
        <w:tc>
          <w:tcPr>
            <w:tcW w:w="20" w:type="dxa"/>
            <w:vAlign w:val="bottom"/>
            <w:tcBorders>
              <w:top w:val="single" w:sz="8" w:color="auto"/>
            </w:tcBorders>
          </w:tcPr>
          <w:p>
            <w:pPr>
              <w:spacing w:after="0"/>
              <w:rPr>
                <w:sz w:val="19"/>
                <w:szCs w:val="19"/>
                <w:color w:val="auto"/>
              </w:rPr>
            </w:pPr>
          </w:p>
        </w:tc>
        <w:tc>
          <w:tcPr>
            <w:tcW w:w="434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333"/>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/s/ Caroline Sheu</w:t>
            </w:r>
          </w:p>
        </w:tc>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54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rPr>
              <w:t>March 6, 2024</w:t>
            </w:r>
          </w:p>
        </w:tc>
      </w:tr>
      <w:tr>
        <w:trPr>
          <w:trHeight w:val="228"/>
        </w:trPr>
        <w:tc>
          <w:tcPr>
            <w:tcW w:w="24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Caroline Sheu</w:t>
            </w:r>
          </w:p>
        </w:tc>
        <w:tc>
          <w:tcPr>
            <w:tcW w:w="20" w:type="dxa"/>
            <w:vAlign w:val="bottom"/>
            <w:tcBorders>
              <w:top w:val="single" w:sz="8" w:color="auto"/>
            </w:tcBorders>
          </w:tcPr>
          <w:p>
            <w:pPr>
              <w:spacing w:after="0"/>
              <w:rPr>
                <w:sz w:val="19"/>
                <w:szCs w:val="19"/>
                <w:color w:val="auto"/>
              </w:rPr>
            </w:pPr>
          </w:p>
        </w:tc>
        <w:tc>
          <w:tcPr>
            <w:tcW w:w="434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333"/>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/s/ Kira Yugay</w:t>
            </w:r>
          </w:p>
        </w:tc>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54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rPr>
              <w:t>March 6, 2024</w:t>
            </w:r>
          </w:p>
        </w:tc>
      </w:tr>
      <w:tr>
        <w:trPr>
          <w:trHeight w:val="228"/>
        </w:trPr>
        <w:tc>
          <w:tcPr>
            <w:tcW w:w="24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Kira Yugay</w:t>
            </w:r>
          </w:p>
        </w:tc>
        <w:tc>
          <w:tcPr>
            <w:tcW w:w="20" w:type="dxa"/>
            <w:vAlign w:val="bottom"/>
            <w:tcBorders>
              <w:top w:val="single" w:sz="8" w:color="auto"/>
            </w:tcBorders>
          </w:tcPr>
          <w:p>
            <w:pPr>
              <w:spacing w:after="0"/>
              <w:rPr>
                <w:sz w:val="19"/>
                <w:szCs w:val="19"/>
                <w:color w:val="auto"/>
              </w:rPr>
            </w:pPr>
          </w:p>
        </w:tc>
        <w:tc>
          <w:tcPr>
            <w:tcW w:w="4340" w:type="dxa"/>
            <w:vAlign w:val="bottom"/>
          </w:tcPr>
          <w:p>
            <w:pPr>
              <w:spacing w:after="0"/>
              <w:rPr>
                <w:sz w:val="19"/>
                <w:szCs w:val="19"/>
                <w:color w:val="auto"/>
              </w:rPr>
            </w:pPr>
          </w:p>
        </w:tc>
        <w:tc>
          <w:tcPr>
            <w:tcW w:w="1540" w:type="dxa"/>
            <w:vAlign w:val="bottom"/>
          </w:tcPr>
          <w:p>
            <w:pPr>
              <w:spacing w:after="0"/>
              <w:rPr>
                <w:sz w:val="19"/>
                <w:szCs w:val="19"/>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7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8" w:name="page109"/>
    <w:bookmarkEnd w:id="108"/>
    <w:p>
      <w:pPr>
        <w:ind w:left="7340"/>
        <w:spacing w:after="0"/>
        <w:rPr>
          <w:sz w:val="20"/>
          <w:szCs w:val="20"/>
          <w:color w:val="auto"/>
        </w:rPr>
      </w:pPr>
      <w:r>
        <w:rPr>
          <w:rFonts w:ascii="Arial" w:cs="Arial" w:eastAsia="Arial" w:hAnsi="Arial"/>
          <w:sz w:val="18"/>
          <w:szCs w:val="18"/>
          <w:b w:val="1"/>
          <w:bCs w:val="1"/>
          <w:color w:val="auto"/>
        </w:rPr>
        <w:t>Exhibit 10.37</w:t>
      </w:r>
    </w:p>
    <w:p>
      <w:pPr>
        <w:spacing w:after="0" w:line="192"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29"/>
          <w:szCs w:val="29"/>
          <w:b w:val="1"/>
          <w:bCs w:val="1"/>
          <w:color w:val="auto"/>
        </w:rPr>
        <w:t>EMPLOYMENT AGREEMENT</w:t>
      </w:r>
    </w:p>
    <w:p>
      <w:pPr>
        <w:spacing w:after="0" w:line="65" w:lineRule="exact"/>
        <w:rPr>
          <w:sz w:val="20"/>
          <w:szCs w:val="20"/>
          <w:color w:val="auto"/>
        </w:rPr>
      </w:pPr>
    </w:p>
    <w:p>
      <w:pPr>
        <w:jc w:val="both"/>
        <w:ind w:left="200" w:right="219" w:firstLine="648"/>
        <w:spacing w:after="0" w:line="237" w:lineRule="auto"/>
        <w:rPr>
          <w:sz w:val="20"/>
          <w:szCs w:val="20"/>
          <w:color w:val="auto"/>
        </w:rPr>
      </w:pPr>
      <w:r>
        <w:rPr>
          <w:rFonts w:ascii="Times New Roman" w:cs="Times New Roman" w:eastAsia="Times New Roman" w:hAnsi="Times New Roman"/>
          <w:sz w:val="22"/>
          <w:szCs w:val="22"/>
          <w:color w:val="auto"/>
        </w:rPr>
        <w:t>This Employment Agreement (this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is made and entered into on December 21, 2023, by and among Lulu’s Fashion Lounge, LLC, a Delaware limited liability company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Lulu’s Fashion Lounge Holdings, Inc., a Delawre corporation and indirect parent of the Company (“</w:t>
      </w:r>
      <w:r>
        <w:rPr>
          <w:rFonts w:ascii="Times New Roman" w:cs="Times New Roman" w:eastAsia="Times New Roman" w:hAnsi="Times New Roman"/>
          <w:sz w:val="22"/>
          <w:szCs w:val="22"/>
          <w:b w:val="1"/>
          <w:bCs w:val="1"/>
          <w:color w:val="auto"/>
        </w:rPr>
        <w:t>Parent</w:t>
      </w:r>
      <w:r>
        <w:rPr>
          <w:rFonts w:ascii="Times New Roman" w:cs="Times New Roman" w:eastAsia="Times New Roman" w:hAnsi="Times New Roman"/>
          <w:sz w:val="22"/>
          <w:szCs w:val="22"/>
          <w:color w:val="auto"/>
        </w:rPr>
        <w:t>”), and Laura Deady (“</w:t>
      </w:r>
      <w:r>
        <w:rPr>
          <w:rFonts w:ascii="Times New Roman" w:cs="Times New Roman" w:eastAsia="Times New Roman" w:hAnsi="Times New Roman"/>
          <w:sz w:val="22"/>
          <w:szCs w:val="22"/>
          <w:b w:val="1"/>
          <w:bCs w:val="1"/>
          <w:color w:val="auto"/>
        </w:rPr>
        <w:t>Executive</w:t>
      </w:r>
      <w:r>
        <w:rPr>
          <w:rFonts w:ascii="Times New Roman" w:cs="Times New Roman" w:eastAsia="Times New Roman" w:hAnsi="Times New Roman"/>
          <w:sz w:val="22"/>
          <w:szCs w:val="22"/>
          <w:color w:val="auto"/>
        </w:rPr>
        <w:t>”). For purposes of this Agreement, the term “Company” shall include Parent and each of its subsidiaries, including the Company, unless the context clearly indicates otherwise.</w:t>
      </w:r>
    </w:p>
    <w:p>
      <w:pPr>
        <w:spacing w:after="0" w:line="179" w:lineRule="exact"/>
        <w:rPr>
          <w:sz w:val="20"/>
          <w:szCs w:val="20"/>
          <w:color w:val="auto"/>
        </w:rPr>
      </w:pPr>
    </w:p>
    <w:p>
      <w:pPr>
        <w:jc w:val="both"/>
        <w:ind w:left="200" w:right="219" w:firstLine="648"/>
        <w:spacing w:after="0" w:line="258" w:lineRule="auto"/>
        <w:rPr>
          <w:sz w:val="20"/>
          <w:szCs w:val="20"/>
          <w:color w:val="auto"/>
        </w:rPr>
      </w:pPr>
      <w:r>
        <w:rPr>
          <w:rFonts w:ascii="Times New Roman" w:cs="Times New Roman" w:eastAsia="Times New Roman" w:hAnsi="Times New Roman"/>
          <w:sz w:val="22"/>
          <w:szCs w:val="22"/>
          <w:color w:val="auto"/>
        </w:rPr>
        <w:t>WHEREAS, Executive desires to be employed by the Company as its Chief Merchandising Officer;</w:t>
      </w:r>
    </w:p>
    <w:p>
      <w:pPr>
        <w:spacing w:after="0" w:line="15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1"/>
          <w:szCs w:val="21"/>
          <w:color w:val="auto"/>
        </w:rPr>
        <w:t>WHEREAS, the Company desires to employ Executive as its Chief Merchandising Officer;</w:t>
      </w:r>
    </w:p>
    <w:p>
      <w:pPr>
        <w:spacing w:after="0" w:line="2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and</w:t>
      </w:r>
    </w:p>
    <w:p>
      <w:pPr>
        <w:spacing w:after="0" w:line="182" w:lineRule="exact"/>
        <w:rPr>
          <w:sz w:val="20"/>
          <w:szCs w:val="20"/>
          <w:color w:val="auto"/>
        </w:rPr>
      </w:pPr>
    </w:p>
    <w:p>
      <w:pPr>
        <w:jc w:val="both"/>
        <w:ind w:left="200" w:right="219" w:firstLine="648"/>
        <w:spacing w:after="0" w:line="258" w:lineRule="auto"/>
        <w:rPr>
          <w:sz w:val="20"/>
          <w:szCs w:val="20"/>
          <w:color w:val="auto"/>
        </w:rPr>
      </w:pPr>
      <w:r>
        <w:rPr>
          <w:rFonts w:ascii="Times New Roman" w:cs="Times New Roman" w:eastAsia="Times New Roman" w:hAnsi="Times New Roman"/>
          <w:sz w:val="22"/>
          <w:szCs w:val="22"/>
          <w:color w:val="auto"/>
        </w:rPr>
        <w:t>WHEREAS, the Company and Executive desire to enter into this Agreement on the terms and conditions set forth herein.</w:t>
      </w:r>
    </w:p>
    <w:p>
      <w:pPr>
        <w:spacing w:after="0" w:line="158" w:lineRule="exact"/>
        <w:rPr>
          <w:sz w:val="20"/>
          <w:szCs w:val="20"/>
          <w:color w:val="auto"/>
        </w:rPr>
      </w:pPr>
    </w:p>
    <w:p>
      <w:pPr>
        <w:jc w:val="both"/>
        <w:ind w:left="200" w:right="239" w:firstLine="648"/>
        <w:spacing w:after="0" w:line="244" w:lineRule="auto"/>
        <w:rPr>
          <w:sz w:val="20"/>
          <w:szCs w:val="20"/>
          <w:color w:val="auto"/>
        </w:rPr>
      </w:pPr>
      <w:r>
        <w:rPr>
          <w:rFonts w:ascii="Times New Roman" w:cs="Times New Roman" w:eastAsia="Times New Roman" w:hAnsi="Times New Roman"/>
          <w:sz w:val="22"/>
          <w:szCs w:val="22"/>
          <w:color w:val="auto"/>
        </w:rPr>
        <w:t>NOW THEREFORE, in consideration of the promises and mutual covenants and agreements contained herein, the adequacy of all of which consideration is hereby acknowledged, the parties hereby agree as follows:</w:t>
      </w:r>
    </w:p>
    <w:p>
      <w:pPr>
        <w:spacing w:after="0" w:line="169" w:lineRule="exact"/>
        <w:rPr>
          <w:sz w:val="20"/>
          <w:szCs w:val="20"/>
          <w:color w:val="auto"/>
        </w:rPr>
      </w:pPr>
    </w:p>
    <w:p>
      <w:pPr>
        <w:ind w:left="860" w:hanging="651"/>
        <w:spacing w:after="0"/>
        <w:tabs>
          <w:tab w:leader="none" w:pos="860" w:val="left"/>
        </w:tabs>
        <w:numPr>
          <w:ilvl w:val="0"/>
          <w:numId w:val="4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EMPLOYMENT</w:t>
      </w:r>
    </w:p>
    <w:p>
      <w:pPr>
        <w:spacing w:after="0" w:line="206" w:lineRule="exact"/>
        <w:rPr>
          <w:sz w:val="20"/>
          <w:szCs w:val="20"/>
          <w:color w:val="auto"/>
        </w:rPr>
      </w:pPr>
    </w:p>
    <w:p>
      <w:pPr>
        <w:jc w:val="both"/>
        <w:ind w:left="200" w:right="219" w:firstLine="648"/>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1.1 Agreement and Term. </w:t>
      </w:r>
      <w:r>
        <w:rPr>
          <w:rFonts w:ascii="Times New Roman" w:cs="Times New Roman" w:eastAsia="Times New Roman" w:hAnsi="Times New Roman"/>
          <w:sz w:val="22"/>
          <w:szCs w:val="22"/>
          <w:color w:val="auto"/>
        </w:rPr>
        <w:t>Executive’s employment and the term of this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b w:val="1"/>
          <w:bCs w:val="1"/>
          <w:color w:val="auto"/>
        </w:rPr>
        <w:t>Term</w:t>
      </w:r>
      <w:r>
        <w:rPr>
          <w:rFonts w:ascii="Times New Roman" w:cs="Times New Roman" w:eastAsia="Times New Roman" w:hAnsi="Times New Roman"/>
          <w:sz w:val="22"/>
          <w:szCs w:val="22"/>
          <w:color w:val="auto"/>
        </w:rPr>
        <w:t>”) shall commence on January 15, 2024 (the “</w:t>
      </w:r>
      <w:r>
        <w:rPr>
          <w:rFonts w:ascii="Times New Roman" w:cs="Times New Roman" w:eastAsia="Times New Roman" w:hAnsi="Times New Roman"/>
          <w:sz w:val="22"/>
          <w:szCs w:val="22"/>
          <w:b w:val="1"/>
          <w:bCs w:val="1"/>
          <w:color w:val="auto"/>
        </w:rPr>
        <w:t>Start Date</w:t>
      </w:r>
      <w:r>
        <w:rPr>
          <w:rFonts w:ascii="Times New Roman" w:cs="Times New Roman" w:eastAsia="Times New Roman" w:hAnsi="Times New Roman"/>
          <w:sz w:val="22"/>
          <w:szCs w:val="22"/>
          <w:color w:val="auto"/>
        </w:rPr>
        <w:t>”) and end at 11:59 p.m. on December 31, 2025 (the “</w:t>
      </w:r>
      <w:r>
        <w:rPr>
          <w:rFonts w:ascii="Times New Roman" w:cs="Times New Roman" w:eastAsia="Times New Roman" w:hAnsi="Times New Roman"/>
          <w:sz w:val="22"/>
          <w:szCs w:val="22"/>
          <w:b w:val="1"/>
          <w:bCs w:val="1"/>
          <w:color w:val="auto"/>
        </w:rPr>
        <w:t>Initial Term Expiration Date</w:t>
      </w:r>
      <w:r>
        <w:rPr>
          <w:rFonts w:ascii="Times New Roman" w:cs="Times New Roman" w:eastAsia="Times New Roman" w:hAnsi="Times New Roman"/>
          <w:sz w:val="22"/>
          <w:szCs w:val="22"/>
          <w:color w:val="auto"/>
        </w:rPr>
        <w:t>”), subject to earlier termination as provided in Section 3; provided, that, commencing on the Initial Term Expiration Date and on each anniversary thereafter (each, an “</w:t>
      </w:r>
      <w:r>
        <w:rPr>
          <w:rFonts w:ascii="Times New Roman" w:cs="Times New Roman" w:eastAsia="Times New Roman" w:hAnsi="Times New Roman"/>
          <w:sz w:val="22"/>
          <w:szCs w:val="22"/>
          <w:b w:val="1"/>
          <w:bCs w:val="1"/>
          <w:color w:val="auto"/>
        </w:rPr>
        <w:t>Extension Date</w:t>
      </w:r>
      <w:r>
        <w:rPr>
          <w:rFonts w:ascii="Times New Roman" w:cs="Times New Roman" w:eastAsia="Times New Roman" w:hAnsi="Times New Roman"/>
          <w:sz w:val="22"/>
          <w:szCs w:val="22"/>
          <w:color w:val="auto"/>
        </w:rPr>
        <w:t>”), the Term shall be automatically extended for an additional one-year period unless the Company or Executive has provided the other party hereto at least 60 days prior written notice before a particular Extension Date that the Term shall not be so extended on such Extension Date.</w:t>
      </w:r>
    </w:p>
    <w:p>
      <w:pPr>
        <w:spacing w:after="0" w:line="178"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1.2</w:t>
      </w:r>
      <w:r>
        <w:rPr>
          <w:sz w:val="20"/>
          <w:szCs w:val="20"/>
          <w:color w:val="auto"/>
        </w:rPr>
        <w:tab/>
      </w:r>
      <w:r>
        <w:rPr>
          <w:rFonts w:ascii="Times New Roman" w:cs="Times New Roman" w:eastAsia="Times New Roman" w:hAnsi="Times New Roman"/>
          <w:sz w:val="21"/>
          <w:szCs w:val="21"/>
          <w:b w:val="1"/>
          <w:bCs w:val="1"/>
          <w:color w:val="auto"/>
        </w:rPr>
        <w:t>Position and Duties; Work Location.</w:t>
      </w:r>
    </w:p>
    <w:p>
      <w:pPr>
        <w:spacing w:after="0" w:line="210" w:lineRule="exact"/>
        <w:rPr>
          <w:sz w:val="20"/>
          <w:szCs w:val="20"/>
          <w:color w:val="auto"/>
        </w:rPr>
      </w:pPr>
    </w:p>
    <w:p>
      <w:pPr>
        <w:jc w:val="both"/>
        <w:ind w:left="200" w:right="219" w:firstLine="1305"/>
        <w:spacing w:after="0" w:line="236" w:lineRule="auto"/>
        <w:tabs>
          <w:tab w:leader="none" w:pos="2144"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Term, Executive shall serve as the Chief Merchandising Officer of the Company and Parent and shall report directly to the Chief Executive Officer of Parent (the “</w:t>
      </w:r>
      <w:r>
        <w:rPr>
          <w:rFonts w:ascii="Times New Roman" w:cs="Times New Roman" w:eastAsia="Times New Roman" w:hAnsi="Times New Roman"/>
          <w:sz w:val="22"/>
          <w:szCs w:val="22"/>
          <w:b w:val="1"/>
          <w:bCs w:val="1"/>
          <w:color w:val="auto"/>
        </w:rPr>
        <w:t>CEO</w:t>
      </w:r>
      <w:r>
        <w:rPr>
          <w:rFonts w:ascii="Times New Roman" w:cs="Times New Roman" w:eastAsia="Times New Roman" w:hAnsi="Times New Roman"/>
          <w:sz w:val="22"/>
          <w:szCs w:val="22"/>
          <w:color w:val="auto"/>
        </w:rPr>
        <w:t>”). In such position, Executive shall have such duties, responsibilities and authorities as are customarily associated with such position for an officer with the same title at a similar company and shall perform such other duties, commensurate with Executive’s position, as requested by the CEO.</w:t>
      </w:r>
    </w:p>
    <w:p>
      <w:pPr>
        <w:spacing w:after="0" w:line="181" w:lineRule="exact"/>
        <w:rPr>
          <w:rFonts w:ascii="Times New Roman" w:cs="Times New Roman" w:eastAsia="Times New Roman" w:hAnsi="Times New Roman"/>
          <w:sz w:val="22"/>
          <w:szCs w:val="22"/>
          <w:color w:val="auto"/>
        </w:rPr>
      </w:pPr>
    </w:p>
    <w:p>
      <w:pPr>
        <w:jc w:val="both"/>
        <w:ind w:left="200" w:right="219" w:firstLine="1305"/>
        <w:spacing w:after="0" w:line="239" w:lineRule="auto"/>
        <w:tabs>
          <w:tab w:leader="none" w:pos="2144"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010101"/>
        </w:rPr>
        <w:t>During the Term, Executive’s principal work location shall be the Company’s office in Los Angeles, California. Executive shall adhere to the Company’s then-current policies regarding remote and in-person work. Executive shall be required to travel to other Company offices and/or for Company business as requested.</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A-1</w:t>
      </w:r>
    </w:p>
    <w:p>
      <w:pPr>
        <w:spacing w:after="0" w:line="14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color w:val="auto"/>
        </w:rPr>
        <w:t>US-DOCS\130673291.7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349250</wp:posOffset>
            </wp:positionV>
            <wp:extent cx="5452110"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80" w:right="1440" w:bottom="1440" w:gutter="0" w:footer="0" w:header="0"/>
        </w:sectPr>
      </w:pPr>
    </w:p>
    <w:bookmarkStart w:id="109" w:name="page110"/>
    <w:bookmarkEnd w:id="109"/>
    <w:p>
      <w:pPr>
        <w:jc w:val="both"/>
        <w:ind w:left="200" w:right="219" w:firstLine="648"/>
        <w:spacing w:after="0" w:line="235" w:lineRule="auto"/>
        <w:rPr>
          <w:sz w:val="20"/>
          <w:szCs w:val="20"/>
          <w:color w:val="auto"/>
        </w:rPr>
      </w:pPr>
      <w:r>
        <w:rPr>
          <w:rFonts w:ascii="Times New Roman" w:cs="Times New Roman" w:eastAsia="Times New Roman" w:hAnsi="Times New Roman"/>
          <w:sz w:val="22"/>
          <w:szCs w:val="22"/>
          <w:b w:val="1"/>
          <w:bCs w:val="1"/>
          <w:color w:val="auto"/>
        </w:rPr>
        <w:t>1.3 Outside Activities</w:t>
      </w:r>
      <w:r>
        <w:rPr>
          <w:rFonts w:ascii="Times New Roman" w:cs="Times New Roman" w:eastAsia="Times New Roman" w:hAnsi="Times New Roman"/>
          <w:sz w:val="22"/>
          <w:szCs w:val="22"/>
          <w:color w:val="auto"/>
        </w:rPr>
        <w:t>. During the Term, Executive shall use Executive’s best efforts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devote Executive’s full business time to the performance of Executive’s duties to the Company; provided, that the foregoing shall not prevent Executive from (i) serving on the boards of directors of one (1) non-profit organization and/or one (1) for-profit company, subject to Executive receiving prior written consent of the Board of Directors of Parent (the “</w:t>
      </w:r>
      <w:r>
        <w:rPr>
          <w:rFonts w:ascii="Times New Roman" w:cs="Times New Roman" w:eastAsia="Times New Roman" w:hAnsi="Times New Roman"/>
          <w:sz w:val="22"/>
          <w:szCs w:val="22"/>
          <w:b w:val="1"/>
          <w:bCs w:val="1"/>
          <w:color w:val="auto"/>
        </w:rPr>
        <w:t>Board</w:t>
      </w:r>
      <w:r>
        <w:rPr>
          <w:rFonts w:ascii="Times New Roman" w:cs="Times New Roman" w:eastAsia="Times New Roman" w:hAnsi="Times New Roman"/>
          <w:sz w:val="22"/>
          <w:szCs w:val="22"/>
          <w:color w:val="auto"/>
        </w:rPr>
        <w:t>”) and CEO; (ii) participating in charitable, civic, educational, or community affairs, or (iii) managing Executive’s passive personal investments, in each case, so long as such activities, individually or in the aggregate, do not interfere or conflict with Executive’s obligations or duties hereunder or create a potential business or fiduciary conflict with Executive’s duties.</w:t>
      </w:r>
    </w:p>
    <w:p>
      <w:pPr>
        <w:spacing w:after="0" w:line="174" w:lineRule="exact"/>
        <w:rPr>
          <w:sz w:val="20"/>
          <w:szCs w:val="20"/>
          <w:color w:val="auto"/>
        </w:rPr>
      </w:pPr>
    </w:p>
    <w:p>
      <w:pPr>
        <w:ind w:left="860" w:hanging="651"/>
        <w:spacing w:after="0"/>
        <w:tabs>
          <w:tab w:leader="none" w:pos="860" w:val="left"/>
        </w:tabs>
        <w:numPr>
          <w:ilvl w:val="0"/>
          <w:numId w:val="4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COMPENSATION AND BENEFITS; EXPENSES</w:t>
      </w:r>
    </w:p>
    <w:p>
      <w:pPr>
        <w:spacing w:after="0" w:line="206" w:lineRule="exact"/>
        <w:rPr>
          <w:sz w:val="20"/>
          <w:szCs w:val="20"/>
          <w:color w:val="auto"/>
        </w:rPr>
      </w:pPr>
    </w:p>
    <w:p>
      <w:pPr>
        <w:jc w:val="both"/>
        <w:ind w:left="200" w:right="219" w:firstLine="648"/>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2.1 Salary. </w:t>
      </w:r>
      <w:r>
        <w:rPr>
          <w:rFonts w:ascii="Times New Roman" w:cs="Times New Roman" w:eastAsia="Times New Roman" w:hAnsi="Times New Roman"/>
          <w:sz w:val="22"/>
          <w:szCs w:val="22"/>
          <w:color w:val="auto"/>
        </w:rPr>
        <w:t>The Company shall compensate and pay Executive a salary for Executive’s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services at a rate equivalent to $450,000 per year (“</w:t>
      </w:r>
      <w:r>
        <w:rPr>
          <w:rFonts w:ascii="Times New Roman" w:cs="Times New Roman" w:eastAsia="Times New Roman" w:hAnsi="Times New Roman"/>
          <w:sz w:val="22"/>
          <w:szCs w:val="22"/>
          <w:b w:val="1"/>
          <w:bCs w:val="1"/>
          <w:color w:val="auto"/>
        </w:rPr>
        <w:t>Base Salary</w:t>
      </w:r>
      <w:r>
        <w:rPr>
          <w:rFonts w:ascii="Times New Roman" w:cs="Times New Roman" w:eastAsia="Times New Roman" w:hAnsi="Times New Roman"/>
          <w:sz w:val="22"/>
          <w:szCs w:val="22"/>
          <w:color w:val="auto"/>
        </w:rPr>
        <w:t>”), less payroll deductions and all required tax withholdings, which Base Salary shall be payable in accordance with the Company’s customary payroll practices applicable to its executives. Executive shall be entitled to such increases in the Base Salary, if any, as may be determined from time to time in the discretion of the Compensation Committee (the “</w:t>
      </w:r>
      <w:r>
        <w:rPr>
          <w:rFonts w:ascii="Times New Roman" w:cs="Times New Roman" w:eastAsia="Times New Roman" w:hAnsi="Times New Roman"/>
          <w:sz w:val="22"/>
          <w:szCs w:val="22"/>
          <w:b w:val="1"/>
          <w:bCs w:val="1"/>
          <w:color w:val="auto"/>
        </w:rPr>
        <w:t>Compensation Committee</w:t>
      </w:r>
      <w:r>
        <w:rPr>
          <w:rFonts w:ascii="Times New Roman" w:cs="Times New Roman" w:eastAsia="Times New Roman" w:hAnsi="Times New Roman"/>
          <w:sz w:val="22"/>
          <w:szCs w:val="22"/>
          <w:color w:val="auto"/>
        </w:rPr>
        <w:t>”) of the Board.</w:t>
      </w:r>
    </w:p>
    <w:p>
      <w:pPr>
        <w:spacing w:after="0" w:line="175" w:lineRule="exact"/>
        <w:rPr>
          <w:sz w:val="20"/>
          <w:szCs w:val="20"/>
          <w:color w:val="auto"/>
        </w:rPr>
      </w:pPr>
    </w:p>
    <w:p>
      <w:pPr>
        <w:jc w:val="both"/>
        <w:ind w:left="200" w:right="219" w:firstLine="648"/>
        <w:spacing w:after="0" w:line="245" w:lineRule="auto"/>
        <w:rPr>
          <w:sz w:val="20"/>
          <w:szCs w:val="20"/>
          <w:color w:val="auto"/>
        </w:rPr>
      </w:pPr>
      <w:r>
        <w:rPr>
          <w:rFonts w:ascii="Times New Roman" w:cs="Times New Roman" w:eastAsia="Times New Roman" w:hAnsi="Times New Roman"/>
          <w:sz w:val="21"/>
          <w:szCs w:val="21"/>
          <w:b w:val="1"/>
          <w:bCs w:val="1"/>
          <w:color w:val="auto"/>
        </w:rPr>
        <w:t xml:space="preserve">2.2 Bonus. </w:t>
      </w:r>
      <w:r>
        <w:rPr>
          <w:rFonts w:ascii="Times New Roman" w:cs="Times New Roman" w:eastAsia="Times New Roman" w:hAnsi="Times New Roman"/>
          <w:sz w:val="21"/>
          <w:szCs w:val="21"/>
          <w:color w:val="auto"/>
        </w:rPr>
        <w:t>With respect to each fiscal year of the Company ending during the Term,</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and subject to the achievement of any applicable performance goals, based on corporate, business unit and/or individual performance, to be established by the Board or Compensation Committee, Executive shall be entitled to participate in the Company’s annual incentive plan, on such terms and conditions as may be established by the Board or Compensation Committee from time to time, under which Executive shall be eligible to earn an annual bonus (the “</w:t>
      </w:r>
      <w:r>
        <w:rPr>
          <w:rFonts w:ascii="Times New Roman" w:cs="Times New Roman" w:eastAsia="Times New Roman" w:hAnsi="Times New Roman"/>
          <w:sz w:val="21"/>
          <w:szCs w:val="21"/>
          <w:b w:val="1"/>
          <w:bCs w:val="1"/>
          <w:color w:val="auto"/>
        </w:rPr>
        <w:t>Annual Bonus</w:t>
      </w:r>
      <w:r>
        <w:rPr>
          <w:rFonts w:ascii="Times New Roman" w:cs="Times New Roman" w:eastAsia="Times New Roman" w:hAnsi="Times New Roman"/>
          <w:sz w:val="21"/>
          <w:szCs w:val="21"/>
          <w:color w:val="auto"/>
        </w:rPr>
        <w:t>”), with a target amount equal to 50% of the Base Salary (the “</w:t>
      </w:r>
      <w:r>
        <w:rPr>
          <w:rFonts w:ascii="Times New Roman" w:cs="Times New Roman" w:eastAsia="Times New Roman" w:hAnsi="Times New Roman"/>
          <w:sz w:val="21"/>
          <w:szCs w:val="21"/>
          <w:b w:val="1"/>
          <w:bCs w:val="1"/>
          <w:color w:val="auto"/>
        </w:rPr>
        <w:t>Target Bonus</w:t>
      </w:r>
      <w:r>
        <w:rPr>
          <w:rFonts w:ascii="Times New Roman" w:cs="Times New Roman" w:eastAsia="Times New Roman" w:hAnsi="Times New Roman"/>
          <w:sz w:val="21"/>
          <w:szCs w:val="21"/>
          <w:color w:val="auto"/>
        </w:rPr>
        <w:t>”), subject to Executive being employed with the Company on the date that the Annual Bonus is paid. The actual bonus amount may be greater or less than the Target Bonus based on performance and pursuant to the Company’s bonus policies and plans in place at the time. The Annual Bonus shall be paid in accordance with the Company’s customary practices. For avoidance of doubt, Executive shall be eligible to receive “stretch” bonuses under the terms established in the Company’s annual incentive plan.</w:t>
      </w:r>
    </w:p>
    <w:p>
      <w:pPr>
        <w:spacing w:after="0" w:line="174" w:lineRule="exact"/>
        <w:rPr>
          <w:sz w:val="20"/>
          <w:szCs w:val="20"/>
          <w:color w:val="auto"/>
        </w:rPr>
      </w:pPr>
    </w:p>
    <w:p>
      <w:pPr>
        <w:jc w:val="both"/>
        <w:ind w:left="200" w:right="219" w:firstLine="648"/>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2.3 Employee Benefits; Vacation. </w:t>
      </w:r>
      <w:r>
        <w:rPr>
          <w:rFonts w:ascii="Times New Roman" w:cs="Times New Roman" w:eastAsia="Times New Roman" w:hAnsi="Times New Roman"/>
          <w:sz w:val="22"/>
          <w:szCs w:val="22"/>
          <w:color w:val="auto"/>
        </w:rPr>
        <w:t>During the Term of this Agreement, Executive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 entitled to participate in the employee benefit plans and programs, including paid time off, made available to executives of the Company. The terms and conditions of Executive's participation in any employee benefit plan or program shall be subject to the terms and conditions of such plan or program, as may be amended or modified by the Company from time to time. Nothing in this Agreement shall preclude the Company from amending or terminating any employee benefit plan or program in accordance with the terms thereof.</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542290</wp:posOffset>
            </wp:positionV>
            <wp:extent cx="5452110"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110" w:name="page111"/>
    <w:bookmarkEnd w:id="110"/>
    <w:p>
      <w:pPr>
        <w:ind w:left="860"/>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2.4</w:t>
      </w:r>
      <w:r>
        <w:rPr>
          <w:sz w:val="20"/>
          <w:szCs w:val="20"/>
          <w:color w:val="auto"/>
        </w:rPr>
        <w:tab/>
      </w:r>
      <w:r>
        <w:rPr>
          <w:rFonts w:ascii="Times New Roman" w:cs="Times New Roman" w:eastAsia="Times New Roman" w:hAnsi="Times New Roman"/>
          <w:sz w:val="21"/>
          <w:szCs w:val="21"/>
          <w:b w:val="1"/>
          <w:bCs w:val="1"/>
          <w:color w:val="auto"/>
        </w:rPr>
        <w:t>Equity Awards.</w:t>
      </w:r>
    </w:p>
    <w:p>
      <w:pPr>
        <w:spacing w:after="0" w:line="207" w:lineRule="exact"/>
        <w:rPr>
          <w:sz w:val="20"/>
          <w:szCs w:val="20"/>
          <w:color w:val="auto"/>
        </w:rPr>
      </w:pPr>
    </w:p>
    <w:p>
      <w:pPr>
        <w:ind w:left="1820" w:hanging="315"/>
        <w:spacing w:after="0"/>
        <w:tabs>
          <w:tab w:leader="none" w:pos="182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Initial RSU Awards</w:t>
      </w:r>
    </w:p>
    <w:p>
      <w:pPr>
        <w:spacing w:after="0" w:line="210" w:lineRule="exact"/>
        <w:rPr>
          <w:rFonts w:ascii="Times New Roman" w:cs="Times New Roman" w:eastAsia="Times New Roman" w:hAnsi="Times New Roman"/>
          <w:sz w:val="22"/>
          <w:szCs w:val="22"/>
          <w:color w:val="auto"/>
        </w:rPr>
      </w:pPr>
    </w:p>
    <w:p>
      <w:pPr>
        <w:jc w:val="both"/>
        <w:ind w:left="200" w:right="219" w:firstLine="2277"/>
        <w:spacing w:after="0" w:line="234" w:lineRule="auto"/>
        <w:tabs>
          <w:tab w:leader="none" w:pos="3184" w:val="left"/>
        </w:tabs>
        <w:numPr>
          <w:ilvl w:val="1"/>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the first quarterly meeting of the Board in 2024, subject to Executive’s continued employment with the Company through the grant date, the Company will recommend to the Compensation Committee and the Board that the Executive be granted an award of 50,000 restricted stock units (“</w:t>
      </w:r>
      <w:r>
        <w:rPr>
          <w:rFonts w:ascii="Times New Roman" w:cs="Times New Roman" w:eastAsia="Times New Roman" w:hAnsi="Times New Roman"/>
          <w:sz w:val="22"/>
          <w:szCs w:val="22"/>
          <w:b w:val="1"/>
          <w:bCs w:val="1"/>
          <w:color w:val="auto"/>
        </w:rPr>
        <w:t>RSUs</w:t>
      </w:r>
      <w:r>
        <w:rPr>
          <w:rFonts w:ascii="Times New Roman" w:cs="Times New Roman" w:eastAsia="Times New Roman" w:hAnsi="Times New Roman"/>
          <w:sz w:val="22"/>
          <w:szCs w:val="22"/>
          <w:color w:val="auto"/>
        </w:rPr>
        <w:t>”), pursuant to the terms of the Lulu’s Fashion Lounge Holdings, Inc. Omnibus Equity Plan (the “</w:t>
      </w:r>
      <w:r>
        <w:rPr>
          <w:rFonts w:ascii="Times New Roman" w:cs="Times New Roman" w:eastAsia="Times New Roman" w:hAnsi="Times New Roman"/>
          <w:sz w:val="22"/>
          <w:szCs w:val="22"/>
          <w:b w:val="1"/>
          <w:bCs w:val="1"/>
          <w:color w:val="auto"/>
        </w:rPr>
        <w:t>Equity Plan</w:t>
      </w:r>
      <w:r>
        <w:rPr>
          <w:rFonts w:ascii="Times New Roman" w:cs="Times New Roman" w:eastAsia="Times New Roman" w:hAnsi="Times New Roman"/>
          <w:sz w:val="22"/>
          <w:szCs w:val="22"/>
          <w:color w:val="auto"/>
        </w:rPr>
        <w:t>”) and an individual RSU award agreement (the “</w:t>
      </w:r>
      <w:r>
        <w:rPr>
          <w:rFonts w:ascii="Times New Roman" w:cs="Times New Roman" w:eastAsia="Times New Roman" w:hAnsi="Times New Roman"/>
          <w:sz w:val="22"/>
          <w:szCs w:val="22"/>
          <w:b w:val="1"/>
          <w:bCs w:val="1"/>
          <w:color w:val="auto"/>
        </w:rPr>
        <w:t>Year One RSU Award</w:t>
      </w:r>
      <w:r>
        <w:rPr>
          <w:rFonts w:ascii="Times New Roman" w:cs="Times New Roman" w:eastAsia="Times New Roman" w:hAnsi="Times New Roman"/>
          <w:sz w:val="22"/>
          <w:szCs w:val="22"/>
          <w:color w:val="auto"/>
        </w:rPr>
        <w:t>”). Provided that Executive remains employed with the Company through the applicable vesting date, the Year One RSU Award will vest as to 25% of the total underlying RSUs on the following dates: (1) March 31, 2024; (2) June 30, 2024; September 30, 2024; and (4) December 31, 2024.</w:t>
      </w:r>
    </w:p>
    <w:p>
      <w:pPr>
        <w:spacing w:after="0" w:line="183" w:lineRule="exact"/>
        <w:rPr>
          <w:rFonts w:ascii="Times New Roman" w:cs="Times New Roman" w:eastAsia="Times New Roman" w:hAnsi="Times New Roman"/>
          <w:sz w:val="22"/>
          <w:szCs w:val="22"/>
          <w:color w:val="auto"/>
        </w:rPr>
      </w:pPr>
    </w:p>
    <w:p>
      <w:pPr>
        <w:jc w:val="both"/>
        <w:ind w:left="200" w:right="219" w:firstLine="2277"/>
        <w:spacing w:after="0" w:line="235" w:lineRule="auto"/>
        <w:tabs>
          <w:tab w:leader="none" w:pos="3116" w:val="left"/>
        </w:tabs>
        <w:numPr>
          <w:ilvl w:val="1"/>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the first quarterly meeting of the Board in 2025, subject to Executive’s continued employment with the Company through the grant date, the Company will recommend to the Compensation Committee and the Board that the Executive be granted an award of 50,000 RSUs, pursuant to the terms of the Equity Plan and an individual RSU award agreement (the “</w:t>
      </w:r>
      <w:r>
        <w:rPr>
          <w:rFonts w:ascii="Times New Roman" w:cs="Times New Roman" w:eastAsia="Times New Roman" w:hAnsi="Times New Roman"/>
          <w:sz w:val="22"/>
          <w:szCs w:val="22"/>
          <w:b w:val="1"/>
          <w:bCs w:val="1"/>
          <w:color w:val="auto"/>
        </w:rPr>
        <w:t>Year Two RSU Award</w:t>
      </w:r>
      <w:r>
        <w:rPr>
          <w:rFonts w:ascii="Times New Roman" w:cs="Times New Roman" w:eastAsia="Times New Roman" w:hAnsi="Times New Roman"/>
          <w:sz w:val="22"/>
          <w:szCs w:val="22"/>
          <w:color w:val="auto"/>
        </w:rPr>
        <w:t>”). Provided that Executive remains employed with the Company through the applicable vesting date, the Year Two RSU Award will vest as to 25% of the total underlying RSUs on the following dates: (1) March 31, 2025; (2) June 30, 2025; September 30, 2025; and (4) December 31, 2025.</w:t>
      </w:r>
    </w:p>
    <w:p>
      <w:pPr>
        <w:spacing w:after="0" w:line="174" w:lineRule="exact"/>
        <w:rPr>
          <w:rFonts w:ascii="Times New Roman" w:cs="Times New Roman" w:eastAsia="Times New Roman" w:hAnsi="Times New Roman"/>
          <w:sz w:val="22"/>
          <w:szCs w:val="22"/>
          <w:color w:val="auto"/>
        </w:rPr>
      </w:pPr>
    </w:p>
    <w:p>
      <w:pPr>
        <w:ind w:left="1820" w:hanging="315"/>
        <w:spacing w:after="0"/>
        <w:tabs>
          <w:tab w:leader="none" w:pos="182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Initial PSU Awards</w:t>
      </w:r>
    </w:p>
    <w:p>
      <w:pPr>
        <w:spacing w:after="0" w:line="210" w:lineRule="exact"/>
        <w:rPr>
          <w:rFonts w:ascii="Times New Roman" w:cs="Times New Roman" w:eastAsia="Times New Roman" w:hAnsi="Times New Roman"/>
          <w:sz w:val="22"/>
          <w:szCs w:val="22"/>
          <w:color w:val="auto"/>
        </w:rPr>
      </w:pPr>
    </w:p>
    <w:p>
      <w:pPr>
        <w:jc w:val="both"/>
        <w:ind w:left="200" w:right="219" w:firstLine="2277"/>
        <w:spacing w:after="0" w:line="238" w:lineRule="auto"/>
        <w:tabs>
          <w:tab w:leader="none" w:pos="3116" w:val="left"/>
        </w:tabs>
        <w:numPr>
          <w:ilvl w:val="1"/>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the first quarterly meeting of the Board in 2024, subject to Executive’s continued employment with the Company through the grant date, the Company will recommend to the Compensation Committee and the Board that the Executive be granted an award of 50,000 performance-based RSUs (“</w:t>
      </w:r>
      <w:r>
        <w:rPr>
          <w:rFonts w:ascii="Times New Roman" w:cs="Times New Roman" w:eastAsia="Times New Roman" w:hAnsi="Times New Roman"/>
          <w:sz w:val="22"/>
          <w:szCs w:val="22"/>
          <w:b w:val="1"/>
          <w:bCs w:val="1"/>
          <w:color w:val="auto"/>
        </w:rPr>
        <w:t>PSUs</w:t>
      </w:r>
      <w:r>
        <w:rPr>
          <w:rFonts w:ascii="Times New Roman" w:cs="Times New Roman" w:eastAsia="Times New Roman" w:hAnsi="Times New Roman"/>
          <w:sz w:val="22"/>
          <w:szCs w:val="22"/>
          <w:color w:val="auto"/>
        </w:rPr>
        <w:t>”) pursuant to the terms of the Equity Plan and an individual PSU award agreement (the “</w:t>
      </w:r>
      <w:r>
        <w:rPr>
          <w:rFonts w:ascii="Times New Roman" w:cs="Times New Roman" w:eastAsia="Times New Roman" w:hAnsi="Times New Roman"/>
          <w:sz w:val="22"/>
          <w:szCs w:val="22"/>
          <w:b w:val="1"/>
          <w:bCs w:val="1"/>
          <w:color w:val="auto"/>
        </w:rPr>
        <w:t>Year One PSU Award</w:t>
      </w:r>
      <w:r>
        <w:rPr>
          <w:rFonts w:ascii="Times New Roman" w:cs="Times New Roman" w:eastAsia="Times New Roman" w:hAnsi="Times New Roman"/>
          <w:sz w:val="22"/>
          <w:szCs w:val="22"/>
          <w:color w:val="auto"/>
        </w:rPr>
        <w:t>”), which shall vest as follows:</w:t>
      </w:r>
    </w:p>
    <w:p>
      <w:pPr>
        <w:spacing w:after="0" w:line="177" w:lineRule="exact"/>
        <w:rPr>
          <w:sz w:val="20"/>
          <w:szCs w:val="20"/>
          <w:color w:val="auto"/>
        </w:rPr>
      </w:pPr>
    </w:p>
    <w:p>
      <w:pPr>
        <w:jc w:val="both"/>
        <w:ind w:left="200" w:right="219" w:firstLine="648"/>
        <w:spacing w:after="0" w:line="249" w:lineRule="auto"/>
        <w:rPr>
          <w:sz w:val="20"/>
          <w:szCs w:val="20"/>
          <w:color w:val="auto"/>
        </w:rPr>
      </w:pPr>
      <w:r>
        <w:rPr>
          <w:rFonts w:ascii="Times New Roman" w:cs="Times New Roman" w:eastAsia="Times New Roman" w:hAnsi="Times New Roman"/>
          <w:sz w:val="21"/>
          <w:szCs w:val="21"/>
          <w:color w:val="auto"/>
        </w:rPr>
        <w:t>All of the PSUs underlying the Year One PSU Award will vest on the date when both of the following have occurred, provided that Executive remains employed with the Company through such date: (i) the Company files a Form 10-Q or Form 10-K with the Securities and Exchange Commission (“</w:t>
      </w:r>
      <w:r>
        <w:rPr>
          <w:rFonts w:ascii="Times New Roman" w:cs="Times New Roman" w:eastAsia="Times New Roman" w:hAnsi="Times New Roman"/>
          <w:sz w:val="21"/>
          <w:szCs w:val="21"/>
          <w:b w:val="1"/>
          <w:bCs w:val="1"/>
          <w:color w:val="auto"/>
        </w:rPr>
        <w:t>SEC</w:t>
      </w:r>
      <w:r>
        <w:rPr>
          <w:rFonts w:ascii="Times New Roman" w:cs="Times New Roman" w:eastAsia="Times New Roman" w:hAnsi="Times New Roman"/>
          <w:sz w:val="21"/>
          <w:szCs w:val="21"/>
          <w:color w:val="auto"/>
        </w:rPr>
        <w:t>”) indicating that the Company has trailing twelve months’ net revenue that is at least $75 million more than the Company’s net revenue in fiscal year ending December 31, 2023 (the “</w:t>
      </w:r>
      <w:r>
        <w:rPr>
          <w:rFonts w:ascii="Times New Roman" w:cs="Times New Roman" w:eastAsia="Times New Roman" w:hAnsi="Times New Roman"/>
          <w:sz w:val="21"/>
          <w:szCs w:val="21"/>
          <w:b w:val="1"/>
          <w:bCs w:val="1"/>
          <w:color w:val="auto"/>
        </w:rPr>
        <w:t>Base Revenue</w:t>
      </w:r>
      <w:r>
        <w:rPr>
          <w:rFonts w:ascii="Times New Roman" w:cs="Times New Roman" w:eastAsia="Times New Roman" w:hAnsi="Times New Roman"/>
          <w:sz w:val="21"/>
          <w:szCs w:val="21"/>
          <w:color w:val="auto"/>
        </w:rPr>
        <w:t>”) and (ii) the first anniversary of the Start Date has occurred.</w:t>
      </w:r>
    </w:p>
    <w:p>
      <w:pPr>
        <w:spacing w:after="0" w:line="171" w:lineRule="exact"/>
        <w:rPr>
          <w:sz w:val="20"/>
          <w:szCs w:val="20"/>
          <w:color w:val="auto"/>
        </w:rPr>
      </w:pPr>
    </w:p>
    <w:p>
      <w:pPr>
        <w:jc w:val="both"/>
        <w:ind w:left="200" w:right="219" w:firstLine="2277"/>
        <w:spacing w:after="0" w:line="238" w:lineRule="auto"/>
        <w:tabs>
          <w:tab w:leader="none" w:pos="3116"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the first quarterly meeting of the Board in 2025, subject to Executive’s continued employment with the Company through the grant date, the Company will recommend to the Compensation Committee and the Board that the Executive be granted an award of 50,000 PSUs pursuant to the terms of the Equity Plan and an individual PSU award agreement (the “</w:t>
      </w:r>
      <w:r>
        <w:rPr>
          <w:rFonts w:ascii="Times New Roman" w:cs="Times New Roman" w:eastAsia="Times New Roman" w:hAnsi="Times New Roman"/>
          <w:sz w:val="22"/>
          <w:szCs w:val="22"/>
          <w:b w:val="1"/>
          <w:bCs w:val="1"/>
          <w:color w:val="auto"/>
        </w:rPr>
        <w:t>Year Two PSU Award</w:t>
      </w:r>
      <w:r>
        <w:rPr>
          <w:rFonts w:ascii="Times New Roman" w:cs="Times New Roman" w:eastAsia="Times New Roman" w:hAnsi="Times New Roman"/>
          <w:sz w:val="22"/>
          <w:szCs w:val="22"/>
          <w:color w:val="auto"/>
        </w:rPr>
        <w:t>”), which shall vest as follows:</w:t>
      </w:r>
    </w:p>
    <w:p>
      <w:pPr>
        <w:spacing w:after="0" w:line="177" w:lineRule="exact"/>
        <w:rPr>
          <w:sz w:val="20"/>
          <w:szCs w:val="20"/>
          <w:color w:val="auto"/>
        </w:rPr>
      </w:pPr>
    </w:p>
    <w:p>
      <w:pPr>
        <w:jc w:val="both"/>
        <w:ind w:left="200" w:right="239" w:firstLine="1296"/>
        <w:spacing w:after="0" w:line="261" w:lineRule="auto"/>
        <w:rPr>
          <w:sz w:val="20"/>
          <w:szCs w:val="20"/>
          <w:color w:val="auto"/>
        </w:rPr>
      </w:pPr>
      <w:r>
        <w:rPr>
          <w:rFonts w:ascii="Times New Roman" w:cs="Times New Roman" w:eastAsia="Times New Roman" w:hAnsi="Times New Roman"/>
          <w:sz w:val="21"/>
          <w:szCs w:val="21"/>
          <w:color w:val="auto"/>
        </w:rPr>
        <w:t>All of the PSUs underlying the Year Two PSU Award will vest on the date when both of the following have occurred, provided that Executive remains employed with the Company through such date: (i) the Company files a Form 10-Q or Form 10-K with the SEC indicating that</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542290</wp:posOffset>
            </wp:positionV>
            <wp:extent cx="5452110" cy="260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7">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111" w:name="page112"/>
    <w:bookmarkEnd w:id="111"/>
    <w:p>
      <w:pPr>
        <w:ind w:left="200" w:right="219"/>
        <w:spacing w:after="0" w:line="258" w:lineRule="auto"/>
        <w:rPr>
          <w:sz w:val="20"/>
          <w:szCs w:val="20"/>
          <w:color w:val="auto"/>
        </w:rPr>
      </w:pPr>
      <w:r>
        <w:rPr>
          <w:rFonts w:ascii="Times New Roman" w:cs="Times New Roman" w:eastAsia="Times New Roman" w:hAnsi="Times New Roman"/>
          <w:sz w:val="22"/>
          <w:szCs w:val="22"/>
          <w:color w:val="auto"/>
        </w:rPr>
        <w:t>the Company has trailing twelve months’ net revenue that is at least $150 million more than the Base Revenue and (ii) the second anniversary of the Start Date has occurred.</w:t>
      </w:r>
    </w:p>
    <w:p>
      <w:pPr>
        <w:spacing w:after="0" w:line="155" w:lineRule="exact"/>
        <w:rPr>
          <w:sz w:val="20"/>
          <w:szCs w:val="20"/>
          <w:color w:val="auto"/>
        </w:rPr>
      </w:pPr>
    </w:p>
    <w:p>
      <w:pPr>
        <w:ind w:left="1820" w:hanging="315"/>
        <w:spacing w:after="0"/>
        <w:tabs>
          <w:tab w:leader="none" w:pos="1820"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Additional RSU Award; Refresh Awards</w:t>
      </w:r>
    </w:p>
    <w:p>
      <w:pPr>
        <w:spacing w:after="0" w:line="210" w:lineRule="exact"/>
        <w:rPr>
          <w:rFonts w:ascii="Times New Roman" w:cs="Times New Roman" w:eastAsia="Times New Roman" w:hAnsi="Times New Roman"/>
          <w:sz w:val="22"/>
          <w:szCs w:val="22"/>
          <w:color w:val="auto"/>
        </w:rPr>
      </w:pPr>
    </w:p>
    <w:p>
      <w:pPr>
        <w:jc w:val="both"/>
        <w:ind w:left="200" w:right="219" w:firstLine="2277"/>
        <w:spacing w:after="0" w:line="244" w:lineRule="auto"/>
        <w:tabs>
          <w:tab w:leader="none" w:pos="3116" w:val="left"/>
        </w:tabs>
        <w:numPr>
          <w:ilvl w:val="1"/>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At the first quarterly meeting of the Board in 2024, subject to Executive’s continued employment with the Company through the grant date, the Company will recommend to the Compensation Committee and the Board that Executive be granted an award of RSUs, with the number of RSUs calculated by dividing $225,000 by the Initial Share Price (defined below), pursuant to the terms of the Equity Plan and an individual RSU award agreement (the “</w:t>
      </w:r>
      <w:r>
        <w:rPr>
          <w:rFonts w:ascii="Times New Roman" w:cs="Times New Roman" w:eastAsia="Times New Roman" w:hAnsi="Times New Roman"/>
          <w:sz w:val="21"/>
          <w:szCs w:val="21"/>
          <w:b w:val="1"/>
          <w:bCs w:val="1"/>
          <w:color w:val="auto"/>
        </w:rPr>
        <w:t>2024 RSU Award</w:t>
      </w:r>
      <w:r>
        <w:rPr>
          <w:rFonts w:ascii="Times New Roman" w:cs="Times New Roman" w:eastAsia="Times New Roman" w:hAnsi="Times New Roman"/>
          <w:sz w:val="21"/>
          <w:szCs w:val="21"/>
          <w:color w:val="auto"/>
        </w:rPr>
        <w:t>”). “</w:t>
      </w:r>
      <w:r>
        <w:rPr>
          <w:rFonts w:ascii="Times New Roman" w:cs="Times New Roman" w:eastAsia="Times New Roman" w:hAnsi="Times New Roman"/>
          <w:sz w:val="21"/>
          <w:szCs w:val="21"/>
          <w:b w:val="1"/>
          <w:bCs w:val="1"/>
          <w:color w:val="auto"/>
        </w:rPr>
        <w:t>Initial Share Price</w:t>
      </w:r>
      <w:r>
        <w:rPr>
          <w:rFonts w:ascii="Times New Roman" w:cs="Times New Roman" w:eastAsia="Times New Roman" w:hAnsi="Times New Roman"/>
          <w:sz w:val="21"/>
          <w:szCs w:val="21"/>
          <w:color w:val="auto"/>
        </w:rPr>
        <w:t>” means the volume-weighted average price of a share of Parent’s common stock over the ten (10) trading days ending with the trading day immediately preceding the grant date of the 2024 RSU Award (“</w:t>
      </w:r>
      <w:r>
        <w:rPr>
          <w:rFonts w:ascii="Times New Roman" w:cs="Times New Roman" w:eastAsia="Times New Roman" w:hAnsi="Times New Roman"/>
          <w:sz w:val="21"/>
          <w:szCs w:val="21"/>
          <w:b w:val="1"/>
          <w:bCs w:val="1"/>
          <w:color w:val="auto"/>
        </w:rPr>
        <w:t>10-day VWAP</w:t>
      </w:r>
      <w:r>
        <w:rPr>
          <w:rFonts w:ascii="Times New Roman" w:cs="Times New Roman" w:eastAsia="Times New Roman" w:hAnsi="Times New Roman"/>
          <w:sz w:val="21"/>
          <w:szCs w:val="21"/>
          <w:color w:val="auto"/>
        </w:rPr>
        <w:t>”), provided that (i) if the 10-day VWAP is less than $2.20, then the Initial Share Price for purposes of calculating the number of RSUs shall be $2.20 and the number of RSUs granted for this award shall be 102,273, and (ii) if the 10-day VWAP is greater than $4.50, then the Initial Share Price for purposes of calculating the number of RSUs shall be $4.50 and the number of RSUs granted for this award shall be 50,000. Provided that Executive remains employed with the Company through the applicable vesting date, the 2024 RSU Award will vest as to one-third of the total underlying RSUs on the following dates: (1) March 10, 2025; (2) March 9, 2026; and (3) March 15, 2027.</w:t>
      </w:r>
    </w:p>
    <w:p>
      <w:pPr>
        <w:spacing w:after="0" w:line="178" w:lineRule="exact"/>
        <w:rPr>
          <w:rFonts w:ascii="Times New Roman" w:cs="Times New Roman" w:eastAsia="Times New Roman" w:hAnsi="Times New Roman"/>
          <w:sz w:val="21"/>
          <w:szCs w:val="21"/>
          <w:color w:val="auto"/>
        </w:rPr>
      </w:pPr>
    </w:p>
    <w:p>
      <w:pPr>
        <w:jc w:val="both"/>
        <w:ind w:left="200" w:right="219" w:firstLine="2277"/>
        <w:spacing w:after="0" w:line="236" w:lineRule="auto"/>
        <w:tabs>
          <w:tab w:leader="none" w:pos="3116" w:val="left"/>
        </w:tabs>
        <w:numPr>
          <w:ilvl w:val="1"/>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Term, commencing in fiscal year 2025, Executive shall also be eligible to participate in Parent’s annual equity award refresh program for Company executives (if any), in amounts and with terms determined by the Compensation Committee and the Board in their discretion. For avoidance of doubt, Executive shall be eligible to participate in Parent’s annual equity award refresh program for fiscal year 2025 (if any) without taking into account or offsetting against the Year Two RSU Award and/or the Year Two PSU Award.</w:t>
      </w:r>
    </w:p>
    <w:p>
      <w:pPr>
        <w:spacing w:after="0" w:line="177" w:lineRule="exact"/>
        <w:rPr>
          <w:rFonts w:ascii="Times New Roman" w:cs="Times New Roman" w:eastAsia="Times New Roman" w:hAnsi="Times New Roman"/>
          <w:sz w:val="22"/>
          <w:szCs w:val="22"/>
          <w:color w:val="auto"/>
        </w:rPr>
      </w:pPr>
    </w:p>
    <w:p>
      <w:pPr>
        <w:jc w:val="both"/>
        <w:ind w:left="200" w:right="219" w:firstLine="1305"/>
        <w:spacing w:after="0" w:line="241" w:lineRule="auto"/>
        <w:tabs>
          <w:tab w:leader="none" w:pos="1820"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Certain Adjustments</w:t>
      </w:r>
      <w:r>
        <w:rPr>
          <w:rFonts w:ascii="Times New Roman" w:cs="Times New Roman" w:eastAsia="Times New Roman" w:hAnsi="Times New Roman"/>
          <w:sz w:val="22"/>
          <w:szCs w:val="22"/>
          <w:color w:val="auto"/>
        </w:rPr>
        <w:t>. The numbers of RSUs and PSUs and the 10-day VWAP</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targets described in this Section 2.4 shall be equitably adjusted to reflect any stock split, reverse stock split, recapitalization, or similar equity restructuring affecting shares of Parent’s common stock that may occur.</w:t>
      </w:r>
    </w:p>
    <w:p>
      <w:pPr>
        <w:spacing w:after="0" w:line="172" w:lineRule="exact"/>
        <w:rPr>
          <w:sz w:val="20"/>
          <w:szCs w:val="20"/>
          <w:color w:val="auto"/>
        </w:rPr>
      </w:pPr>
    </w:p>
    <w:p>
      <w:pPr>
        <w:jc w:val="both"/>
        <w:ind w:left="200" w:right="219" w:firstLine="648"/>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2.5 Business Expenses. </w:t>
      </w:r>
      <w:r>
        <w:rPr>
          <w:rFonts w:ascii="Times New Roman" w:cs="Times New Roman" w:eastAsia="Times New Roman" w:hAnsi="Times New Roman"/>
          <w:sz w:val="22"/>
          <w:szCs w:val="22"/>
          <w:color w:val="auto"/>
        </w:rPr>
        <w:t>The Company shall reimburse Executive for reasonable out-of-pocket fees and expenses incurred by Executive in the performance of Executive’s duties to the Company, including, but not limited to, reasonable travel expenses, including round-trip commercial airfare, hotel accommodations, car rental or vehicle transportation, and meals, which expenses shall be subject to such reasonable documentation requirements as may be established or required pursuant to the Company’s policies as in effect from time to time.</w:t>
      </w:r>
    </w:p>
    <w:p>
      <w:pPr>
        <w:spacing w:after="0" w:line="175" w:lineRule="exact"/>
        <w:rPr>
          <w:sz w:val="20"/>
          <w:szCs w:val="20"/>
          <w:color w:val="auto"/>
        </w:rPr>
      </w:pPr>
    </w:p>
    <w:p>
      <w:pPr>
        <w:jc w:val="both"/>
        <w:ind w:left="200" w:right="219" w:firstLine="648"/>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2.6 Signing and Relocation Bonus. </w:t>
      </w:r>
      <w:r>
        <w:rPr>
          <w:rFonts w:ascii="Times New Roman" w:cs="Times New Roman" w:eastAsia="Times New Roman" w:hAnsi="Times New Roman"/>
          <w:sz w:val="22"/>
          <w:szCs w:val="22"/>
          <w:color w:val="auto"/>
        </w:rPr>
        <w:t>Executive agrees to relocate Executive’s principal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residence to the greater Los Angeles area by January 31, 2024. The Company shall pay Executive a one-time signing and relocation bonus of $100,000 (“</w:t>
      </w:r>
      <w:r>
        <w:rPr>
          <w:rFonts w:ascii="Times New Roman" w:cs="Times New Roman" w:eastAsia="Times New Roman" w:hAnsi="Times New Roman"/>
          <w:sz w:val="22"/>
          <w:szCs w:val="22"/>
          <w:b w:val="1"/>
          <w:bCs w:val="1"/>
          <w:color w:val="auto"/>
        </w:rPr>
        <w:t>Signing Bonus</w:t>
      </w:r>
      <w:r>
        <w:rPr>
          <w:rFonts w:ascii="Times New Roman" w:cs="Times New Roman" w:eastAsia="Times New Roman" w:hAnsi="Times New Roman"/>
          <w:sz w:val="22"/>
          <w:szCs w:val="22"/>
          <w:color w:val="auto"/>
        </w:rPr>
        <w:t>”), less payroll deductions and all required tax withholdings, which Signing Bonus shall be payable after Executive’s Start Date and no later than January 31, 2024. Notwithstanding the foregoing, the Signing Bonus will not be earned unless and until Executive remains in continued employment with the Company through December 31, 2024. Accordingly, in the event that the Executive</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542290</wp:posOffset>
            </wp:positionV>
            <wp:extent cx="5452110" cy="260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8">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112" w:name="page113"/>
    <w:bookmarkEnd w:id="112"/>
    <w:p>
      <w:pPr>
        <w:jc w:val="both"/>
        <w:ind w:left="200" w:right="219"/>
        <w:spacing w:after="0" w:line="235" w:lineRule="auto"/>
        <w:rPr>
          <w:sz w:val="20"/>
          <w:szCs w:val="20"/>
          <w:color w:val="auto"/>
        </w:rPr>
      </w:pPr>
      <w:r>
        <w:rPr>
          <w:rFonts w:ascii="Times New Roman" w:cs="Times New Roman" w:eastAsia="Times New Roman" w:hAnsi="Times New Roman"/>
          <w:sz w:val="22"/>
          <w:szCs w:val="22"/>
          <w:color w:val="auto"/>
        </w:rPr>
        <w:t>resigns Executive’s employment for any reason or is terminated by the Company for Cause (as defined below) prior to December 31, 2024, the Executive shall within thirty (30) days of the Executive’s employment termination date repay the entire Signing Bonus to the Company (“</w:t>
      </w:r>
      <w:r>
        <w:rPr>
          <w:rFonts w:ascii="Times New Roman" w:cs="Times New Roman" w:eastAsia="Times New Roman" w:hAnsi="Times New Roman"/>
          <w:sz w:val="22"/>
          <w:szCs w:val="22"/>
          <w:b w:val="1"/>
          <w:bCs w:val="1"/>
          <w:color w:val="auto"/>
        </w:rPr>
        <w:t>Signing Bonus Repayment</w:t>
      </w:r>
      <w:r>
        <w:rPr>
          <w:rFonts w:ascii="Times New Roman" w:cs="Times New Roman" w:eastAsia="Times New Roman" w:hAnsi="Times New Roman"/>
          <w:sz w:val="22"/>
          <w:szCs w:val="22"/>
          <w:color w:val="auto"/>
        </w:rPr>
        <w:t>”). The Company, at its option, shall have the automatic right to offset any compensation owed to the Executive as of the Executive’s employment termination date against the Signing Bonus Repayment, in order to recoup the same, and Executive agrees to cooperate with the Company in executing any agreements necessary to effect such offset.</w:t>
      </w:r>
    </w:p>
    <w:p>
      <w:pPr>
        <w:spacing w:after="0" w:line="180" w:lineRule="exact"/>
        <w:rPr>
          <w:sz w:val="20"/>
          <w:szCs w:val="20"/>
          <w:color w:val="auto"/>
        </w:rPr>
      </w:pPr>
    </w:p>
    <w:p>
      <w:pPr>
        <w:jc w:val="both"/>
        <w:ind w:left="200" w:right="219"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2.7 Temporary Housing. </w:t>
      </w:r>
      <w:r>
        <w:rPr>
          <w:rFonts w:ascii="Times New Roman" w:cs="Times New Roman" w:eastAsia="Times New Roman" w:hAnsi="Times New Roman"/>
          <w:sz w:val="22"/>
          <w:szCs w:val="22"/>
          <w:color w:val="auto"/>
        </w:rPr>
        <w:t>The Company will reimburse Executive for up to three (3)</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months of Executive’s temporary housing expenses in Los Angeles to assist Executive in her relocation. Housing shall be selected by Executive and shall be at a reasonable expense as agreed upon by Executive and the Company. Executive shall be required to submit receipts in accordance with Company policy prior to reimbursement.</w:t>
      </w:r>
    </w:p>
    <w:p>
      <w:pPr>
        <w:spacing w:after="0" w:line="177" w:lineRule="exact"/>
        <w:rPr>
          <w:sz w:val="20"/>
          <w:szCs w:val="20"/>
          <w:color w:val="auto"/>
        </w:rPr>
      </w:pPr>
    </w:p>
    <w:p>
      <w:pPr>
        <w:ind w:left="860" w:hanging="651"/>
        <w:spacing w:after="0"/>
        <w:tabs>
          <w:tab w:leader="none" w:pos="860" w:val="left"/>
        </w:tabs>
        <w:numPr>
          <w:ilvl w:val="0"/>
          <w:numId w:val="5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TERMINATION</w:t>
      </w:r>
    </w:p>
    <w:p>
      <w:pPr>
        <w:spacing w:after="0" w:line="206" w:lineRule="exact"/>
        <w:rPr>
          <w:sz w:val="20"/>
          <w:szCs w:val="20"/>
          <w:color w:val="auto"/>
        </w:rPr>
      </w:pPr>
    </w:p>
    <w:p>
      <w:pPr>
        <w:jc w:val="both"/>
        <w:ind w:left="200" w:right="219" w:firstLine="648"/>
        <w:spacing w:after="0" w:line="245" w:lineRule="auto"/>
        <w:rPr>
          <w:sz w:val="20"/>
          <w:szCs w:val="20"/>
          <w:color w:val="auto"/>
        </w:rPr>
      </w:pPr>
      <w:r>
        <w:rPr>
          <w:rFonts w:ascii="Times New Roman" w:cs="Times New Roman" w:eastAsia="Times New Roman" w:hAnsi="Times New Roman"/>
          <w:sz w:val="21"/>
          <w:szCs w:val="21"/>
          <w:b w:val="1"/>
          <w:bCs w:val="1"/>
          <w:color w:val="auto"/>
        </w:rPr>
        <w:t xml:space="preserve">3.1 Notice of Termination. </w:t>
      </w:r>
      <w:r>
        <w:rPr>
          <w:rFonts w:ascii="Times New Roman" w:cs="Times New Roman" w:eastAsia="Times New Roman" w:hAnsi="Times New Roman"/>
          <w:sz w:val="21"/>
          <w:szCs w:val="21"/>
          <w:color w:val="auto"/>
        </w:rPr>
        <w:t>With the exception of termination of Executive’s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employment due to Executive’s death, any purported termination of Executive’s employment by the Company for any reason, including without limitation for Cause or Disability, or by Executive for any reason, shall be communicated by a written Notice of Termination (as defined below) to the other party. For purposes of this Agreement, “</w:t>
      </w:r>
      <w:r>
        <w:rPr>
          <w:rFonts w:ascii="Times New Roman" w:cs="Times New Roman" w:eastAsia="Times New Roman" w:hAnsi="Times New Roman"/>
          <w:sz w:val="21"/>
          <w:szCs w:val="21"/>
          <w:b w:val="1"/>
          <w:bCs w:val="1"/>
          <w:color w:val="auto"/>
        </w:rPr>
        <w:t>Notice of Termination</w:t>
      </w:r>
      <w:r>
        <w:rPr>
          <w:rFonts w:ascii="Times New Roman" w:cs="Times New Roman" w:eastAsia="Times New Roman" w:hAnsi="Times New Roman"/>
          <w:sz w:val="21"/>
          <w:szCs w:val="21"/>
          <w:color w:val="auto"/>
        </w:rPr>
        <w:t>” means a dated notice that: (i) indicates the specific termination provision in this Agreement relied upon; (ii) is given in the manner specified in Section 5.2; and (iii) specifies a Termination Date, which may be the date of the notice, and “</w:t>
      </w:r>
      <w:r>
        <w:rPr>
          <w:rFonts w:ascii="Times New Roman" w:cs="Times New Roman" w:eastAsia="Times New Roman" w:hAnsi="Times New Roman"/>
          <w:sz w:val="21"/>
          <w:szCs w:val="21"/>
          <w:b w:val="1"/>
          <w:bCs w:val="1"/>
          <w:color w:val="auto"/>
        </w:rPr>
        <w:t>Termination Date</w:t>
      </w:r>
      <w:r>
        <w:rPr>
          <w:rFonts w:ascii="Times New Roman" w:cs="Times New Roman" w:eastAsia="Times New Roman" w:hAnsi="Times New Roman"/>
          <w:sz w:val="21"/>
          <w:szCs w:val="21"/>
          <w:color w:val="auto"/>
        </w:rPr>
        <w:t>” means the date specified in the Notice of Termination; provided that in the event of a termination by Executive without Good Reason (as defined below), the Termination Date shall not be less than sixty (60) days after such notice, unless otherwise agreed to by the parties. For the avoidance of doubt, the Term shall end on the Termination Date.</w:t>
      </w:r>
    </w:p>
    <w:p>
      <w:pPr>
        <w:spacing w:after="0" w:line="177" w:lineRule="exact"/>
        <w:rPr>
          <w:sz w:val="20"/>
          <w:szCs w:val="20"/>
          <w:color w:val="auto"/>
        </w:rPr>
      </w:pPr>
    </w:p>
    <w:p>
      <w:pPr>
        <w:jc w:val="both"/>
        <w:ind w:left="200" w:right="219" w:firstLine="648"/>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3.2 Termination </w:t>
      </w:r>
      <w:r>
        <w:rPr>
          <w:rFonts w:ascii="Times New Roman" w:cs="Times New Roman" w:eastAsia="Times New Roman" w:hAnsi="Times New Roman"/>
          <w:sz w:val="22"/>
          <w:szCs w:val="22"/>
          <w:color w:val="auto"/>
        </w:rPr>
        <w:t>If Executive’s employment and the Term is terminated by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or by Executive, other than by reason of Executive’s death or Disability, by the Company without Cause, or by the Executive for Good Reason, Executive shall be entitled to receive: (i) Executive’s earned but unpaid Base Salary through the Termination Date; (ii) an amount for reimbursement, paid within 30 days following submission by Executive to the Company of appropriate supporting documentation for any unreimbursed reasonable business expenses properly incurred prior to the Termination Date by Executive pursuant to Section 2.5 and in accordance with Company policy; and (iii) such employee benefits, if any, to which Executive or Executive’s dependents may be entitled under the employee benefit plans or programs of the Company, paid in accordance with the terms of the applicable plans or programs.</w:t>
      </w:r>
    </w:p>
    <w:p>
      <w:pPr>
        <w:spacing w:after="0" w:line="179" w:lineRule="exact"/>
        <w:rPr>
          <w:sz w:val="20"/>
          <w:szCs w:val="20"/>
          <w:color w:val="auto"/>
        </w:rPr>
      </w:pPr>
    </w:p>
    <w:p>
      <w:pPr>
        <w:jc w:val="both"/>
        <w:ind w:left="200" w:right="219" w:firstLine="648"/>
        <w:spacing w:after="0" w:line="250" w:lineRule="auto"/>
        <w:rPr>
          <w:sz w:val="20"/>
          <w:szCs w:val="20"/>
          <w:color w:val="auto"/>
        </w:rPr>
      </w:pPr>
      <w:r>
        <w:rPr>
          <w:rFonts w:ascii="Times New Roman" w:cs="Times New Roman" w:eastAsia="Times New Roman" w:hAnsi="Times New Roman"/>
          <w:sz w:val="21"/>
          <w:szCs w:val="21"/>
          <w:b w:val="1"/>
          <w:bCs w:val="1"/>
          <w:color w:val="auto"/>
        </w:rPr>
        <w:t xml:space="preserve">3.3 Termination Due to Death or Disability. </w:t>
      </w:r>
      <w:r>
        <w:rPr>
          <w:rFonts w:ascii="Times New Roman" w:cs="Times New Roman" w:eastAsia="Times New Roman" w:hAnsi="Times New Roman"/>
          <w:sz w:val="21"/>
          <w:szCs w:val="21"/>
          <w:color w:val="auto"/>
        </w:rPr>
        <w:t>If Executive’s employment and the Term</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is terminated by reason of Executive’s death or Disability, Executive or Executive’s estate shall be entitled to receive: (i) Executive’s earned but unpaid Base Salary through the Termination Date;</w:t>
      </w:r>
    </w:p>
    <w:p>
      <w:pPr>
        <w:spacing w:after="0" w:line="2" w:lineRule="exact"/>
        <w:rPr>
          <w:sz w:val="20"/>
          <w:szCs w:val="20"/>
          <w:color w:val="auto"/>
        </w:rPr>
      </w:pPr>
    </w:p>
    <w:p>
      <w:pPr>
        <w:jc w:val="both"/>
        <w:ind w:left="200" w:right="219" w:firstLine="9"/>
        <w:spacing w:after="0" w:line="233" w:lineRule="auto"/>
        <w:tabs>
          <w:tab w:leader="none" w:pos="539"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amount for reimbursement, paid within 30 days following submission by Executive (or if applicable, Executive’s estate) to the Company of appropriate supporting documentation for any unreimbursed reasonable business expenses properly incurred prior to the Termination Date by Executive pursuant to Section 2.5 and in accordance with Company policy; (iii) any Annual Bonus earned but unpaid with respect to a performance period ending on or preceding the date of</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542290</wp:posOffset>
            </wp:positionV>
            <wp:extent cx="5452110"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113" w:name="page114"/>
    <w:bookmarkEnd w:id="113"/>
    <w:p>
      <w:pPr>
        <w:jc w:val="both"/>
        <w:ind w:left="200" w:right="219"/>
        <w:spacing w:after="0" w:line="234" w:lineRule="auto"/>
        <w:rPr>
          <w:sz w:val="20"/>
          <w:szCs w:val="20"/>
          <w:color w:val="auto"/>
        </w:rPr>
      </w:pPr>
      <w:r>
        <w:rPr>
          <w:rFonts w:ascii="Times New Roman" w:cs="Times New Roman" w:eastAsia="Times New Roman" w:hAnsi="Times New Roman"/>
          <w:sz w:val="22"/>
          <w:szCs w:val="22"/>
          <w:color w:val="auto"/>
        </w:rPr>
        <w:t>termination; and (iv) such employee benefits, if any, to which Executive (or, if applicable, Executive’s estate) or Executive’s dependents may be entitled under the employee benefit plans or programs of the Company, paid in accordance with the terms of the applicable plans or programs. For purposes of this Agreement, “</w:t>
      </w:r>
      <w:r>
        <w:rPr>
          <w:rFonts w:ascii="Times New Roman" w:cs="Times New Roman" w:eastAsia="Times New Roman" w:hAnsi="Times New Roman"/>
          <w:sz w:val="22"/>
          <w:szCs w:val="22"/>
          <w:b w:val="1"/>
          <w:bCs w:val="1"/>
          <w:color w:val="auto"/>
        </w:rPr>
        <w:t>Disability</w:t>
      </w:r>
      <w:r>
        <w:rPr>
          <w:rFonts w:ascii="Times New Roman" w:cs="Times New Roman" w:eastAsia="Times New Roman" w:hAnsi="Times New Roman"/>
          <w:sz w:val="22"/>
          <w:szCs w:val="22"/>
          <w:color w:val="auto"/>
        </w:rPr>
        <w:t>” means Executive is unable to perform the essential functions of Executive’s position with substantially the same level of quality as immediately prior to such incapacity by reason of any medically determinable physical or mental impairment which has lasted or can reasonably be expected to last for a period of 90 or more consecutive days or one hundred and 120 days during any consecutive six-month period, as determined by a physician to be selected by the Company and approved by Executive, such approval not to be unreasonably delayed or withheld.</w:t>
      </w:r>
    </w:p>
    <w:p>
      <w:pPr>
        <w:spacing w:after="0" w:line="176" w:lineRule="exact"/>
        <w:rPr>
          <w:sz w:val="20"/>
          <w:szCs w:val="20"/>
          <w:color w:val="auto"/>
        </w:rPr>
      </w:pPr>
    </w:p>
    <w:p>
      <w:pPr>
        <w:jc w:val="both"/>
        <w:ind w:left="200" w:right="219" w:firstLine="648"/>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3.4 Termination or Non-Renewal by the Company without Cause or by Executive for Good Reason. </w:t>
      </w:r>
      <w:r>
        <w:rPr>
          <w:rFonts w:ascii="Times New Roman" w:cs="Times New Roman" w:eastAsia="Times New Roman" w:hAnsi="Times New Roman"/>
          <w:sz w:val="22"/>
          <w:szCs w:val="22"/>
          <w:color w:val="auto"/>
        </w:rPr>
        <w:t>If Executive’s employment is terminated by the Company without Cause (other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than due to death or Disability), by the Company not renewing the Term pursuant to Section 1.1 without Cause, or by Executive for Good Reason, then, subject to Executive’s continued compliance with this Agreement and Executive’s execution, delivery and non-revocation of a fully effective release of all claims against the Company in substantially the form attached as </w:t>
      </w:r>
      <w:r>
        <w:rPr>
          <w:rFonts w:ascii="Times New Roman" w:cs="Times New Roman" w:eastAsia="Times New Roman" w:hAnsi="Times New Roman"/>
          <w:sz w:val="22"/>
          <w:szCs w:val="22"/>
          <w:b w:val="1"/>
          <w:bCs w:val="1"/>
          <w:u w:val="single" w:color="auto"/>
          <w:color w:val="auto"/>
        </w:rPr>
        <w:t>Appendix</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hereto (the “</w:t>
      </w:r>
      <w:r>
        <w:rPr>
          <w:rFonts w:ascii="Times New Roman" w:cs="Times New Roman" w:eastAsia="Times New Roman" w:hAnsi="Times New Roman"/>
          <w:sz w:val="22"/>
          <w:szCs w:val="22"/>
          <w:b w:val="1"/>
          <w:bCs w:val="1"/>
          <w:color w:val="auto"/>
        </w:rPr>
        <w:t>Release</w:t>
      </w:r>
      <w:r>
        <w:rPr>
          <w:rFonts w:ascii="Times New Roman" w:cs="Times New Roman" w:eastAsia="Times New Roman" w:hAnsi="Times New Roman"/>
          <w:sz w:val="22"/>
          <w:szCs w:val="22"/>
          <w:color w:val="auto"/>
        </w:rPr>
        <w:t>”) within the 40-day period following the date of the termination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Executive’s employment (the “</w:t>
      </w:r>
      <w:r>
        <w:rPr>
          <w:rFonts w:ascii="Times New Roman" w:cs="Times New Roman" w:eastAsia="Times New Roman" w:hAnsi="Times New Roman"/>
          <w:sz w:val="22"/>
          <w:szCs w:val="22"/>
          <w:b w:val="1"/>
          <w:bCs w:val="1"/>
          <w:color w:val="auto"/>
        </w:rPr>
        <w:t>Release Requirement</w:t>
      </w:r>
      <w:r>
        <w:rPr>
          <w:rFonts w:ascii="Times New Roman" w:cs="Times New Roman" w:eastAsia="Times New Roman" w:hAnsi="Times New Roman"/>
          <w:sz w:val="22"/>
          <w:szCs w:val="22"/>
          <w:color w:val="auto"/>
        </w:rPr>
        <w:t>”), Executive shall be entitled to the following severance benefits, in addition to the Accrued Rights:</w:t>
      </w:r>
    </w:p>
    <w:p>
      <w:pPr>
        <w:spacing w:after="0" w:line="178" w:lineRule="exact"/>
        <w:rPr>
          <w:sz w:val="20"/>
          <w:szCs w:val="20"/>
          <w:color w:val="auto"/>
        </w:rPr>
      </w:pPr>
    </w:p>
    <w:p>
      <w:pPr>
        <w:jc w:val="both"/>
        <w:ind w:left="200" w:right="219" w:firstLine="1305"/>
        <w:spacing w:after="0" w:line="233" w:lineRule="auto"/>
        <w:tabs>
          <w:tab w:leader="none" w:pos="2144"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Executive’s then-current Base Salary for a period of six (6) months following the Termination Date in accordance with the Company’s regular payroll practices (the “</w:t>
      </w:r>
      <w:r>
        <w:rPr>
          <w:rFonts w:ascii="Times New Roman" w:cs="Times New Roman" w:eastAsia="Times New Roman" w:hAnsi="Times New Roman"/>
          <w:sz w:val="22"/>
          <w:szCs w:val="22"/>
          <w:b w:val="1"/>
          <w:bCs w:val="1"/>
          <w:color w:val="auto"/>
        </w:rPr>
        <w:t>Salary Continuation</w:t>
      </w:r>
      <w:r>
        <w:rPr>
          <w:rFonts w:ascii="Times New Roman" w:cs="Times New Roman" w:eastAsia="Times New Roman" w:hAnsi="Times New Roman"/>
          <w:sz w:val="22"/>
          <w:szCs w:val="22"/>
          <w:color w:val="auto"/>
        </w:rPr>
        <w:t>”), beginning on the first payroll date following the date the Release Requirement is satisfied, and with the first installment including any amounts that would have been paid had the Release Requirement been satisfied on the Termination Date. Notwithstanding the foregoing, (i) if Executive begins to provide services to another person or entity as an employee or independent contractor within six (6) months following the Termination Date (a “</w:t>
      </w:r>
      <w:r>
        <w:rPr>
          <w:rFonts w:ascii="Times New Roman" w:cs="Times New Roman" w:eastAsia="Times New Roman" w:hAnsi="Times New Roman"/>
          <w:sz w:val="22"/>
          <w:szCs w:val="22"/>
          <w:b w:val="1"/>
          <w:bCs w:val="1"/>
          <w:color w:val="auto"/>
        </w:rPr>
        <w:t>New</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Engagement</w:t>
      </w:r>
      <w:r>
        <w:rPr>
          <w:rFonts w:ascii="Times New Roman" w:cs="Times New Roman" w:eastAsia="Times New Roman" w:hAnsi="Times New Roman"/>
          <w:sz w:val="22"/>
          <w:szCs w:val="22"/>
          <w:color w:val="auto"/>
        </w:rPr>
        <w:t>”), Executive must provide prompt notice to the Company of such New Engagement,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inform the Company of Executive’s new annualized or monthly gross wage rate under the New Engagement; and (ii) any remaining portion of the Salary Continuation payments shall be reduced (to as low as zero) by the amount of gross earnings that the Company determines, in its sole discretion, that Executive will receive from the New Engagement over the remainder of the Salary Continuation period; and</w:t>
      </w:r>
    </w:p>
    <w:p>
      <w:pPr>
        <w:spacing w:after="0" w:line="182" w:lineRule="exact"/>
        <w:rPr>
          <w:rFonts w:ascii="Times New Roman" w:cs="Times New Roman" w:eastAsia="Times New Roman" w:hAnsi="Times New Roman"/>
          <w:sz w:val="22"/>
          <w:szCs w:val="22"/>
          <w:color w:val="auto"/>
        </w:rPr>
      </w:pPr>
    </w:p>
    <w:p>
      <w:pPr>
        <w:jc w:val="both"/>
        <w:ind w:left="200" w:right="219" w:firstLine="1305"/>
        <w:spacing w:after="0" w:line="238" w:lineRule="auto"/>
        <w:tabs>
          <w:tab w:leader="none" w:pos="2144"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Executive timely electing COBRA coverage, the Company shall reimburse Executive for Executive’s monthly COBRA premiums for a period beginning on the Termination Date and ending on the earlier of (1) the first anniversary of the Termination Date or</w:t>
      </w:r>
    </w:p>
    <w:p>
      <w:pPr>
        <w:ind w:left="520" w:hanging="311"/>
        <w:spacing w:after="0"/>
        <w:tabs>
          <w:tab w:leader="none" w:pos="52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date of New Engagement.</w:t>
      </w:r>
    </w:p>
    <w:p>
      <w:pPr>
        <w:spacing w:after="0" w:line="178" w:lineRule="exact"/>
        <w:rPr>
          <w:sz w:val="20"/>
          <w:szCs w:val="20"/>
          <w:color w:val="auto"/>
        </w:rPr>
      </w:pPr>
    </w:p>
    <w:p>
      <w:pPr>
        <w:jc w:val="both"/>
        <w:ind w:left="200" w:right="219" w:firstLine="648"/>
        <w:spacing w:after="0" w:line="248" w:lineRule="auto"/>
        <w:rPr>
          <w:sz w:val="20"/>
          <w:szCs w:val="20"/>
          <w:color w:val="auto"/>
        </w:rPr>
      </w:pPr>
      <w:r>
        <w:rPr>
          <w:rFonts w:ascii="Times New Roman" w:cs="Times New Roman" w:eastAsia="Times New Roman" w:hAnsi="Times New Roman"/>
          <w:sz w:val="21"/>
          <w:szCs w:val="21"/>
          <w:color w:val="auto"/>
        </w:rPr>
        <w:t>For purposes of this Agreement, “</w:t>
      </w:r>
      <w:r>
        <w:rPr>
          <w:rFonts w:ascii="Times New Roman" w:cs="Times New Roman" w:eastAsia="Times New Roman" w:hAnsi="Times New Roman"/>
          <w:sz w:val="21"/>
          <w:szCs w:val="21"/>
          <w:b w:val="1"/>
          <w:bCs w:val="1"/>
          <w:color w:val="auto"/>
        </w:rPr>
        <w:t>Cause</w:t>
      </w:r>
      <w:r>
        <w:rPr>
          <w:rFonts w:ascii="Times New Roman" w:cs="Times New Roman" w:eastAsia="Times New Roman" w:hAnsi="Times New Roman"/>
          <w:sz w:val="21"/>
          <w:szCs w:val="21"/>
          <w:color w:val="auto"/>
        </w:rPr>
        <w:t xml:space="preserve"> ” shall mean Executive’s: (A) conviction of, or plea of no contest to, a felony or other crime of moral turpitude or involving dishonesty, or commission of any other act or omission involving misappropriation, unethical business conduct, fraud, or breach of fiduciary duty or duty of loyalty; (B) performance of Executive’s duties (other than duties to attend and participate in business or work events where alcohol is served) under the influence of alcohol; any repeated drunkenness at such events or any other repeated drunkenness whether or not in the performance of Executive’s duties, that is, or could reasonably be expected</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542290</wp:posOffset>
            </wp:positionV>
            <wp:extent cx="5452110"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8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114" w:name="page115"/>
    <w:bookmarkEnd w:id="114"/>
    <w:p>
      <w:pPr>
        <w:jc w:val="both"/>
        <w:ind w:left="200" w:right="219"/>
        <w:spacing w:after="0" w:line="244" w:lineRule="auto"/>
        <w:rPr>
          <w:sz w:val="20"/>
          <w:szCs w:val="20"/>
          <w:color w:val="auto"/>
        </w:rPr>
      </w:pPr>
      <w:r>
        <w:rPr>
          <w:rFonts w:ascii="Times New Roman" w:cs="Times New Roman" w:eastAsia="Times New Roman" w:hAnsi="Times New Roman"/>
          <w:sz w:val="21"/>
          <w:szCs w:val="21"/>
          <w:color w:val="auto"/>
        </w:rPr>
        <w:t>to cause the Company public disgrace or disrepute or economic harm; (C) use of illegal drugs (whether or not at the workplace) that could reasonably be expected to, or that does, cause the Company public disgrace or disrepute or economic harm; (D) willful failure to perform duties as reasonably directed by the Board or CEO, which if curable, is not cured within 15 days after written notice thereof to Executive; (E) gross negligence or willful misconduct with respect to the Company or in the performance of Executive’s duties to the Company; (F) obtaining any personal profits not thoroughly disclosed to and approved by the Board or CEO, as applicable, in connection with any transaction entered into by, or on behalf of the Company; (G) materially violating any of the terms of the Company’s established rules or policies which, if curable, is not cured within 15 days after written notice thereof to Executive; (H) misrepresenting or failing to disclose a material fact to the Company regarding Executive’s work history or personal background; (I) any misconduct that is disruptive or distracting to the Company, which, if curable, is not cured within 15 days after written notice thereof to Executive; or (J) any other material breach of this Agreement or any other agreement between Executive and the Company which, if curable, is not cured within 15 days after written notice thereof to Executive. For the avoidance of doubt, “Cause” does not include any failure to achieve any financial performance targets.</w:t>
      </w:r>
    </w:p>
    <w:p>
      <w:pPr>
        <w:spacing w:after="0" w:line="172" w:lineRule="exact"/>
        <w:rPr>
          <w:sz w:val="20"/>
          <w:szCs w:val="20"/>
          <w:color w:val="auto"/>
        </w:rPr>
      </w:pPr>
    </w:p>
    <w:p>
      <w:pPr>
        <w:jc w:val="both"/>
        <w:ind w:left="200" w:right="219" w:firstLine="648"/>
        <w:spacing w:after="0" w:line="233" w:lineRule="auto"/>
        <w:rPr>
          <w:sz w:val="20"/>
          <w:szCs w:val="20"/>
          <w:color w:val="auto"/>
        </w:rPr>
      </w:pPr>
      <w:r>
        <w:rPr>
          <w:rFonts w:ascii="Times New Roman" w:cs="Times New Roman" w:eastAsia="Times New Roman" w:hAnsi="Times New Roman"/>
          <w:sz w:val="22"/>
          <w:szCs w:val="22"/>
          <w:color w:val="auto"/>
        </w:rPr>
        <w:t>For purposes of this Agreement, “</w:t>
      </w:r>
      <w:r>
        <w:rPr>
          <w:rFonts w:ascii="Times New Roman" w:cs="Times New Roman" w:eastAsia="Times New Roman" w:hAnsi="Times New Roman"/>
          <w:sz w:val="22"/>
          <w:szCs w:val="22"/>
          <w:b w:val="1"/>
          <w:bCs w:val="1"/>
          <w:color w:val="auto"/>
        </w:rPr>
        <w:t>Good Reason</w:t>
      </w:r>
      <w:r>
        <w:rPr>
          <w:rFonts w:ascii="Times New Roman" w:cs="Times New Roman" w:eastAsia="Times New Roman" w:hAnsi="Times New Roman"/>
          <w:sz w:val="22"/>
          <w:szCs w:val="22"/>
          <w:color w:val="auto"/>
        </w:rPr>
        <w:t>” shall mean the occurrence of any of the following without Executive’s consent during the Term: (i) a material decrease in Executive’s Base Salary (other than as part of an across-the-board base salary reduction of 10% or less applicable to all similarly-situated employees of the Company) or Target Bonus opportunity; (ii) a material breach by the Company of the material terms of this Agreement or any agreement between Executive and the Company pursuant to which Executive has been issued equity awards; (iii) any material diminution or material adverse change in Executive’s titles, duties, responsibilities or authorities; or (iv) requiring Executive to relocate to an office more than fifty (50) miles from the Company’s Los Angeles office as of the Effective Date. Good Reason shall not occur unless Executive provides a detailed written notice to the Company of any fact or circumstance believed by Executive to constitute Good Reason within 30 days following the occurrence of such fact or circumstance, the Company is given at least 30 days to cure such fact or circumstance, and Executive terminates Executive’s employment immediately following such 30 day cure period in the event the Company fails to cure such fact or circumstance.</w:t>
      </w:r>
    </w:p>
    <w:p>
      <w:pPr>
        <w:spacing w:after="0" w:line="180" w:lineRule="exact"/>
        <w:rPr>
          <w:sz w:val="20"/>
          <w:szCs w:val="20"/>
          <w:color w:val="auto"/>
        </w:rPr>
      </w:pPr>
    </w:p>
    <w:p>
      <w:pPr>
        <w:jc w:val="both"/>
        <w:ind w:left="200" w:right="219" w:firstLine="648"/>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3.5 No Other Benefits Upon Termination. </w:t>
      </w:r>
      <w:r>
        <w:rPr>
          <w:rFonts w:ascii="Times New Roman" w:cs="Times New Roman" w:eastAsia="Times New Roman" w:hAnsi="Times New Roman"/>
          <w:sz w:val="22"/>
          <w:szCs w:val="22"/>
          <w:color w:val="auto"/>
        </w:rPr>
        <w:t>Except as provided in the applicable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subsection of this Section 3 hereof, and except for any vested benefits under any tax qualified retirement plans of the Company, and continuation of health insurance benefits on the terms and to the extent required by Section 4980B of the Code and Section 601 of the Employee Retirement Income Security Act of 1974, as amended (which provisions are commonly known as “</w:t>
      </w:r>
      <w:r>
        <w:rPr>
          <w:rFonts w:ascii="Times New Roman" w:cs="Times New Roman" w:eastAsia="Times New Roman" w:hAnsi="Times New Roman"/>
          <w:sz w:val="22"/>
          <w:szCs w:val="22"/>
          <w:b w:val="1"/>
          <w:bCs w:val="1"/>
          <w:color w:val="auto"/>
        </w:rPr>
        <w:t>COBRA</w:t>
      </w:r>
      <w:r>
        <w:rPr>
          <w:rFonts w:ascii="Times New Roman" w:cs="Times New Roman" w:eastAsia="Times New Roman" w:hAnsi="Times New Roman"/>
          <w:sz w:val="22"/>
          <w:szCs w:val="22"/>
          <w:color w:val="auto"/>
        </w:rPr>
        <w:t>”), the Company shall have no additional obligations upon the termination of Executive’s employment with the Company.</w:t>
      </w:r>
    </w:p>
    <w:p>
      <w:pPr>
        <w:spacing w:after="0" w:line="176" w:lineRule="exact"/>
        <w:rPr>
          <w:sz w:val="20"/>
          <w:szCs w:val="20"/>
          <w:color w:val="auto"/>
        </w:rPr>
      </w:pPr>
    </w:p>
    <w:p>
      <w:pPr>
        <w:jc w:val="both"/>
        <w:ind w:left="200" w:right="219" w:firstLine="648"/>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3.6 Cooperation with Company after Termination of Employment. </w:t>
      </w:r>
      <w:r>
        <w:rPr>
          <w:rFonts w:ascii="Times New Roman" w:cs="Times New Roman" w:eastAsia="Times New Roman" w:hAnsi="Times New Roman"/>
          <w:sz w:val="22"/>
          <w:szCs w:val="22"/>
          <w:color w:val="auto"/>
        </w:rPr>
        <w:t>Following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termination of Executive’s employment for any reason, Executive shall reasonably cooperate with the Company in all matters relating to the winding up of Executive’s pending work on behalf of the Company including, but not limited to, the orderly transfer of any such pending work to other employees of the Company as may be designated by the Company. The Company shall reimburse Executive for any reasonable out-of-pocket expenses Executive incurs in performing any work on behalf of the Company following the Termination Date.</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542290</wp:posOffset>
            </wp:positionV>
            <wp:extent cx="5452110" cy="260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81">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115" w:name="page116"/>
    <w:bookmarkEnd w:id="115"/>
    <w:p>
      <w:pPr>
        <w:ind w:left="860" w:hanging="651"/>
        <w:spacing w:after="0"/>
        <w:tabs>
          <w:tab w:leader="none" w:pos="860" w:val="left"/>
        </w:tabs>
        <w:numPr>
          <w:ilvl w:val="0"/>
          <w:numId w:val="5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NON-SOLICITATION</w:t>
      </w:r>
    </w:p>
    <w:p>
      <w:pPr>
        <w:spacing w:after="0" w:line="206" w:lineRule="exact"/>
        <w:rPr>
          <w:sz w:val="20"/>
          <w:szCs w:val="20"/>
          <w:color w:val="auto"/>
        </w:rPr>
      </w:pPr>
    </w:p>
    <w:p>
      <w:pPr>
        <w:jc w:val="both"/>
        <w:ind w:left="200" w:right="219" w:firstLine="648"/>
        <w:spacing w:after="0" w:line="233" w:lineRule="auto"/>
        <w:rPr>
          <w:sz w:val="20"/>
          <w:szCs w:val="20"/>
          <w:color w:val="auto"/>
        </w:rPr>
      </w:pPr>
      <w:r>
        <w:rPr>
          <w:rFonts w:ascii="Times New Roman" w:cs="Times New Roman" w:eastAsia="Times New Roman" w:hAnsi="Times New Roman"/>
          <w:sz w:val="22"/>
          <w:szCs w:val="22"/>
          <w:b w:val="1"/>
          <w:bCs w:val="1"/>
          <w:color w:val="auto"/>
        </w:rPr>
        <w:t xml:space="preserve">4.1 Non-Solicitation. </w:t>
      </w:r>
      <w:r>
        <w:rPr>
          <w:rFonts w:ascii="Times New Roman" w:cs="Times New Roman" w:eastAsia="Times New Roman" w:hAnsi="Times New Roman"/>
          <w:sz w:val="22"/>
          <w:szCs w:val="22"/>
          <w:color w:val="auto"/>
        </w:rPr>
        <w:t>Executive understands that during Executive’s employment with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Company, Executive will have access to and obtain knowledge of the Confidential Information (as defined in 4.3). In addition, Executive understands and agrees that the business of the Company will be disrupted, damaged, and/or otherwise harmed by the unfair “raiding” of Company employees and independent contractors. Therefore, Executive agrees that Executive shall not, directly or indirectly, during the Term and for the 12-month period following the Termination Date, (i) solicit or attempt to solicit any employee or individual who was an employee within the six-month period immediately prior thereto to terminate or otherwise alter Executive’s employment with the Company; or (ii) solicit or encourage any independent contractor providing services to the Company to terminate or alter in a manner adverse to the Company such independent contractor’s relationship with the Company. Notwithstanding the foregoing, the provisions of this Section 4.1 shall not be violated by general advertising or solicitation not targeted at Company-related persons or entities.</w:t>
      </w:r>
    </w:p>
    <w:p>
      <w:pPr>
        <w:spacing w:after="0" w:line="182" w:lineRule="exact"/>
        <w:rPr>
          <w:sz w:val="20"/>
          <w:szCs w:val="20"/>
          <w:color w:val="auto"/>
        </w:rPr>
      </w:pPr>
    </w:p>
    <w:p>
      <w:pPr>
        <w:jc w:val="both"/>
        <w:ind w:left="200" w:right="219" w:firstLine="648"/>
        <w:spacing w:after="0" w:line="244" w:lineRule="auto"/>
        <w:rPr>
          <w:sz w:val="20"/>
          <w:szCs w:val="20"/>
          <w:color w:val="auto"/>
        </w:rPr>
      </w:pPr>
      <w:r>
        <w:rPr>
          <w:rFonts w:ascii="Times New Roman" w:cs="Times New Roman" w:eastAsia="Times New Roman" w:hAnsi="Times New Roman"/>
          <w:sz w:val="21"/>
          <w:szCs w:val="21"/>
          <w:b w:val="1"/>
          <w:bCs w:val="1"/>
          <w:color w:val="auto"/>
        </w:rPr>
        <w:t>4.2 Non-Disparagement</w:t>
      </w:r>
      <w:r>
        <w:rPr>
          <w:rFonts w:ascii="Times New Roman" w:cs="Times New Roman" w:eastAsia="Times New Roman" w:hAnsi="Times New Roman"/>
          <w:sz w:val="21"/>
          <w:szCs w:val="21"/>
          <w:color w:val="auto"/>
        </w:rPr>
        <w:t>. During the Term and thereafter, Executive agrees that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Executive will not, at any time, make or encourage others to make, directly or indirectly, any oral or written statements that are disparaging or defamatory of the Company, its products, services, customers or suppliers, or any of its present or former officers, directors or employees. Additionally, the Company agrees that its officers and members of the Board will not, at any time, make or encourage others to make, directly or indirectly, any oral or written statements that are disparaging or defamatory of Executive. Notwithstanding the foregoing, this Section 4.2 shall not preclude Executive or the Company from (i) making any truthful statement as expressly provided by Section 4.3; (ii) discussing or disclosing information about unlawful acts in the workplace, such as harassment or discrimination or any other conduct that either party has a reason to believe is unlawful; (iii) to the extent required or protected by law, subpoena, court order or legal process;</w:t>
      </w:r>
    </w:p>
    <w:p>
      <w:pPr>
        <w:jc w:val="both"/>
        <w:ind w:left="200" w:right="219" w:firstLine="9"/>
        <w:spacing w:after="0" w:line="235" w:lineRule="auto"/>
        <w:tabs>
          <w:tab w:leader="none" w:pos="568"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 government agency or other governmental or regulatory authority; (v) in the course of any legal, arbitral or regulatory proceeding; or (vi) in connection with an internal investigation by the Company regarding unlawful acts in the workplace.</w:t>
      </w:r>
    </w:p>
    <w:p>
      <w:pPr>
        <w:spacing w:after="0" w:line="174" w:lineRule="exact"/>
        <w:rPr>
          <w:sz w:val="20"/>
          <w:szCs w:val="20"/>
          <w:color w:val="auto"/>
        </w:rPr>
      </w:pPr>
    </w:p>
    <w:p>
      <w:pPr>
        <w:jc w:val="both"/>
        <w:ind w:left="200" w:right="219" w:firstLine="648"/>
        <w:spacing w:after="0" w:line="244" w:lineRule="auto"/>
        <w:rPr>
          <w:sz w:val="20"/>
          <w:szCs w:val="20"/>
          <w:color w:val="auto"/>
        </w:rPr>
      </w:pPr>
      <w:r>
        <w:rPr>
          <w:rFonts w:ascii="Times New Roman" w:cs="Times New Roman" w:eastAsia="Times New Roman" w:hAnsi="Times New Roman"/>
          <w:sz w:val="21"/>
          <w:szCs w:val="21"/>
          <w:b w:val="1"/>
          <w:bCs w:val="1"/>
          <w:color w:val="auto"/>
        </w:rPr>
        <w:t xml:space="preserve">4.3 Confidential Information. </w:t>
      </w:r>
      <w:r>
        <w:rPr>
          <w:rFonts w:ascii="Times New Roman" w:cs="Times New Roman" w:eastAsia="Times New Roman" w:hAnsi="Times New Roman"/>
          <w:sz w:val="21"/>
          <w:szCs w:val="21"/>
          <w:color w:val="auto"/>
        </w:rPr>
        <w:t>Executive acknowledges and agrees that all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information regarding the Company or the activity of any member of the Company that is not generally known to persons not employed or retained (as employees or as independent contractors or agents) by the Company, including without limitation information about the customers, business connections, customer lists, procedures, operations, trade secrets, techniques and other aspects of and information about the business of the Company (the “</w:t>
      </w:r>
      <w:r>
        <w:rPr>
          <w:rFonts w:ascii="Times New Roman" w:cs="Times New Roman" w:eastAsia="Times New Roman" w:hAnsi="Times New Roman"/>
          <w:sz w:val="21"/>
          <w:szCs w:val="21"/>
          <w:b w:val="1"/>
          <w:bCs w:val="1"/>
          <w:color w:val="auto"/>
        </w:rPr>
        <w:t>Confidential Information</w:t>
      </w:r>
      <w:r>
        <w:rPr>
          <w:rFonts w:ascii="Times New Roman" w:cs="Times New Roman" w:eastAsia="Times New Roman" w:hAnsi="Times New Roman"/>
          <w:sz w:val="21"/>
          <w:szCs w:val="21"/>
          <w:color w:val="auto"/>
        </w:rPr>
        <w:t>”) is established at great expense and protected as confidential information and provides the Company with a substantial competitive advantage in conducting its business. Executive further acknowledges and agrees that by virtue of Executive’s employment with the Company, Executive will have access to, and will be entrusted with Confidential Information, and that the Company would suffer great loss and injury if Executive would disclose this information or use it in a manner not specifically authorized by the Company. Therefore, Executive agrees that during the Term and at all times thereafter, Executive will not, directly or indirectly, either individually or as an employee, agent, partner, shareholder, owner trustee, beneficiary, co-venturer distributor,</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542290</wp:posOffset>
            </wp:positionV>
            <wp:extent cx="5452110"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8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67" w:right="1440" w:bottom="1440" w:gutter="0" w:footer="0" w:header="0"/>
        </w:sectPr>
      </w:pPr>
    </w:p>
    <w:bookmarkStart w:id="116" w:name="page117"/>
    <w:bookmarkEnd w:id="116"/>
    <w:p>
      <w:pPr>
        <w:jc w:val="both"/>
        <w:ind w:left="200" w:right="219"/>
        <w:spacing w:after="0" w:line="242" w:lineRule="auto"/>
        <w:rPr>
          <w:sz w:val="20"/>
          <w:szCs w:val="20"/>
          <w:color w:val="auto"/>
        </w:rPr>
      </w:pPr>
      <w:r>
        <w:rPr>
          <w:rFonts w:ascii="Times New Roman" w:cs="Times New Roman" w:eastAsia="Times New Roman" w:hAnsi="Times New Roman"/>
          <w:sz w:val="21"/>
          <w:szCs w:val="21"/>
          <w:color w:val="auto"/>
        </w:rPr>
        <w:t>consultant or in any other capacity, use or disclose or cause to be used or disclosed any Confidential Information, unless and to the extent that any such information becomes generally known to and available for use by the public other than as a result of Executive’s acts or omissions. Nothing in this Agreement prohibits or restricts Executive from (i) initiating communications with, or responding to any inquiry from, any administrative, governmental, regulatory or supervisory authority regarding any good faith concerns about possible violations of law or regulation; or (ii) disclosing information and documents to Executive’s attorney, financial or tax advisors and other professional advisors who are bound by obligations of confidentiality. Executive shall deliver to the Company at the termination of Executive’s employment and the Term, or at any other time the Company may request, all memoranda, notes, plans, records, reports, computer tapes, printouts and software and other documents and data (and copies thereof) relating to the Confidential Information, or the business of the Company which Executive may then possess or have under Executive’s control. In addition, Executive agrees that, notwithstanding the foregoing, to the extent Executive is compelled to disclose Confidential Information by lawful service of process, subpoena, court order, or otherwise compelled to do by law, Executive shall, to the extent legally permitted, provide the Company with a copy of the document(s) seeking disclosures of such information promptly upon receipt of such document(s) and prior to Executive’s disclosure of any such information, so that the Company may take such action as it deems to be necessary or appropriate in relation to such subpoena or request and Executive may not disclose any such information until the Company has had the opportunity to take such action. Executive cannot be held criminally or civilly liable under any federal or state law (including trade secret laws) for disclosing a trade secret or confidential information (i) in confidence to a federal, state, or local government official, either directly or indirectly, or to an attorney, solely for the purpose of reporting or investigating a suspected violation of law; or (ii) in a complaint or other document filed under seal in a lawsuit or other proceeding. Notwithstanding this immunity from liability, Executive may be held liable if Executive unlawfully accesses trade secrets or confidential information by unauthorized means. Nothing in this Agreement (A) limits, restricts or in any other way affects Executive’s communicating with any governmental agency or entity, or communicating with any official or staff person of a governmental agency or entity, concerning matters relevant to the governmental agency or entity; or (B) requires Executive to notify the Company or any member of the Company about such communication.</w:t>
      </w:r>
    </w:p>
    <w:p>
      <w:pPr>
        <w:spacing w:after="0" w:line="200" w:lineRule="exact"/>
        <w:rPr>
          <w:sz w:val="20"/>
          <w:szCs w:val="20"/>
          <w:color w:val="auto"/>
        </w:rPr>
      </w:pPr>
    </w:p>
    <w:p>
      <w:pPr>
        <w:spacing w:after="0" w:line="241"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4.4</w:t>
      </w:r>
      <w:r>
        <w:rPr>
          <w:sz w:val="20"/>
          <w:szCs w:val="20"/>
          <w:color w:val="auto"/>
        </w:rPr>
        <w:tab/>
      </w:r>
      <w:r>
        <w:rPr>
          <w:rFonts w:ascii="Times New Roman" w:cs="Times New Roman" w:eastAsia="Times New Roman" w:hAnsi="Times New Roman"/>
          <w:sz w:val="21"/>
          <w:szCs w:val="21"/>
          <w:b w:val="1"/>
          <w:bCs w:val="1"/>
          <w:color w:val="auto"/>
        </w:rPr>
        <w:t>Intellectual Property.</w:t>
      </w:r>
    </w:p>
    <w:p>
      <w:pPr>
        <w:spacing w:after="0" w:line="210" w:lineRule="exact"/>
        <w:rPr>
          <w:sz w:val="20"/>
          <w:szCs w:val="20"/>
          <w:color w:val="auto"/>
        </w:rPr>
      </w:pPr>
    </w:p>
    <w:p>
      <w:pPr>
        <w:jc w:val="both"/>
        <w:ind w:left="200" w:right="219" w:firstLine="1305"/>
        <w:spacing w:after="0" w:line="244" w:lineRule="auto"/>
        <w:tabs>
          <w:tab w:leader="none" w:pos="2144" w:val="left"/>
        </w:tabs>
        <w:numPr>
          <w:ilvl w:val="0"/>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Executive creates, invents, designs, develops, contributes to or improves any works of authorship, inventions, intellectual property, materials, documents or other work product (including, without limitation, research, reports, software, databases, systems, applications, presentations, textual works, content or audiovisual materials) (“</w:t>
      </w:r>
      <w:r>
        <w:rPr>
          <w:rFonts w:ascii="Times New Roman" w:cs="Times New Roman" w:eastAsia="Times New Roman" w:hAnsi="Times New Roman"/>
          <w:sz w:val="21"/>
          <w:szCs w:val="21"/>
          <w:b w:val="1"/>
          <w:bCs w:val="1"/>
          <w:color w:val="auto"/>
        </w:rPr>
        <w:t>Works</w:t>
      </w:r>
      <w:r>
        <w:rPr>
          <w:rFonts w:ascii="Times New Roman" w:cs="Times New Roman" w:eastAsia="Times New Roman" w:hAnsi="Times New Roman"/>
          <w:sz w:val="21"/>
          <w:szCs w:val="21"/>
          <w:color w:val="auto"/>
        </w:rPr>
        <w:t>”), either alone or with third parties, at any time during Executive’s employment with any member of the Company and within the scope of such employment, relating to the business of the Company and/or with the use of any the Company resources or Confidential Information (“</w:t>
      </w:r>
      <w:r>
        <w:rPr>
          <w:rFonts w:ascii="Times New Roman" w:cs="Times New Roman" w:eastAsia="Times New Roman" w:hAnsi="Times New Roman"/>
          <w:sz w:val="21"/>
          <w:szCs w:val="21"/>
          <w:b w:val="1"/>
          <w:bCs w:val="1"/>
          <w:color w:val="auto"/>
        </w:rPr>
        <w:t>Company Works</w:t>
      </w:r>
      <w:r>
        <w:rPr>
          <w:rFonts w:ascii="Times New Roman" w:cs="Times New Roman" w:eastAsia="Times New Roman" w:hAnsi="Times New Roman"/>
          <w:sz w:val="21"/>
          <w:szCs w:val="21"/>
          <w:color w:val="auto"/>
        </w:rPr>
        <w:t>”), Executive shall promptly and fully disclose same to the Company and hereby irrevocably assigns, transfers and conveys, to the maximum extent permitted by applicable law, and agrees to assign, transfer and convey, all rights, title, interest and intellectual property rights therein (including rights under patent, industrial property, copyright, trademark, trade secret, unfair competition and related laws) to the Company (or as otherwise directed by the Company) to the extent ownership of any such rights does not vest originally in the Company. Executive hereby</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542290</wp:posOffset>
            </wp:positionV>
            <wp:extent cx="5452110" cy="260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8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117" w:name="page118"/>
    <w:bookmarkEnd w:id="117"/>
    <w:p>
      <w:pPr>
        <w:jc w:val="both"/>
        <w:ind w:left="200" w:right="219"/>
        <w:spacing w:after="0" w:line="234" w:lineRule="auto"/>
        <w:rPr>
          <w:sz w:val="20"/>
          <w:szCs w:val="20"/>
          <w:color w:val="auto"/>
        </w:rPr>
      </w:pPr>
      <w:r>
        <w:rPr>
          <w:rFonts w:ascii="Times New Roman" w:cs="Times New Roman" w:eastAsia="Times New Roman" w:hAnsi="Times New Roman"/>
          <w:sz w:val="22"/>
          <w:szCs w:val="22"/>
          <w:color w:val="auto"/>
        </w:rPr>
        <w:t>waives and irrevocably quitclaims to the Company or its designee any and all claims, of any nature whatsoever, that Executive now has or may hereafter have for infringement of any and all Company Works. Any assignment of Company Works includes all rights of attribution, paternity, integrity, modification, disclosure and withdrawal, and any other rights throughout the world that may be known as or referred to as “moral rights,” “artist’s rights,” “droit moral,” or the like (collectively, “</w:t>
      </w:r>
      <w:r>
        <w:rPr>
          <w:rFonts w:ascii="Times New Roman" w:cs="Times New Roman" w:eastAsia="Times New Roman" w:hAnsi="Times New Roman"/>
          <w:sz w:val="22"/>
          <w:szCs w:val="22"/>
          <w:b w:val="1"/>
          <w:bCs w:val="1"/>
          <w:color w:val="auto"/>
        </w:rPr>
        <w:t>Moral Rights</w:t>
      </w:r>
      <w:r>
        <w:rPr>
          <w:rFonts w:ascii="Times New Roman" w:cs="Times New Roman" w:eastAsia="Times New Roman" w:hAnsi="Times New Roman"/>
          <w:sz w:val="22"/>
          <w:szCs w:val="22"/>
          <w:color w:val="auto"/>
        </w:rPr>
        <w:t>”). To the extent that Moral Rights cannot be assigned under applicable law, Executive hereby waives and agrees not to enforce any and all Moral Rights, including, without limitation, any limitation on subsequent modification, to the extent permitted under applicable law.</w:t>
      </w:r>
    </w:p>
    <w:p>
      <w:pPr>
        <w:spacing w:after="0" w:line="184" w:lineRule="exact"/>
        <w:rPr>
          <w:sz w:val="20"/>
          <w:szCs w:val="20"/>
          <w:color w:val="auto"/>
        </w:rPr>
      </w:pPr>
    </w:p>
    <w:p>
      <w:pPr>
        <w:jc w:val="both"/>
        <w:ind w:left="200" w:right="219" w:firstLine="1305"/>
        <w:spacing w:after="0" w:line="235" w:lineRule="auto"/>
        <w:tabs>
          <w:tab w:leader="none" w:pos="2144"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requirements of applicable state law, if any, Company Works will not include, and the provisions of this Agreement requiring assignment of Company Works to the Company do not apply to, any Company Work which qualifies fully for exclusion under the provisions of applicable state law. In order to assist in the determination of which inventions qualify for such exclusion, Executive will advise the Company promptly in writing, during and for a period of 12 months immediately following the Term, of all inventions solely or jointly conceived or developed or reduced to practice by Executing during the Term.</w:t>
      </w:r>
    </w:p>
    <w:p>
      <w:pPr>
        <w:spacing w:after="0" w:line="183" w:lineRule="exact"/>
        <w:rPr>
          <w:rFonts w:ascii="Times New Roman" w:cs="Times New Roman" w:eastAsia="Times New Roman" w:hAnsi="Times New Roman"/>
          <w:sz w:val="22"/>
          <w:szCs w:val="22"/>
          <w:color w:val="auto"/>
        </w:rPr>
      </w:pPr>
    </w:p>
    <w:p>
      <w:pPr>
        <w:jc w:val="both"/>
        <w:ind w:left="200" w:right="219" w:firstLine="1305"/>
        <w:spacing w:after="0" w:line="234" w:lineRule="auto"/>
        <w:tabs>
          <w:tab w:leader="none" w:pos="2144"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shall take all requested actions and execute all requested documents (including any licenses or assignments required by a government contract) at the Company’s expense (but without further remuneration) to assist the Company in validating, maintaining, protecting, enforcing, perfecting, recording, patenting or registering any of the Company’s rights in the Company Works. If the Company is unable for any other reason to secure Executive’s signature on any document for this purpose, then Executive hereby irrevocably designates and appoints the Company and its duly authorized officers and agents as Executive’s agent and attorney in fact, to act for and in Executive’s behalf and stead to execute any documents and to do all other lawfully permitted acts in connection with the foregoing.</w:t>
      </w:r>
    </w:p>
    <w:p>
      <w:pPr>
        <w:spacing w:after="0" w:line="183" w:lineRule="exact"/>
        <w:rPr>
          <w:rFonts w:ascii="Times New Roman" w:cs="Times New Roman" w:eastAsia="Times New Roman" w:hAnsi="Times New Roman"/>
          <w:sz w:val="22"/>
          <w:szCs w:val="22"/>
          <w:color w:val="auto"/>
        </w:rPr>
      </w:pPr>
    </w:p>
    <w:p>
      <w:pPr>
        <w:ind w:left="200" w:right="219" w:firstLine="1305"/>
        <w:spacing w:after="0" w:line="234" w:lineRule="auto"/>
        <w:tabs>
          <w:tab w:leader="none" w:pos="2144"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shall not improperly use for the benefit of, bring to any premises of, divulge, disclose, communicate, reveal, transfer or provide access to, or share with, the Company, any confidential, proprietary or non-public information or intellectual property relating to a former employer or other third party without the prior written permission of such third party. Executive shall comply with all relevant policies and guidelines of the Company, including, without limitation, policies and guidelines regarding the protection of confidential information and intellectual property and potential conflicts of interest. Executive acknowledges that the Company may amend any such policies and guidelines from time to time, and that Executive remains at all times bound by their most current version.</w:t>
      </w:r>
    </w:p>
    <w:p>
      <w:pPr>
        <w:spacing w:after="0" w:line="179" w:lineRule="exact"/>
        <w:rPr>
          <w:sz w:val="20"/>
          <w:szCs w:val="20"/>
          <w:color w:val="auto"/>
        </w:rPr>
      </w:pPr>
    </w:p>
    <w:p>
      <w:pPr>
        <w:jc w:val="both"/>
        <w:ind w:left="200" w:right="219" w:firstLine="648"/>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4.5 Reasonable Limitation and Severability; Injunctive Relief. </w:t>
      </w:r>
      <w:r>
        <w:rPr>
          <w:rFonts w:ascii="Times New Roman" w:cs="Times New Roman" w:eastAsia="Times New Roman" w:hAnsi="Times New Roman"/>
          <w:sz w:val="22"/>
          <w:szCs w:val="22"/>
          <w:color w:val="auto"/>
        </w:rPr>
        <w:t>The parties agree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that the above restrictions are (i) reasonable given Executive’s role with the Company, and are necessary to protect the interests of the Company; and (ii) completely severable and independent agreements supported by good and valuable consideration and, as such, shall survive the termination of this Agreement for any reason whatsoever. The parties further agree that any invalidity or unenforceability of any one or more of such restrictions contained in this Section 4 shall not render invalid or unenforceable any remaining restrictions contained in this Section 4. Additionally, should a court of competent jurisdiction determine that the scope of any provision of this Section 4 is too broad to be enforced as written, the parties hereby authorize the court to</w:t>
      </w: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542290</wp:posOffset>
            </wp:positionV>
            <wp:extent cx="5452110"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8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118" w:name="page119"/>
    <w:bookmarkEnd w:id="118"/>
    <w:p>
      <w:pPr>
        <w:jc w:val="both"/>
        <w:ind w:left="200" w:right="219"/>
        <w:spacing w:after="0" w:line="232" w:lineRule="auto"/>
        <w:rPr>
          <w:sz w:val="20"/>
          <w:szCs w:val="20"/>
          <w:color w:val="auto"/>
        </w:rPr>
      </w:pPr>
      <w:r>
        <w:rPr>
          <w:rFonts w:ascii="Times New Roman" w:cs="Times New Roman" w:eastAsia="Times New Roman" w:hAnsi="Times New Roman"/>
          <w:sz w:val="22"/>
          <w:szCs w:val="22"/>
          <w:color w:val="auto"/>
        </w:rPr>
        <w:t>reform the provision to such narrower scope as it determines to be reasonable and enforceable and the parties intend that the affected provision be enforced as so amended. Executive acknowledges and agrees that the Company’s remedies at law for a breach or threatened breach would be inadequate and the Company would suffer significant harm and irreparable damages as a result of a breach or threatened breach. In recognition of this fact, Executive agrees that, in the event of such a breach or threatened breach, in addition to any remedies at law, the Company, without posting any bond, shall be entitled to cease making any payments or providing any benefit otherwise required by this Agreement and obtain equitable relief in the form of specific performance, temporary restraining order, temporary or permanent injunction or any other equitable remedy which may then be available, in addition to an award of its attorney’s fees incurred in enforcing its rights hereunder. The remedies under this Agreement are without prejudice to the Company’s right to seek any other remedy to which it may be entitled at law or in equity. So that the Company may enjoy the full benefit of the covenants contained in this Section 4, Executive further agrees that the restricted period shall be tolled, and shall not run, during the period of any breach by Executive of any of the covenants contained in this Section 4. It is also agreed that each member of the Company shall have the right to enforce all of Executive’s obligations to that member of the Company under this Agreement, including without limitation pursuant to this Section 4. Finally, no claimed breach of this Agreement or other violation of law attributed to the Company, or change in the nature or scope of Executive’s employment or other relationship with the Company, shall operate to excuse Executive from the performance of Executive’s obligations under this Section 4.</w:t>
      </w:r>
    </w:p>
    <w:p>
      <w:pPr>
        <w:spacing w:after="0" w:line="180" w:lineRule="exact"/>
        <w:rPr>
          <w:sz w:val="20"/>
          <w:szCs w:val="20"/>
          <w:color w:val="auto"/>
        </w:rPr>
      </w:pPr>
    </w:p>
    <w:p>
      <w:pPr>
        <w:ind w:left="860" w:hanging="651"/>
        <w:spacing w:after="0"/>
        <w:tabs>
          <w:tab w:leader="none" w:pos="860" w:val="left"/>
        </w:tabs>
        <w:numPr>
          <w:ilvl w:val="0"/>
          <w:numId w:val="5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GENERAL PROVISIONS.</w:t>
      </w:r>
    </w:p>
    <w:p>
      <w:pPr>
        <w:spacing w:after="0" w:line="206" w:lineRule="exact"/>
        <w:rPr>
          <w:sz w:val="20"/>
          <w:szCs w:val="20"/>
          <w:color w:val="auto"/>
        </w:rPr>
      </w:pPr>
    </w:p>
    <w:p>
      <w:pPr>
        <w:jc w:val="both"/>
        <w:ind w:left="200" w:right="219" w:firstLine="648"/>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5.1 Assignment; Successors. </w:t>
      </w:r>
      <w:r>
        <w:rPr>
          <w:rFonts w:ascii="Times New Roman" w:cs="Times New Roman" w:eastAsia="Times New Roman" w:hAnsi="Times New Roman"/>
          <w:sz w:val="22"/>
          <w:szCs w:val="22"/>
          <w:color w:val="auto"/>
        </w:rPr>
        <w:t>This Agreement is binding on and is for the benefit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parties hereto and their respective successors, assigns, heirs, executors, administrators and other legal representatives. Neither this Agreement nor any right or obligation hereunder may be assigned by Executive. The Company shall require any successor (whether direct or indirect, by purchase, merger, consolidation or otherwise) to all or substantially all of the business and/or assets of the Company to assume this Agreement in the same manner and to the same extent that the Company would have been required to perform it if no such succession had taken place. As used in the Agreement, “the Company” shall mean both the Company as defined above and any such successor that assumes this Agreement, by operation of law or otherwise.</w:t>
      </w:r>
    </w:p>
    <w:p>
      <w:pPr>
        <w:spacing w:after="0" w:line="174" w:lineRule="exact"/>
        <w:rPr>
          <w:sz w:val="20"/>
          <w:szCs w:val="20"/>
          <w:color w:val="auto"/>
        </w:rPr>
      </w:pPr>
    </w:p>
    <w:p>
      <w:pPr>
        <w:jc w:val="both"/>
        <w:ind w:left="200" w:right="219" w:firstLine="648"/>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5.2 Notice. </w:t>
      </w:r>
      <w:r>
        <w:rPr>
          <w:rFonts w:ascii="Times New Roman" w:cs="Times New Roman" w:eastAsia="Times New Roman" w:hAnsi="Times New Roman"/>
          <w:sz w:val="22"/>
          <w:szCs w:val="22"/>
          <w:color w:val="auto"/>
        </w:rPr>
        <w:t>For the purposes of this Agreement, notices and all other communications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provided for in this Agreement shall be in writing and shall be deemed to have been duly given when delivered or mailed by certified or registered mail, return receipt requested, postage prepaid, addressed to the respective addresses set forth below:</w:t>
      </w:r>
    </w:p>
    <w:p>
      <w:pPr>
        <w:sectPr>
          <w:pgSz w:w="11900" w:h="16838" w:orient="portrait"/>
          <w:cols w:equalWidth="0" w:num="1">
            <w:col w:w="9019"/>
          </w:cols>
          <w:pgMar w:left="1440" w:top="111" w:right="1440" w:bottom="1440" w:gutter="0" w:footer="0" w:header="0"/>
        </w:sectPr>
      </w:pPr>
    </w:p>
    <w:p>
      <w:pPr>
        <w:spacing w:after="0" w:line="176"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1"/>
          <w:szCs w:val="21"/>
          <w:color w:val="auto"/>
        </w:rPr>
        <w:t>To the Company:</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Lulu’s Fashion Lounge, LLC</w:t>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195 Humboldt Avenue</w:t>
      </w:r>
    </w:p>
    <w:p>
      <w:pPr>
        <w:ind w:left="20"/>
        <w:spacing w:after="0"/>
        <w:rPr>
          <w:sz w:val="20"/>
          <w:szCs w:val="20"/>
          <w:color w:val="auto"/>
        </w:rPr>
      </w:pPr>
      <w:r>
        <w:rPr>
          <w:rFonts w:ascii="Times New Roman" w:cs="Times New Roman" w:eastAsia="Times New Roman" w:hAnsi="Times New Roman"/>
          <w:sz w:val="22"/>
          <w:szCs w:val="22"/>
          <w:color w:val="auto"/>
        </w:rPr>
        <w:t>Chico, CA 95928</w:t>
      </w:r>
    </w:p>
    <w:p>
      <w:pPr>
        <w:spacing w:after="0" w:line="200" w:lineRule="exact"/>
        <w:rPr>
          <w:sz w:val="20"/>
          <w:szCs w:val="20"/>
          <w:color w:val="auto"/>
        </w:rPr>
      </w:pPr>
    </w:p>
    <w:p>
      <w:pPr>
        <w:sectPr>
          <w:pgSz w:w="11900" w:h="16838" w:orient="portrait"/>
          <w:cols w:equalWidth="0" w:num="2">
            <w:col w:w="3640" w:space="440"/>
            <w:col w:w="4939"/>
          </w:cols>
          <w:pgMar w:left="1440" w:top="11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549910</wp:posOffset>
            </wp:positionV>
            <wp:extent cx="5452110" cy="260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85">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type w:val="continuous"/>
        </w:sectPr>
      </w:pPr>
    </w:p>
    <w:bookmarkStart w:id="119" w:name="page120"/>
    <w:bookmarkEnd w:id="119"/>
    <w:p>
      <w:pPr>
        <w:ind w:left="2160"/>
        <w:spacing w:after="0"/>
        <w:rPr>
          <w:sz w:val="20"/>
          <w:szCs w:val="20"/>
          <w:color w:val="auto"/>
        </w:rPr>
      </w:pPr>
      <w:r>
        <w:rPr>
          <w:rFonts w:ascii="Times New Roman" w:cs="Times New Roman" w:eastAsia="Times New Roman" w:hAnsi="Times New Roman"/>
          <w:sz w:val="21"/>
          <w:szCs w:val="21"/>
          <w:color w:val="auto"/>
        </w:rPr>
        <w:t>With copies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Akerman LLP</w:t>
      </w:r>
    </w:p>
    <w:p>
      <w:pPr>
        <w:spacing w:after="0" w:line="200" w:lineRule="exact"/>
        <w:rPr>
          <w:sz w:val="20"/>
          <w:szCs w:val="20"/>
          <w:color w:val="auto"/>
        </w:rPr>
      </w:pPr>
    </w:p>
    <w:p>
      <w:pPr>
        <w:sectPr>
          <w:pgSz w:w="11900" w:h="16838" w:orient="portrait"/>
          <w:cols w:equalWidth="0" w:num="2">
            <w:col w:w="3460" w:space="620"/>
            <w:col w:w="4939"/>
          </w:cols>
          <w:pgMar w:left="1440" w:top="111" w:right="1440" w:bottom="1440" w:gutter="0" w:footer="0" w:header="0"/>
        </w:sectPr>
      </w:pPr>
    </w:p>
    <w:p>
      <w:pPr>
        <w:spacing w:after="0" w:line="288"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1"/>
          <w:szCs w:val="21"/>
          <w:color w:val="auto"/>
        </w:rPr>
        <w:t>To Executive:</w:t>
      </w:r>
    </w:p>
    <w:p>
      <w:pPr>
        <w:spacing w:after="0" w:line="20" w:lineRule="exact"/>
        <w:rPr>
          <w:sz w:val="20"/>
          <w:szCs w:val="20"/>
          <w:color w:val="auto"/>
        </w:rPr>
      </w:pPr>
      <w:r>
        <w:rPr>
          <w:sz w:val="20"/>
          <w:szCs w:val="20"/>
          <w:color w:val="auto"/>
        </w:rPr>
        <w:br w:type="column"/>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Laura Deady</w:t>
      </w:r>
    </w:p>
    <w:p>
      <w:pPr>
        <w:spacing w:after="0" w:line="200" w:lineRule="exact"/>
        <w:rPr>
          <w:sz w:val="20"/>
          <w:szCs w:val="20"/>
          <w:color w:val="auto"/>
        </w:rPr>
      </w:pPr>
    </w:p>
    <w:p>
      <w:pPr>
        <w:sectPr>
          <w:pgSz w:w="11900" w:h="16838" w:orient="portrait"/>
          <w:cols w:equalWidth="0" w:num="2">
            <w:col w:w="3360" w:space="720"/>
            <w:col w:w="4939"/>
          </w:cols>
          <w:pgMar w:left="1440" w:top="111" w:right="1440" w:bottom="1440" w:gutter="0" w:footer="0" w:header="0"/>
          <w:type w:val="continuous"/>
        </w:sectPr>
      </w:pPr>
    </w:p>
    <w:p>
      <w:pPr>
        <w:spacing w:after="0" w:line="284" w:lineRule="exact"/>
        <w:rPr>
          <w:sz w:val="20"/>
          <w:szCs w:val="20"/>
          <w:color w:val="auto"/>
        </w:rPr>
      </w:pPr>
    </w:p>
    <w:p>
      <w:pPr>
        <w:jc w:val="both"/>
        <w:ind w:left="200" w:right="219" w:firstLine="648"/>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5.3 Amendment and Waiver. </w:t>
      </w:r>
      <w:r>
        <w:rPr>
          <w:rFonts w:ascii="Times New Roman" w:cs="Times New Roman" w:eastAsia="Times New Roman" w:hAnsi="Times New Roman"/>
          <w:sz w:val="22"/>
          <w:szCs w:val="22"/>
          <w:color w:val="auto"/>
        </w:rPr>
        <w:t>No provision of this Agreement may be amended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waived unless such amendment or waiver is in writing and signed by each of the parties hereto.</w:t>
      </w:r>
    </w:p>
    <w:p>
      <w:pPr>
        <w:spacing w:after="0" w:line="150" w:lineRule="exact"/>
        <w:rPr>
          <w:sz w:val="20"/>
          <w:szCs w:val="20"/>
          <w:color w:val="auto"/>
        </w:rPr>
      </w:pPr>
    </w:p>
    <w:p>
      <w:pPr>
        <w:jc w:val="both"/>
        <w:ind w:left="200" w:right="219" w:firstLine="648"/>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5.4 Non-Waiver of Breach. </w:t>
      </w:r>
      <w:r>
        <w:rPr>
          <w:rFonts w:ascii="Times New Roman" w:cs="Times New Roman" w:eastAsia="Times New Roman" w:hAnsi="Times New Roman"/>
          <w:sz w:val="22"/>
          <w:szCs w:val="22"/>
          <w:color w:val="auto"/>
        </w:rPr>
        <w:t>No failure by either party to declare a default due to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breach of any obligation under this Agreement by the other, nor failure by either party to act quickly with regard thereto, shall be considered to be a waiver of any such obligation, or of any future breach.</w:t>
      </w:r>
    </w:p>
    <w:p>
      <w:pPr>
        <w:spacing w:after="0" w:line="172" w:lineRule="exact"/>
        <w:rPr>
          <w:sz w:val="20"/>
          <w:szCs w:val="20"/>
          <w:color w:val="auto"/>
        </w:rPr>
      </w:pPr>
    </w:p>
    <w:p>
      <w:pPr>
        <w:jc w:val="both"/>
        <w:ind w:left="200" w:right="219" w:firstLine="648"/>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5.5 Severability. </w:t>
      </w:r>
      <w:r>
        <w:rPr>
          <w:rFonts w:ascii="Times New Roman" w:cs="Times New Roman" w:eastAsia="Times New Roman" w:hAnsi="Times New Roman"/>
          <w:sz w:val="22"/>
          <w:szCs w:val="22"/>
          <w:color w:val="auto"/>
        </w:rPr>
        <w:t>In the event that any provision or portion of this Agreement, shall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determined to be invalid or unenforceable for any reason, the remaining provisions of this Agreement shall be unaffected thereby and shall remain in full force and effect.</w:t>
      </w:r>
    </w:p>
    <w:p>
      <w:pPr>
        <w:spacing w:after="0" w:line="167" w:lineRule="exact"/>
        <w:rPr>
          <w:sz w:val="20"/>
          <w:szCs w:val="20"/>
          <w:color w:val="auto"/>
        </w:rPr>
      </w:pPr>
    </w:p>
    <w:p>
      <w:pPr>
        <w:jc w:val="both"/>
        <w:ind w:left="200" w:right="219" w:firstLine="648"/>
        <w:spacing w:after="0" w:line="244" w:lineRule="auto"/>
        <w:rPr>
          <w:sz w:val="20"/>
          <w:szCs w:val="20"/>
          <w:color w:val="auto"/>
        </w:rPr>
      </w:pPr>
      <w:r>
        <w:rPr>
          <w:rFonts w:ascii="Times New Roman" w:cs="Times New Roman" w:eastAsia="Times New Roman" w:hAnsi="Times New Roman"/>
          <w:sz w:val="21"/>
          <w:szCs w:val="21"/>
          <w:b w:val="1"/>
          <w:bCs w:val="1"/>
          <w:color w:val="auto"/>
        </w:rPr>
        <w:t xml:space="preserve">5.6 Governing Law and Agreement to Arbitrate. </w:t>
      </w:r>
      <w:r>
        <w:rPr>
          <w:rFonts w:ascii="Times New Roman" w:cs="Times New Roman" w:eastAsia="Times New Roman" w:hAnsi="Times New Roman"/>
          <w:sz w:val="21"/>
          <w:szCs w:val="21"/>
          <w:color w:val="auto"/>
        </w:rPr>
        <w:t>This Agreement, the rights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obligations of the parties hereto, and any claims or disputes relating thereto, shall be governed by and construed in accordance with the laws of the State of California (without regard to its choice of law provisions). The parties acknowledge and agree that in connection with any dispute hereunder, each party shall pay all of its own costs and expenses, including its own legal fees and expenses. The parties irrevocably consent to the jurisdiction of, and venue in, the state and federal courts in the State of California, with respect to any matters pertaining to, or arising from, this Agreement, the Executive’s equity awards or the Executive’s employment by the Company. The Parties acknowledge that as part of this Agreement and in exchange for valid consideration described above, they have mutually agreed to submit to arbitration any future disputes between them and/or between Executive and any of the Releasees, with respect to any matters pertaining to, or arising from, this Agreement, the Executive’s equity awards or the Executive’s employment by the Company. Notwithstanding the above, the Parties may seek temporary or preliminary injunctive or equitable relief from a court, after which the dispute shall be decided through arbitration.</w:t>
      </w:r>
    </w:p>
    <w:p>
      <w:pPr>
        <w:spacing w:after="0" w:line="181" w:lineRule="exact"/>
        <w:rPr>
          <w:sz w:val="20"/>
          <w:szCs w:val="20"/>
          <w:color w:val="auto"/>
        </w:rPr>
      </w:pPr>
    </w:p>
    <w:p>
      <w:pPr>
        <w:jc w:val="both"/>
        <w:ind w:left="200" w:right="219" w:firstLine="1305"/>
        <w:spacing w:after="0" w:line="245" w:lineRule="auto"/>
        <w:tabs>
          <w:tab w:leader="none" w:pos="2144" w:val="left"/>
        </w:tabs>
        <w:numPr>
          <w:ilvl w:val="0"/>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Arbitration Procedure. </w:t>
      </w:r>
      <w:r>
        <w:rPr>
          <w:rFonts w:ascii="Times New Roman" w:cs="Times New Roman" w:eastAsia="Times New Roman" w:hAnsi="Times New Roman"/>
          <w:sz w:val="21"/>
          <w:szCs w:val="21"/>
          <w:color w:val="auto"/>
        </w:rPr>
        <w:t>Any arbitration arising out of or related to this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Agreement will be filed with and conducted by JAMS. The arbitration shall be held at the closest office of JAMS to where Executive does/did report to work or at a location mutually agreed to by the parties to the arbitration. The arbitration will be conducted pursuant to the JAMS Employment Arbitration Rules and Procedures (“</w:t>
      </w:r>
      <w:r>
        <w:rPr>
          <w:rFonts w:ascii="Times New Roman" w:cs="Times New Roman" w:eastAsia="Times New Roman" w:hAnsi="Times New Roman"/>
          <w:sz w:val="21"/>
          <w:szCs w:val="21"/>
          <w:u w:val="single" w:color="auto"/>
          <w:color w:val="auto"/>
        </w:rPr>
        <w:t>Rules</w:t>
      </w:r>
      <w:r>
        <w:rPr>
          <w:rFonts w:ascii="Times New Roman" w:cs="Times New Roman" w:eastAsia="Times New Roman" w:hAnsi="Times New Roman"/>
          <w:sz w:val="21"/>
          <w:szCs w:val="21"/>
          <w:color w:val="auto"/>
        </w:rPr>
        <w:t xml:space="preserve">”) in effect at the time the demand for arbitration is filed. Executive understands that she may obtain a copy of the most current Rules by visiting JAMS’ website, currently located at </w:t>
      </w:r>
      <w:r>
        <w:rPr>
          <w:rFonts w:ascii="Times New Roman" w:cs="Times New Roman" w:eastAsia="Times New Roman" w:hAnsi="Times New Roman"/>
          <w:sz w:val="21"/>
          <w:szCs w:val="21"/>
          <w:u w:val="single" w:color="auto"/>
          <w:color w:val="0000FF"/>
        </w:rPr>
        <w:t>http://www.jamsadr.com/rules-employment-arbitration/</w:t>
      </w:r>
      <w:r>
        <w:rPr>
          <w:rFonts w:ascii="Times New Roman" w:cs="Times New Roman" w:eastAsia="Times New Roman" w:hAnsi="Times New Roman"/>
          <w:sz w:val="21"/>
          <w:szCs w:val="21"/>
          <w:color w:val="auto"/>
        </w:rPr>
        <w:t>, or by sending a written request to legal@lulus.com. If JAMS is unable or unwilling to accept the matter for any reason, the parties to the arbitration will submit the matter to a comparable arbitration service, which will apply the then-current Rules unless otherwise agreed to by the parties to the arbitration. Arbitration shall be initiated and all Claims shall be decided by a single, neutral arbitrator. The arbitrator shall issue a written and signed decision within thirty (30) days of the deadline for submission of post-hearing briefs. The arbitrator’s award shall be final and binding</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542290</wp:posOffset>
            </wp:positionV>
            <wp:extent cx="5452110"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8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type w:val="continuous"/>
        </w:sectPr>
      </w:pPr>
    </w:p>
    <w:bookmarkStart w:id="120" w:name="page121"/>
    <w:bookmarkEnd w:id="120"/>
    <w:p>
      <w:pPr>
        <w:jc w:val="both"/>
        <w:ind w:left="200" w:right="219"/>
        <w:spacing w:after="0" w:line="244" w:lineRule="auto"/>
        <w:rPr>
          <w:sz w:val="20"/>
          <w:szCs w:val="20"/>
          <w:color w:val="auto"/>
        </w:rPr>
      </w:pPr>
      <w:r>
        <w:rPr>
          <w:rFonts w:ascii="Times New Roman" w:cs="Times New Roman" w:eastAsia="Times New Roman" w:hAnsi="Times New Roman"/>
          <w:sz w:val="22"/>
          <w:szCs w:val="22"/>
          <w:color w:val="auto"/>
        </w:rPr>
        <w:t>and shall contain the essential findings of fact and conclusions of law on which the decision is based. Judgment upon the award may be entered, and enforcement may be sought, in any court of competent jurisdiction.</w:t>
      </w:r>
    </w:p>
    <w:p>
      <w:pPr>
        <w:spacing w:after="0" w:line="170" w:lineRule="exact"/>
        <w:rPr>
          <w:sz w:val="20"/>
          <w:szCs w:val="20"/>
          <w:color w:val="auto"/>
        </w:rPr>
      </w:pPr>
    </w:p>
    <w:p>
      <w:pPr>
        <w:jc w:val="both"/>
        <w:ind w:left="200" w:right="219"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5.7 Waiver of Jury Trial. </w:t>
      </w:r>
      <w:r>
        <w:rPr>
          <w:rFonts w:ascii="Times New Roman" w:cs="Times New Roman" w:eastAsia="Times New Roman" w:hAnsi="Times New Roman"/>
          <w:sz w:val="22"/>
          <w:szCs w:val="22"/>
          <w:color w:val="auto"/>
        </w:rPr>
        <w:t>The parties each hereby waives, to the fullest extent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permitted by law, any right to trial by jury of any claim, demand, action, cause of action (i) arising under this Agreement or (ii) in any way connected with or related or incidental to the dealings of the parties hereto in respect of this Agreement whether now existing or hereafter arising, and whether in contract, tort, equity or otherwise.</w:t>
      </w:r>
    </w:p>
    <w:p>
      <w:pPr>
        <w:spacing w:after="0" w:line="177" w:lineRule="exact"/>
        <w:rPr>
          <w:sz w:val="20"/>
          <w:szCs w:val="20"/>
          <w:color w:val="auto"/>
        </w:rPr>
      </w:pPr>
    </w:p>
    <w:p>
      <w:pPr>
        <w:jc w:val="both"/>
        <w:ind w:left="200" w:right="239" w:firstLine="648"/>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5.8 Entire Agreement. </w:t>
      </w:r>
      <w:r>
        <w:rPr>
          <w:rFonts w:ascii="Times New Roman" w:cs="Times New Roman" w:eastAsia="Times New Roman" w:hAnsi="Times New Roman"/>
          <w:sz w:val="22"/>
          <w:szCs w:val="22"/>
          <w:color w:val="auto"/>
        </w:rPr>
        <w:t>This Agreement contains all of the terms agreed upon by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and Executive with respect to the subject matter hereof and supersedes all prior agreements, arrangements and communications between the parties dealing with such subject matter, whether oral or written.</w:t>
      </w:r>
    </w:p>
    <w:p>
      <w:pPr>
        <w:spacing w:after="0" w:line="172" w:lineRule="exact"/>
        <w:rPr>
          <w:sz w:val="20"/>
          <w:szCs w:val="20"/>
          <w:color w:val="auto"/>
        </w:rPr>
      </w:pPr>
    </w:p>
    <w:p>
      <w:pPr>
        <w:jc w:val="both"/>
        <w:ind w:left="200" w:right="239" w:firstLine="648"/>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5.9 Headings. </w:t>
      </w:r>
      <w:r>
        <w:rPr>
          <w:rFonts w:ascii="Times New Roman" w:cs="Times New Roman" w:eastAsia="Times New Roman" w:hAnsi="Times New Roman"/>
          <w:sz w:val="22"/>
          <w:szCs w:val="22"/>
          <w:color w:val="auto"/>
        </w:rPr>
        <w:t>Numbers and titles to Sections hereof are for information purposes only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where inconsistent with the text, are to be disregarded.</w:t>
      </w:r>
    </w:p>
    <w:p>
      <w:pPr>
        <w:spacing w:after="0" w:line="150" w:lineRule="exact"/>
        <w:rPr>
          <w:sz w:val="20"/>
          <w:szCs w:val="20"/>
          <w:color w:val="auto"/>
        </w:rPr>
      </w:pPr>
    </w:p>
    <w:p>
      <w:pPr>
        <w:jc w:val="both"/>
        <w:ind w:left="200" w:right="219" w:firstLine="648"/>
        <w:spacing w:after="0" w:line="250" w:lineRule="auto"/>
        <w:rPr>
          <w:sz w:val="20"/>
          <w:szCs w:val="20"/>
          <w:color w:val="auto"/>
        </w:rPr>
      </w:pPr>
      <w:r>
        <w:rPr>
          <w:rFonts w:ascii="Times New Roman" w:cs="Times New Roman" w:eastAsia="Times New Roman" w:hAnsi="Times New Roman"/>
          <w:sz w:val="21"/>
          <w:szCs w:val="21"/>
          <w:b w:val="1"/>
          <w:bCs w:val="1"/>
          <w:color w:val="auto"/>
        </w:rPr>
        <w:t xml:space="preserve">5.10 Counterparts. </w:t>
      </w:r>
      <w:r>
        <w:rPr>
          <w:rFonts w:ascii="Times New Roman" w:cs="Times New Roman" w:eastAsia="Times New Roman" w:hAnsi="Times New Roman"/>
          <w:sz w:val="21"/>
          <w:szCs w:val="21"/>
          <w:color w:val="auto"/>
        </w:rPr>
        <w:t>This Agreement may be executed in any number of counterparts,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each of which shall be deemed an original, but all of which when taken together, shall be and constitute one and the same instrument. Counterpart signature pages to this Agreement transmitted by facsimile transmission, by electronic mail in portable document format (.pdf), or by any other electronic means intended to preserve the original graphic and pictorial appearance of a document, will have the same effect as physical delivery of the paper document bearing an original signature.</w:t>
      </w:r>
    </w:p>
    <w:p>
      <w:pPr>
        <w:spacing w:after="0" w:line="165"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5.11</w:t>
      </w:r>
      <w:r>
        <w:rPr>
          <w:sz w:val="20"/>
          <w:szCs w:val="20"/>
          <w:color w:val="auto"/>
        </w:rPr>
        <w:tab/>
      </w:r>
      <w:r>
        <w:rPr>
          <w:rFonts w:ascii="Times New Roman" w:cs="Times New Roman" w:eastAsia="Times New Roman" w:hAnsi="Times New Roman"/>
          <w:sz w:val="21"/>
          <w:szCs w:val="21"/>
          <w:b w:val="1"/>
          <w:bCs w:val="1"/>
          <w:color w:val="auto"/>
        </w:rPr>
        <w:t>Taxes.</w:t>
      </w:r>
    </w:p>
    <w:p>
      <w:pPr>
        <w:spacing w:after="0" w:line="210" w:lineRule="exact"/>
        <w:rPr>
          <w:sz w:val="20"/>
          <w:szCs w:val="20"/>
          <w:color w:val="auto"/>
        </w:rPr>
      </w:pPr>
    </w:p>
    <w:p>
      <w:pPr>
        <w:jc w:val="both"/>
        <w:ind w:left="200" w:right="219" w:firstLine="1305"/>
        <w:spacing w:after="0" w:line="238" w:lineRule="auto"/>
        <w:tabs>
          <w:tab w:leader="none" w:pos="2144" w:val="left"/>
        </w:tabs>
        <w:numPr>
          <w:ilvl w:val="1"/>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may withhold from any payment hereunder such state, federal or local income, employment or other taxes and other legally mandated withholdings in accordance with applicable law and considering the location of the Executive’s residence and the location in which Executive performs Executive’s duties for the Company. The Company makes no representation about the tax treatment or impact of any payment(s) hereunder.</w:t>
      </w:r>
    </w:p>
    <w:p>
      <w:pPr>
        <w:spacing w:after="0" w:line="176" w:lineRule="exact"/>
        <w:rPr>
          <w:rFonts w:ascii="Times New Roman" w:cs="Times New Roman" w:eastAsia="Times New Roman" w:hAnsi="Times New Roman"/>
          <w:sz w:val="22"/>
          <w:szCs w:val="22"/>
          <w:color w:val="auto"/>
        </w:rPr>
      </w:pPr>
    </w:p>
    <w:p>
      <w:pPr>
        <w:jc w:val="both"/>
        <w:ind w:left="200" w:right="219" w:firstLine="1305"/>
        <w:spacing w:after="0" w:line="246" w:lineRule="auto"/>
        <w:tabs>
          <w:tab w:leader="none" w:pos="2144" w:val="left"/>
        </w:tabs>
        <w:numPr>
          <w:ilvl w:val="1"/>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intent of the parties is that payments and benefits under this Agreement comply with Section 409A of the Internal Revenue Code of 1986, as amended (together with the regulations and other guidance promulgated thereunder, “</w:t>
      </w:r>
      <w:r>
        <w:rPr>
          <w:rFonts w:ascii="Times New Roman" w:cs="Times New Roman" w:eastAsia="Times New Roman" w:hAnsi="Times New Roman"/>
          <w:sz w:val="21"/>
          <w:szCs w:val="21"/>
          <w:b w:val="1"/>
          <w:bCs w:val="1"/>
          <w:color w:val="auto"/>
        </w:rPr>
        <w:t>Section 409A</w:t>
      </w:r>
      <w:r>
        <w:rPr>
          <w:rFonts w:ascii="Times New Roman" w:cs="Times New Roman" w:eastAsia="Times New Roman" w:hAnsi="Times New Roman"/>
          <w:sz w:val="21"/>
          <w:szCs w:val="21"/>
          <w:color w:val="auto"/>
        </w:rPr>
        <w:t>”), to the extent subject thereto, and, accordingly, to the maximum extent permitted, this Agreement shall be interpreted and administered to be in compliance therewith. Notwithstanding anything herein to the contrary:</w:t>
      </w:r>
    </w:p>
    <w:p>
      <w:pPr>
        <w:spacing w:after="0" w:line="1" w:lineRule="exact"/>
        <w:rPr>
          <w:rFonts w:ascii="Times New Roman" w:cs="Times New Roman" w:eastAsia="Times New Roman" w:hAnsi="Times New Roman"/>
          <w:sz w:val="21"/>
          <w:szCs w:val="21"/>
          <w:color w:val="auto"/>
        </w:rPr>
      </w:pPr>
    </w:p>
    <w:p>
      <w:pPr>
        <w:jc w:val="both"/>
        <w:ind w:left="200" w:right="219" w:firstLine="9"/>
        <w:spacing w:after="0" w:line="243" w:lineRule="auto"/>
        <w:tabs>
          <w:tab w:leader="none" w:pos="495" w:val="left"/>
        </w:tabs>
        <w:numPr>
          <w:ilvl w:val="0"/>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at the time of Executive’s termination of employment with the Company, Executive is a “specified employee” as defined in Section 409A and the deferral of the commencement of any payments or benefits otherwise payable hereunder as a result of such termination of employment is necessary in order to prevent any accelerated or additional tax under Section 409A, then the Company will defer the commencement of the payment of any such payments or benefits hereunder (without any reduction in such payments or benefits ultimately paid or provided to Executive) until the date that is six (6) months following Executive’s termination of employment with the Company (or the earliest date as is permitted under Section 409A); (ii) if any other payments of money or other benefits due to Executive hereunder could cause the application of an</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542290</wp:posOffset>
            </wp:positionV>
            <wp:extent cx="5452110"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121" w:name="page122"/>
    <w:bookmarkEnd w:id="121"/>
    <w:p>
      <w:pPr>
        <w:jc w:val="both"/>
        <w:ind w:left="200" w:right="219"/>
        <w:spacing w:after="0" w:line="232" w:lineRule="auto"/>
        <w:rPr>
          <w:sz w:val="20"/>
          <w:szCs w:val="20"/>
          <w:color w:val="auto"/>
        </w:rPr>
      </w:pPr>
      <w:r>
        <w:rPr>
          <w:rFonts w:ascii="Times New Roman" w:cs="Times New Roman" w:eastAsia="Times New Roman" w:hAnsi="Times New Roman"/>
          <w:sz w:val="22"/>
          <w:szCs w:val="22"/>
          <w:color w:val="auto"/>
        </w:rPr>
        <w:t>accelerated or additional tax under Section 409A, such payments or other benefits shall be deferred if deferral will make such payment or other benefits compliant under Section 409A, or otherwise such payment or other benefits shall be restructured, to the extent possible, in a manner determined by the Company that does not cause such an accelerated or additional tax; (iii) to the extent required in order to avoid accelerated taxation and/or tax penalties under Section 409A, Executive shall not be considered to have terminated employment with the Company for purposes of this Agreement and no payment shall be due to Executive under this Agreement until Executive would be considered to have incurred a “separation from service” from the Company within the meaning of Section 409A; and (iv) each amount to be paid or benefit to be provided to Executive pursuant to this Agreement, which constitute deferred compensation subject to Section 409A, shall be construed as a separately identified payment for purposes of Section 409A. Notwithstanding anything to the contrary herein, to the extent required to avoid an accelerated or additional tax under Section 409A, amounts reimbursable to Executive under this Agreement shall be paid to Executive on or before the last day of the year following the year in which the expense was incurred and the amount of expenses eligible for reimbursement (and in-kind benefits provided to Executive) may not be liquidated or exchanged for other payments or benefits, and during any one year may not affect amounts reimbursable or provided in any subsequent year. Neither the Company nor any of its employees or representatives shall have any liability to Executive with respect to Section 409A.</w:t>
      </w:r>
    </w:p>
    <w:p>
      <w:pPr>
        <w:spacing w:after="0" w:line="187" w:lineRule="exact"/>
        <w:rPr>
          <w:sz w:val="20"/>
          <w:szCs w:val="20"/>
          <w:color w:val="auto"/>
        </w:rPr>
      </w:pPr>
    </w:p>
    <w:p>
      <w:pPr>
        <w:jc w:val="both"/>
        <w:ind w:left="200" w:right="219" w:firstLine="1305"/>
        <w:spacing w:after="0" w:line="231" w:lineRule="auto"/>
        <w:tabs>
          <w:tab w:leader="none" w:pos="2144"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it is determined that any payment or distribution of any type to or for Executive’s benefit made by the Company, by any of its affiliates, by any person who acquires ownership or effective control or ownership of a substantial portion of the Company’s assets (within the meaning of Code Section 280G and the regulations thereunder) or by any affiliate of such person, whether paid or payable or distributed or distributable pursuant to the terms of this Agreement or otherwise (collectively, the “</w:t>
      </w:r>
      <w:r>
        <w:rPr>
          <w:rFonts w:ascii="Times New Roman" w:cs="Times New Roman" w:eastAsia="Times New Roman" w:hAnsi="Times New Roman"/>
          <w:sz w:val="22"/>
          <w:szCs w:val="22"/>
          <w:b w:val="1"/>
          <w:bCs w:val="1"/>
          <w:color w:val="auto"/>
        </w:rPr>
        <w:t>Total Payments</w:t>
      </w:r>
      <w:r>
        <w:rPr>
          <w:rFonts w:ascii="Times New Roman" w:cs="Times New Roman" w:eastAsia="Times New Roman" w:hAnsi="Times New Roman"/>
          <w:sz w:val="22"/>
          <w:szCs w:val="22"/>
          <w:color w:val="auto"/>
        </w:rPr>
        <w:t>”), would be subject to the excise tax imposed by Section 4999 of the Code or any interest or penalties with respect to such excise tax (such excise tax, together with any such interest or penalties, are collectively referred to as the “</w:t>
      </w:r>
      <w:r>
        <w:rPr>
          <w:rFonts w:ascii="Times New Roman" w:cs="Times New Roman" w:eastAsia="Times New Roman" w:hAnsi="Times New Roman"/>
          <w:sz w:val="22"/>
          <w:szCs w:val="22"/>
          <w:b w:val="1"/>
          <w:bCs w:val="1"/>
          <w:color w:val="auto"/>
        </w:rPr>
        <w:t>Excise Tax</w:t>
      </w:r>
      <w:r>
        <w:rPr>
          <w:rFonts w:ascii="Times New Roman" w:cs="Times New Roman" w:eastAsia="Times New Roman" w:hAnsi="Times New Roman"/>
          <w:sz w:val="22"/>
          <w:szCs w:val="22"/>
          <w:color w:val="auto"/>
        </w:rPr>
        <w:t>”), then such payments or distributions or benefits shall be payable to such lesser amount as would result in no portion of such payments or distributions or benefits being subject to the Excise Tax. If the Total Payments must be reduced as provided in the previous paragraph, the reduction shall occur in the following order (on a pro rata basis among payments or benefits within categories, except as provided below): (1) reduction of cash payments for which the full amount is treated as a “parachute payment” (as defined under Section 280G of the Code and the regulations thereunder); (2) cancellation of accelerated vesting (or, if necessary, payment) of cash awards for which the full amount in not treated as a parachute payment; (3) reduction of any continued employee benefits and (4) cancellation of any accelerated vesting of equity awards. In selecting the equity awards (if any) for which vesting will be reduced under clause (4) of the preceding sentence, awards shall be selected in a manner that maximizes the after-tax aggregate amount of reduced Total Payments provided to Executive, provided that if (and only if) necessary in order to avoid the imposition of an additional tax under Section 409A of the Code, awards instead shall be selected in the reverse order of the date of grant. If two or more equity awards are granted on the same date, each award will be reduced on a pro-rata basis. Executive and the Company shall furnish such documentation and documents as may be necessary for the Company’s independent external accountants to perform the requisite Code Section 280G computations and analysis. The Company shall bear the costs of performing any calculations contemplated by this Section 5.11.</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542290</wp:posOffset>
            </wp:positionV>
            <wp:extent cx="5452110"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122" w:name="page123"/>
    <w:bookmarkEnd w:id="122"/>
    <w:p>
      <w:pPr>
        <w:jc w:val="both"/>
        <w:ind w:left="200" w:right="219" w:firstLine="648"/>
        <w:spacing w:after="0" w:line="249" w:lineRule="auto"/>
        <w:rPr>
          <w:sz w:val="20"/>
          <w:szCs w:val="20"/>
          <w:color w:val="auto"/>
        </w:rPr>
      </w:pPr>
      <w:r>
        <w:rPr>
          <w:rFonts w:ascii="Times New Roman" w:cs="Times New Roman" w:eastAsia="Times New Roman" w:hAnsi="Times New Roman"/>
          <w:sz w:val="21"/>
          <w:szCs w:val="21"/>
          <w:b w:val="1"/>
          <w:bCs w:val="1"/>
          <w:color w:val="auto"/>
        </w:rPr>
        <w:t xml:space="preserve">5.12 Clawback. </w:t>
      </w:r>
      <w:r>
        <w:rPr>
          <w:rFonts w:ascii="Times New Roman" w:cs="Times New Roman" w:eastAsia="Times New Roman" w:hAnsi="Times New Roman"/>
          <w:sz w:val="21"/>
          <w:szCs w:val="21"/>
          <w:color w:val="auto"/>
        </w:rPr>
        <w:t>Notwithstanding anything in this Agreement to the contrary, Executive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acknowledges that the Company may be entitled or required by law, the Company’s policy (the “</w:t>
      </w:r>
      <w:r>
        <w:rPr>
          <w:rFonts w:ascii="Times New Roman" w:cs="Times New Roman" w:eastAsia="Times New Roman" w:hAnsi="Times New Roman"/>
          <w:sz w:val="21"/>
          <w:szCs w:val="21"/>
          <w:b w:val="1"/>
          <w:bCs w:val="1"/>
          <w:color w:val="auto"/>
        </w:rPr>
        <w:t>Clawback Policy</w:t>
      </w:r>
      <w:r>
        <w:rPr>
          <w:rFonts w:ascii="Times New Roman" w:cs="Times New Roman" w:eastAsia="Times New Roman" w:hAnsi="Times New Roman"/>
          <w:sz w:val="21"/>
          <w:szCs w:val="21"/>
          <w:color w:val="auto"/>
        </w:rPr>
        <w:t>”) or the requirements of an exchange on which the Company’s or its parent’s shares are listed for trading, to recoup compensation paid to Executive pursuant to this Agreement or otherwise, and Executive agrees to comply with any such request or demand for recoupment by the Company. Executive acknowledges that the Clawback Policy may be modified from time to time in the sole discretion of the Company and without the consent of Executive.</w:t>
      </w:r>
    </w:p>
    <w:p>
      <w:pPr>
        <w:spacing w:after="0" w:line="164" w:lineRule="exact"/>
        <w:rPr>
          <w:sz w:val="20"/>
          <w:szCs w:val="20"/>
          <w:color w:val="auto"/>
        </w:rPr>
      </w:pPr>
    </w:p>
    <w:p>
      <w:pPr>
        <w:jc w:val="both"/>
        <w:ind w:left="200" w:right="219" w:firstLine="648"/>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5.7 Return of Property. </w:t>
      </w:r>
      <w:r>
        <w:rPr>
          <w:rFonts w:ascii="Times New Roman" w:cs="Times New Roman" w:eastAsia="Times New Roman" w:hAnsi="Times New Roman"/>
          <w:sz w:val="22"/>
          <w:szCs w:val="22"/>
          <w:color w:val="auto"/>
        </w:rPr>
        <w:t>Upon termination of Executive’s employment with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for any reason, Executive shall immediately destroy, delete, or return to the Company, at the Company’s option, all originals and copies in any form or medium (including memoranda, books, papers, plans, computer files, letters and other data) in Executive’s possession or control that contain Confidential Information or otherwise relate to the business of the Company, and cooperate with the Company regarding the delivery or destruction of any other Confidential Information of which Executive is or becomes aware, and shall otherwise return to the Company all property of the Company.</w:t>
      </w:r>
    </w:p>
    <w:p>
      <w:pPr>
        <w:spacing w:after="0" w:line="178"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5.8</w:t>
      </w:r>
      <w:r>
        <w:rPr>
          <w:sz w:val="20"/>
          <w:szCs w:val="20"/>
          <w:color w:val="auto"/>
        </w:rPr>
        <w:tab/>
      </w:r>
      <w:r>
        <w:rPr>
          <w:rFonts w:ascii="Times New Roman" w:cs="Times New Roman" w:eastAsia="Times New Roman" w:hAnsi="Times New Roman"/>
          <w:sz w:val="21"/>
          <w:szCs w:val="21"/>
          <w:b w:val="1"/>
          <w:bCs w:val="1"/>
          <w:color w:val="auto"/>
        </w:rPr>
        <w:t>No Conflict</w:t>
      </w:r>
    </w:p>
    <w:p>
      <w:pPr>
        <w:spacing w:after="0" w:line="18" w:lineRule="exact"/>
        <w:rPr>
          <w:sz w:val="20"/>
          <w:szCs w:val="20"/>
          <w:color w:val="auto"/>
        </w:rPr>
      </w:pPr>
    </w:p>
    <w:p>
      <w:pPr>
        <w:jc w:val="both"/>
        <w:ind w:left="200" w:right="219" w:firstLine="743"/>
        <w:spacing w:after="0" w:line="232" w:lineRule="auto"/>
        <w:rPr>
          <w:sz w:val="20"/>
          <w:szCs w:val="20"/>
          <w:color w:val="auto"/>
        </w:rPr>
      </w:pPr>
      <w:r>
        <w:rPr>
          <w:rFonts w:ascii="Times New Roman" w:cs="Times New Roman" w:eastAsia="Times New Roman" w:hAnsi="Times New Roman"/>
          <w:sz w:val="22"/>
          <w:szCs w:val="22"/>
          <w:b w:val="1"/>
          <w:bCs w:val="1"/>
          <w:color w:val="auto"/>
        </w:rPr>
        <w:t xml:space="preserve">and Representation. </w:t>
      </w:r>
      <w:r>
        <w:rPr>
          <w:rFonts w:ascii="Times New Roman" w:cs="Times New Roman" w:eastAsia="Times New Roman" w:hAnsi="Times New Roman"/>
          <w:sz w:val="22"/>
          <w:szCs w:val="22"/>
          <w:color w:val="auto"/>
        </w:rPr>
        <w:t>Executive represents and warrants to the Company that (i)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execution, delivery and performance of this Agreement by Executive does not and shall not conflict with, breach, violate or cause a default under any contract, agreement, instrument, order, judgment or decree to which Executive is a party or by which Executive is bound; (ii) Executive is not a party to or bound by an employment agreement, non-compete agreement, non-solicit agreement or confidentiality agreement with any other Person which would interfere in any material respect with the performance of Executive’s duties hereunder; and (iii) Executive has been individually represented by independent counsel in negotiating the terms of this agreement.</w:t>
      </w:r>
    </w:p>
    <w:p>
      <w:pPr>
        <w:spacing w:after="0" w:line="176" w:lineRule="exact"/>
        <w:rPr>
          <w:sz w:val="20"/>
          <w:szCs w:val="20"/>
          <w:color w:val="auto"/>
        </w:rPr>
      </w:pPr>
    </w:p>
    <w:p>
      <w:pPr>
        <w:jc w:val="both"/>
        <w:ind w:left="200" w:right="219" w:firstLine="648"/>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5.15 Survival. </w:t>
      </w:r>
      <w:r>
        <w:rPr>
          <w:rFonts w:ascii="Times New Roman" w:cs="Times New Roman" w:eastAsia="Times New Roman" w:hAnsi="Times New Roman"/>
          <w:sz w:val="22"/>
          <w:szCs w:val="22"/>
          <w:color w:val="auto"/>
        </w:rPr>
        <w:t>Except as otherwise expressly provided in this Agreement, all covenants,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representations and warranties, express or implied, in addition to the provisions of Sections 4 and 5 of this Agreement, shall survive the termination of this Agreement.</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Follows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542290</wp:posOffset>
            </wp:positionV>
            <wp:extent cx="5452110"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123" w:name="page124"/>
    <w:bookmarkEnd w:id="123"/>
    <w:p>
      <w:pPr>
        <w:ind w:left="200" w:right="239" w:firstLine="648"/>
        <w:spacing w:after="0" w:line="262" w:lineRule="auto"/>
        <w:rPr>
          <w:sz w:val="20"/>
          <w:szCs w:val="20"/>
          <w:color w:val="auto"/>
        </w:rPr>
      </w:pPr>
      <w:r>
        <w:rPr>
          <w:rFonts w:ascii="Times New Roman" w:cs="Times New Roman" w:eastAsia="Times New Roman" w:hAnsi="Times New Roman"/>
          <w:sz w:val="22"/>
          <w:szCs w:val="22"/>
          <w:b w:val="1"/>
          <w:bCs w:val="1"/>
          <w:color w:val="auto"/>
        </w:rPr>
        <w:t>IN WITNESS WHEREOF</w:t>
      </w:r>
      <w:r>
        <w:rPr>
          <w:rFonts w:ascii="Times New Roman" w:cs="Times New Roman" w:eastAsia="Times New Roman" w:hAnsi="Times New Roman"/>
          <w:sz w:val="22"/>
          <w:szCs w:val="22"/>
          <w:color w:val="auto"/>
        </w:rPr>
        <w:t>, the parties hereto have caused this Employment Agreement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 duly executed on the date and year first written above.</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b w:val="1"/>
          <w:bCs w:val="1"/>
          <w:color w:val="auto"/>
        </w:rPr>
        <w:t>COMPANY</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By: _________________________</w:t>
      </w:r>
    </w:p>
    <w:p>
      <w:pPr>
        <w:spacing w:after="0" w:line="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Name: Crystal Landsem</w:t>
      </w:r>
    </w:p>
    <w:p>
      <w:pPr>
        <w:ind w:left="860"/>
        <w:spacing w:after="0"/>
        <w:rPr>
          <w:sz w:val="20"/>
          <w:szCs w:val="20"/>
          <w:color w:val="auto"/>
        </w:rPr>
      </w:pPr>
      <w:r>
        <w:rPr>
          <w:rFonts w:ascii="Times New Roman" w:cs="Times New Roman" w:eastAsia="Times New Roman" w:hAnsi="Times New Roman"/>
          <w:sz w:val="22"/>
          <w:szCs w:val="22"/>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b w:val="1"/>
          <w:bCs w:val="1"/>
          <w:color w:val="auto"/>
        </w:rPr>
        <w:t>PARENT</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By: _________________________</w:t>
      </w:r>
    </w:p>
    <w:p>
      <w:pPr>
        <w:spacing w:after="0" w:line="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Name: Crystal Landsem</w:t>
      </w:r>
    </w:p>
    <w:p>
      <w:pPr>
        <w:ind w:left="860"/>
        <w:spacing w:after="0"/>
        <w:rPr>
          <w:sz w:val="20"/>
          <w:szCs w:val="20"/>
          <w:color w:val="auto"/>
        </w:rPr>
      </w:pPr>
      <w:r>
        <w:rPr>
          <w:rFonts w:ascii="Times New Roman" w:cs="Times New Roman" w:eastAsia="Times New Roman" w:hAnsi="Times New Roman"/>
          <w:sz w:val="22"/>
          <w:szCs w:val="22"/>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b w:val="1"/>
          <w:bCs w:val="1"/>
          <w:color w:val="auto"/>
        </w:rPr>
        <w:t>EXECUTIVE</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_________________________</w:t>
      </w:r>
    </w:p>
    <w:p>
      <w:pPr>
        <w:spacing w:after="0" w:line="1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Laura Deady</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542290</wp:posOffset>
            </wp:positionV>
            <wp:extent cx="5452110"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9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124" w:name="page125"/>
    <w:bookmarkEnd w:id="124"/>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Appendix A</w:t>
      </w: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Separation Agreement and Release</w:t>
      </w:r>
    </w:p>
    <w:p>
      <w:pPr>
        <w:spacing w:after="0" w:line="237" w:lineRule="exact"/>
        <w:rPr>
          <w:sz w:val="20"/>
          <w:szCs w:val="20"/>
          <w:color w:val="auto"/>
        </w:rPr>
      </w:pPr>
    </w:p>
    <w:p>
      <w:pPr>
        <w:jc w:val="both"/>
        <w:ind w:left="200" w:right="219" w:firstLine="648"/>
        <w:spacing w:after="0" w:line="238" w:lineRule="auto"/>
        <w:rPr>
          <w:sz w:val="20"/>
          <w:szCs w:val="20"/>
          <w:color w:val="auto"/>
        </w:rPr>
      </w:pPr>
      <w:r>
        <w:rPr>
          <w:rFonts w:ascii="Times New Roman" w:cs="Times New Roman" w:eastAsia="Times New Roman" w:hAnsi="Times New Roman"/>
          <w:sz w:val="22"/>
          <w:szCs w:val="22"/>
          <w:color w:val="auto"/>
        </w:rPr>
        <w:t>This Separation Agreement and Release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is made by and between Laura Deady (“</w:t>
      </w:r>
      <w:r>
        <w:rPr>
          <w:rFonts w:ascii="Times New Roman" w:cs="Times New Roman" w:eastAsia="Times New Roman" w:hAnsi="Times New Roman"/>
          <w:sz w:val="22"/>
          <w:szCs w:val="22"/>
          <w:u w:val="single" w:color="auto"/>
          <w:color w:val="auto"/>
        </w:rPr>
        <w:t>Executive</w:t>
      </w:r>
      <w:r>
        <w:rPr>
          <w:rFonts w:ascii="Times New Roman" w:cs="Times New Roman" w:eastAsia="Times New Roman" w:hAnsi="Times New Roman"/>
          <w:sz w:val="22"/>
          <w:szCs w:val="22"/>
          <w:color w:val="auto"/>
        </w:rPr>
        <w:t>”) and Lulu’s Fashion Lounge, LLC (together with its parents, subsidiaries, and any successor(s) thereto,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(collectively, referred to as the “</w:t>
      </w:r>
      <w:r>
        <w:rPr>
          <w:rFonts w:ascii="Times New Roman" w:cs="Times New Roman" w:eastAsia="Times New Roman" w:hAnsi="Times New Roman"/>
          <w:sz w:val="22"/>
          <w:szCs w:val="22"/>
          <w:u w:val="single" w:color="auto"/>
          <w:color w:val="auto"/>
        </w:rPr>
        <w:t>Parties</w:t>
      </w:r>
      <w:r>
        <w:rPr>
          <w:rFonts w:ascii="Times New Roman" w:cs="Times New Roman" w:eastAsia="Times New Roman" w:hAnsi="Times New Roman"/>
          <w:sz w:val="22"/>
          <w:szCs w:val="22"/>
          <w:color w:val="auto"/>
        </w:rPr>
        <w:t>” or individually referred to as a “</w:t>
      </w:r>
      <w:r>
        <w:rPr>
          <w:rFonts w:ascii="Times New Roman" w:cs="Times New Roman" w:eastAsia="Times New Roman" w:hAnsi="Times New Roman"/>
          <w:sz w:val="22"/>
          <w:szCs w:val="22"/>
          <w:u w:val="single" w:color="auto"/>
          <w:color w:val="auto"/>
        </w:rPr>
        <w:t>Party</w:t>
      </w:r>
      <w:r>
        <w:rPr>
          <w:rFonts w:ascii="Times New Roman" w:cs="Times New Roman" w:eastAsia="Times New Roman" w:hAnsi="Times New Roman"/>
          <w:sz w:val="22"/>
          <w:szCs w:val="22"/>
          <w:color w:val="auto"/>
        </w:rPr>
        <w:t>”). Capitalized terms used but not defined in this Agreement shall have the meanings set forth in the Employment Agreement (as defined below).</w:t>
      </w:r>
    </w:p>
    <w:p>
      <w:pPr>
        <w:spacing w:after="0" w:line="204" w:lineRule="exact"/>
        <w:rPr>
          <w:sz w:val="20"/>
          <w:szCs w:val="20"/>
          <w:color w:val="auto"/>
        </w:rPr>
      </w:pPr>
    </w:p>
    <w:p>
      <w:pPr>
        <w:jc w:val="both"/>
        <w:ind w:left="200" w:right="219" w:firstLine="648"/>
        <w:spacing w:after="0" w:line="258" w:lineRule="auto"/>
        <w:rPr>
          <w:sz w:val="20"/>
          <w:szCs w:val="20"/>
          <w:color w:val="auto"/>
        </w:rPr>
      </w:pPr>
      <w:r>
        <w:rPr>
          <w:rFonts w:ascii="Times New Roman" w:cs="Times New Roman" w:eastAsia="Times New Roman" w:hAnsi="Times New Roman"/>
          <w:sz w:val="22"/>
          <w:szCs w:val="22"/>
          <w:color w:val="auto"/>
        </w:rPr>
        <w:t>WHEREAS, the Parties have previously entered into an Employment Agreement, dated as of [DATE] (the “</w:t>
      </w:r>
      <w:r>
        <w:rPr>
          <w:rFonts w:ascii="Times New Roman" w:cs="Times New Roman" w:eastAsia="Times New Roman" w:hAnsi="Times New Roman"/>
          <w:sz w:val="22"/>
          <w:szCs w:val="22"/>
          <w:u w:val="single" w:color="auto"/>
          <w:color w:val="auto"/>
        </w:rPr>
        <w:t>Employment Agreement</w:t>
      </w:r>
      <w:r>
        <w:rPr>
          <w:rFonts w:ascii="Times New Roman" w:cs="Times New Roman" w:eastAsia="Times New Roman" w:hAnsi="Times New Roman"/>
          <w:sz w:val="22"/>
          <w:szCs w:val="22"/>
          <w:color w:val="auto"/>
        </w:rPr>
        <w:t>”); and</w:t>
      </w:r>
    </w:p>
    <w:p>
      <w:pPr>
        <w:spacing w:after="0" w:line="185" w:lineRule="exact"/>
        <w:rPr>
          <w:sz w:val="20"/>
          <w:szCs w:val="20"/>
          <w:color w:val="auto"/>
        </w:rPr>
      </w:pPr>
    </w:p>
    <w:p>
      <w:pPr>
        <w:jc w:val="both"/>
        <w:ind w:left="200" w:right="219" w:firstLine="648"/>
        <w:spacing w:after="0" w:line="233" w:lineRule="auto"/>
        <w:rPr>
          <w:sz w:val="20"/>
          <w:szCs w:val="20"/>
          <w:color w:val="auto"/>
        </w:rPr>
      </w:pPr>
      <w:r>
        <w:rPr>
          <w:rFonts w:ascii="Times New Roman" w:cs="Times New Roman" w:eastAsia="Times New Roman" w:hAnsi="Times New Roman"/>
          <w:sz w:val="22"/>
          <w:szCs w:val="22"/>
          <w:color w:val="auto"/>
        </w:rPr>
        <w:t>WHEREAS, in connection with Executive’s termination of employment with the Company or a subsidiary or affiliate of the Company effective [DATE], the Parties wish to resolve any and all disputes, claims, complaints, grievances, charges, actions, petitions, and demands that Executive may have against the Company and any of the Releasees (as defined below), including, but not limited to, any and all claims arising out of or in any way related to Executive’s employment with or separation from the Company or its subsidiaries or affiliates but, for the avoidance of doubt, nothing herein will be deemed to release any rights or remedies in connection with Executive’s ownership of vested equity securities of the Company or one of its affiliates, Executive’s right to vested benefits under any employee benefit plan of the Company or one of its affiliates, or Executive’s right to indemnification by the Company or any of its affiliates pursuant to contract or applicable law (collectively, the “</w:t>
      </w:r>
      <w:r>
        <w:rPr>
          <w:rFonts w:ascii="Times New Roman" w:cs="Times New Roman" w:eastAsia="Times New Roman" w:hAnsi="Times New Roman"/>
          <w:sz w:val="22"/>
          <w:szCs w:val="22"/>
          <w:u w:val="single" w:color="auto"/>
          <w:color w:val="auto"/>
        </w:rPr>
        <w:t>Retained Claims</w:t>
      </w:r>
      <w:r>
        <w:rPr>
          <w:rFonts w:ascii="Times New Roman" w:cs="Times New Roman" w:eastAsia="Times New Roman" w:hAnsi="Times New Roman"/>
          <w:sz w:val="22"/>
          <w:szCs w:val="22"/>
          <w:color w:val="auto"/>
        </w:rPr>
        <w:t>”).</w:t>
      </w:r>
    </w:p>
    <w:p>
      <w:pPr>
        <w:spacing w:after="0" w:line="214" w:lineRule="exact"/>
        <w:rPr>
          <w:sz w:val="20"/>
          <w:szCs w:val="20"/>
          <w:color w:val="auto"/>
        </w:rPr>
      </w:pPr>
    </w:p>
    <w:p>
      <w:pPr>
        <w:jc w:val="both"/>
        <w:ind w:left="200" w:right="219" w:firstLine="648"/>
        <w:spacing w:after="0" w:line="255" w:lineRule="auto"/>
        <w:rPr>
          <w:sz w:val="20"/>
          <w:szCs w:val="20"/>
          <w:color w:val="auto"/>
        </w:rPr>
      </w:pPr>
      <w:r>
        <w:rPr>
          <w:rFonts w:ascii="Times New Roman" w:cs="Times New Roman" w:eastAsia="Times New Roman" w:hAnsi="Times New Roman"/>
          <w:sz w:val="21"/>
          <w:szCs w:val="21"/>
          <w:color w:val="auto"/>
        </w:rPr>
        <w:t>NOW, THEREFORE, in consideration of the severance payments and benefits described in Section 3.4 of the Employment Agreement, which, pursuant to the Employment Agreement, are conditioned on Executive’s execution and non-revocation of this Agreement, and in consideration of the mutual promises made herein, the Company and Executive hereby agree as follows:</w:t>
      </w:r>
    </w:p>
    <w:p>
      <w:pPr>
        <w:spacing w:after="0" w:line="189" w:lineRule="exact"/>
        <w:rPr>
          <w:sz w:val="20"/>
          <w:szCs w:val="20"/>
          <w:color w:val="auto"/>
        </w:rPr>
      </w:pPr>
    </w:p>
    <w:p>
      <w:pPr>
        <w:jc w:val="both"/>
        <w:ind w:left="200" w:right="219" w:firstLine="657"/>
        <w:spacing w:after="0" w:line="235" w:lineRule="auto"/>
        <w:tabs>
          <w:tab w:leader="none" w:pos="1496"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Severance Payments and Benefits; Salary and Benefits</w:t>
      </w:r>
      <w:r>
        <w:rPr>
          <w:rFonts w:ascii="Times New Roman" w:cs="Times New Roman" w:eastAsia="Times New Roman" w:hAnsi="Times New Roman"/>
          <w:sz w:val="22"/>
          <w:szCs w:val="22"/>
          <w:color w:val="auto"/>
        </w:rPr>
        <w:t>. The Company agrees to provide Executive with the severance payments and benefits described in Section 3.4 of the Employment Agreement, payable at the times set forth in, and subject to the terms and conditions of, the Employment Agreement. In addition, to the extent not already paid, and subject to the terms and conditions of the Employment Agreement, the Company shall pay or provide to Executive the Accrued Rights (as defined in the Employment Agreement), subject to and in accordance with the terms of the Employment Agreement.</w:t>
      </w:r>
    </w:p>
    <w:p>
      <w:pPr>
        <w:spacing w:after="0" w:line="210" w:lineRule="exact"/>
        <w:rPr>
          <w:rFonts w:ascii="Times New Roman" w:cs="Times New Roman" w:eastAsia="Times New Roman" w:hAnsi="Times New Roman"/>
          <w:sz w:val="22"/>
          <w:szCs w:val="22"/>
          <w:color w:val="auto"/>
        </w:rPr>
      </w:pPr>
    </w:p>
    <w:p>
      <w:pPr>
        <w:jc w:val="both"/>
        <w:ind w:left="200" w:right="219" w:firstLine="657"/>
        <w:spacing w:after="0" w:line="247" w:lineRule="auto"/>
        <w:tabs>
          <w:tab w:leader="none" w:pos="1496" w:val="left"/>
        </w:tabs>
        <w:numPr>
          <w:ilvl w:val="0"/>
          <w:numId w:val="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Release of Claims</w:t>
      </w:r>
      <w:r>
        <w:rPr>
          <w:rFonts w:ascii="Times New Roman" w:cs="Times New Roman" w:eastAsia="Times New Roman" w:hAnsi="Times New Roman"/>
          <w:sz w:val="21"/>
          <w:szCs w:val="21"/>
          <w:color w:val="auto"/>
        </w:rPr>
        <w:t>. Executive agrees that, other than with respect to the Retained Claims, the foregoing consideration represents settlement in full of all outstanding obligations owed to Executive by the Company, any of its direct or indirect subsidiaries and affiliates, and any of its or their current and former officers, directors, equity holders, managers, employees, agents, investors, attorneys, shareholders, administrators, affiliates, benefit plans, plan administrators, insurers, trustees, divisions, and subsidiaries and predecessor and successor corporations and assigns, each in their capacity as such, (collectively, the “</w:t>
      </w:r>
      <w:r>
        <w:rPr>
          <w:rFonts w:ascii="Times New Roman" w:cs="Times New Roman" w:eastAsia="Times New Roman" w:hAnsi="Times New Roman"/>
          <w:sz w:val="21"/>
          <w:szCs w:val="21"/>
          <w:u w:val="single" w:color="auto"/>
          <w:color w:val="auto"/>
        </w:rPr>
        <w:t>Releasees</w:t>
      </w:r>
      <w:r>
        <w:rPr>
          <w:rFonts w:ascii="Times New Roman" w:cs="Times New Roman" w:eastAsia="Times New Roman" w:hAnsi="Times New Roman"/>
          <w:sz w:val="21"/>
          <w:szCs w:val="21"/>
          <w:color w:val="auto"/>
        </w:rPr>
        <w:t>”). Executive, on Executive’s own behalf and on behalf of any of Executive’s affiliated companies or entities and any of their</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542290</wp:posOffset>
            </wp:positionV>
            <wp:extent cx="5452110"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9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125" w:name="page126"/>
    <w:bookmarkEnd w:id="125"/>
    <w:p>
      <w:pPr>
        <w:jc w:val="both"/>
        <w:ind w:left="200" w:right="219"/>
        <w:spacing w:after="0" w:line="235" w:lineRule="auto"/>
        <w:rPr>
          <w:sz w:val="20"/>
          <w:szCs w:val="20"/>
          <w:color w:val="auto"/>
        </w:rPr>
      </w:pPr>
      <w:r>
        <w:rPr>
          <w:rFonts w:ascii="Times New Roman" w:cs="Times New Roman" w:eastAsia="Times New Roman" w:hAnsi="Times New Roman"/>
          <w:sz w:val="22"/>
          <w:szCs w:val="22"/>
          <w:color w:val="auto"/>
        </w:rPr>
        <w:t>respective heirs, family members, executors, agents, and assigns, other than with respect to the Retained Claims, hereby and forever releases the Releasees from, and agrees not to sue concerning, or in any manner to institute, prosecute, or pursue, any claim, complaint, charge, duty, obligation, or cause of action relating to any matters of any kind, whether presently known or unknown, suspected or unsuspected, that Executive may possess against any of the Releasees arising from any omissions, acts, facts, or damages that have occurred up until and including the date Executive signs this Agreement, including, without limitation:</w:t>
      </w:r>
    </w:p>
    <w:p>
      <w:pPr>
        <w:spacing w:after="0" w:line="211" w:lineRule="exact"/>
        <w:rPr>
          <w:sz w:val="20"/>
          <w:szCs w:val="20"/>
          <w:color w:val="auto"/>
        </w:rPr>
      </w:pPr>
    </w:p>
    <w:p>
      <w:pPr>
        <w:jc w:val="both"/>
        <w:ind w:left="200" w:right="219" w:firstLine="1305"/>
        <w:spacing w:after="0" w:line="244" w:lineRule="auto"/>
        <w:tabs>
          <w:tab w:leader="none" w:pos="2144"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and all claims relating to or arising from Executive’s employment or service relationship with the Company or any of its direct or indirect subsidiaries or affiliates and the termination of that relationship;</w:t>
      </w:r>
    </w:p>
    <w:p>
      <w:pPr>
        <w:spacing w:after="0" w:line="200" w:lineRule="exact"/>
        <w:rPr>
          <w:rFonts w:ascii="Times New Roman" w:cs="Times New Roman" w:eastAsia="Times New Roman" w:hAnsi="Times New Roman"/>
          <w:sz w:val="22"/>
          <w:szCs w:val="22"/>
          <w:color w:val="auto"/>
        </w:rPr>
      </w:pPr>
    </w:p>
    <w:p>
      <w:pPr>
        <w:jc w:val="both"/>
        <w:ind w:left="200" w:right="219" w:firstLine="1305"/>
        <w:spacing w:after="0" w:line="255" w:lineRule="auto"/>
        <w:tabs>
          <w:tab w:leader="none" w:pos="2144" w:val="left"/>
        </w:tabs>
        <w:numPr>
          <w:ilvl w:val="0"/>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and all claims relating to, or arising from, Executive’s right to purchase, or actual purchase of any shares of stock or other equity interests of the Company or any of its affiliates, including, without limitation, any claims for fraud, misrepresentation, breach of fiduciary duty, breach of duty under applicable state law, and securities fraud under any state or federal law;</w:t>
      </w:r>
    </w:p>
    <w:p>
      <w:pPr>
        <w:spacing w:after="0" w:line="188" w:lineRule="exact"/>
        <w:rPr>
          <w:rFonts w:ascii="Times New Roman" w:cs="Times New Roman" w:eastAsia="Times New Roman" w:hAnsi="Times New Roman"/>
          <w:sz w:val="21"/>
          <w:szCs w:val="21"/>
          <w:color w:val="auto"/>
        </w:rPr>
      </w:pPr>
    </w:p>
    <w:p>
      <w:pPr>
        <w:jc w:val="both"/>
        <w:ind w:left="200" w:right="219" w:firstLine="1305"/>
        <w:spacing w:after="0" w:line="235" w:lineRule="auto"/>
        <w:tabs>
          <w:tab w:leader="none" w:pos="2144"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and all claims for wrongful discharge of employment; termination in violation of public policy; discrimination; harassment; retaliation; breach of contract, both express and implied; breach of covenant of good faith and fair dealing, both express and implied; promissory estoppel; negligent or intentional infliction of emotional distress; fraud; negligent or intentional misrepresentation; negligent or intentional interference with contract or prospective economic advantage; unfair business practices; defamation; libel; slander; negligence; personal injury; assault; battery; invasion of privacy; false imprisonment; conversion; and disability benefits;</w:t>
      </w:r>
    </w:p>
    <w:p>
      <w:pPr>
        <w:spacing w:after="0" w:line="205" w:lineRule="exact"/>
        <w:rPr>
          <w:rFonts w:ascii="Times New Roman" w:cs="Times New Roman" w:eastAsia="Times New Roman" w:hAnsi="Times New Roman"/>
          <w:sz w:val="22"/>
          <w:szCs w:val="22"/>
          <w:color w:val="auto"/>
        </w:rPr>
      </w:pPr>
    </w:p>
    <w:p>
      <w:pPr>
        <w:jc w:val="both"/>
        <w:ind w:left="200" w:right="219" w:firstLine="1305"/>
        <w:spacing w:after="0" w:line="237" w:lineRule="auto"/>
        <w:tabs>
          <w:tab w:leader="none" w:pos="2144"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and all claims for violation of any federal, state, or municipal statute, including, but not limited to, Title VII of the Civil Rights Act of 1964; the Civil Rights Act of 1991; the Rehabilitation Act of 1973; the Americans with Disabilities Act of 1990; the Equal Pay Act; the Fair Labor Standards Act; the Fair Credit Reporting Act; the Age Discrimination in Employment Act of 1967; the Older Workers Benefit Protection Act; the Employee Retirement Income Security Act of 1974; the Worker Adjustment and Retraining Notification Act; the Family and Medical Leave Act; the Sarbanes-Oxley Act of 2002; the California Consumer Credit Reporting Agencies Act; the California Fair Employment and Housing Act; the California Family Rights Act; the California WARN Act; the California Labor Code; California Business &amp; Professions Code Section 17200; the California Family Military Leave Law; and California Military and Veterans Code;</w:t>
      </w:r>
      <w:r>
        <w:rPr>
          <w:rFonts w:ascii="Times New Roman" w:cs="Times New Roman" w:eastAsia="Times New Roman" w:hAnsi="Times New Roman"/>
          <w:sz w:val="32"/>
          <w:szCs w:val="32"/>
          <w:u w:val="single" w:color="auto"/>
          <w:color w:val="0000EE"/>
          <w:vertAlign w:val="superscript"/>
        </w:rPr>
        <w:t>1</w:t>
      </w:r>
    </w:p>
    <w:p>
      <w:pPr>
        <w:spacing w:after="0" w:line="81" w:lineRule="exact"/>
        <w:rPr>
          <w:rFonts w:ascii="Times New Roman" w:cs="Times New Roman" w:eastAsia="Times New Roman" w:hAnsi="Times New Roman"/>
          <w:sz w:val="22"/>
          <w:szCs w:val="22"/>
          <w:color w:val="auto"/>
        </w:rPr>
      </w:pPr>
    </w:p>
    <w:p>
      <w:pPr>
        <w:ind w:left="2160" w:hanging="655"/>
        <w:spacing w:after="0"/>
        <w:tabs>
          <w:tab w:leader="none" w:pos="2160"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and all claims for violation of the federal or any state constitution;</w:t>
      </w:r>
    </w:p>
    <w:p>
      <w:pPr>
        <w:spacing w:after="0" w:line="233" w:lineRule="exact"/>
        <w:rPr>
          <w:rFonts w:ascii="Times New Roman" w:cs="Times New Roman" w:eastAsia="Times New Roman" w:hAnsi="Times New Roman"/>
          <w:sz w:val="22"/>
          <w:szCs w:val="22"/>
          <w:color w:val="auto"/>
        </w:rPr>
      </w:pPr>
    </w:p>
    <w:p>
      <w:pPr>
        <w:ind w:left="200" w:right="219" w:firstLine="1305"/>
        <w:spacing w:after="0" w:line="258" w:lineRule="auto"/>
        <w:tabs>
          <w:tab w:leader="none" w:pos="2144"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and all claims arising out of any other laws and regulations relating to employment or employment discrimination;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306705</wp:posOffset>
            </wp:positionV>
            <wp:extent cx="136271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92">
                      <a:extLst>
                        <a:ext uri="{28A0092B-C50C-407E-A947-70E740481C1C}"/>
                      </a:extLst>
                    </a:blip>
                    <a:srcRect/>
                    <a:stretch>
                      <a:fillRect/>
                    </a:stretch>
                  </pic:blipFill>
                  <pic:spPr bwMode="auto">
                    <a:xfrm>
                      <a:off x="0" y="0"/>
                      <a:ext cx="13627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542290</wp:posOffset>
            </wp:positionV>
            <wp:extent cx="545211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93">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126" w:name="page127"/>
    <w:bookmarkEnd w:id="126"/>
    <w:p>
      <w:pPr>
        <w:jc w:val="both"/>
        <w:ind w:left="200" w:right="219" w:firstLine="1305"/>
        <w:spacing w:after="0" w:line="244" w:lineRule="auto"/>
        <w:tabs>
          <w:tab w:leader="none" w:pos="2144"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claim for any loss, cost, damage, or expense arising out of any dispute over the non-withholding or other tax treatment of any of the proceeds received by Executive as a result of this Agreement; and</w:t>
      </w:r>
    </w:p>
    <w:p>
      <w:pPr>
        <w:spacing w:after="0" w:line="200" w:lineRule="exact"/>
        <w:rPr>
          <w:rFonts w:ascii="Times New Roman" w:cs="Times New Roman" w:eastAsia="Times New Roman" w:hAnsi="Times New Roman"/>
          <w:sz w:val="22"/>
          <w:szCs w:val="22"/>
          <w:color w:val="auto"/>
        </w:rPr>
      </w:pPr>
    </w:p>
    <w:p>
      <w:pPr>
        <w:ind w:left="2160" w:hanging="655"/>
        <w:spacing w:after="0"/>
        <w:tabs>
          <w:tab w:leader="none" w:pos="2160"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and all claims for attorneys’ fees and costs.</w:t>
      </w:r>
    </w:p>
    <w:p>
      <w:pPr>
        <w:spacing w:after="0" w:line="233" w:lineRule="exact"/>
        <w:rPr>
          <w:sz w:val="20"/>
          <w:szCs w:val="20"/>
          <w:color w:val="auto"/>
        </w:rPr>
      </w:pPr>
    </w:p>
    <w:p>
      <w:pPr>
        <w:jc w:val="both"/>
        <w:ind w:left="200" w:right="219"/>
        <w:spacing w:after="0" w:line="232" w:lineRule="auto"/>
        <w:rPr>
          <w:sz w:val="20"/>
          <w:szCs w:val="20"/>
          <w:color w:val="auto"/>
        </w:rPr>
      </w:pPr>
      <w:r>
        <w:rPr>
          <w:rFonts w:ascii="Times New Roman" w:cs="Times New Roman" w:eastAsia="Times New Roman" w:hAnsi="Times New Roman"/>
          <w:sz w:val="22"/>
          <w:szCs w:val="22"/>
          <w:color w:val="auto"/>
        </w:rPr>
        <w:t>Executive agrees that the release set forth in this section shall be and remain in effect in all respects as a complete general release as to the matters released. This release does not release claims that cannot be released as a matter of law, including, but not limited to: Executive's right to file for California unemployment or disability insurance benefits, to seek indemnity under California Labor Code Section 2802; Executive's right to file a charge with or participate in a charge by the Equal Employment Opportunity Commission, the California Department of Fair Employment and Housing or any other local, state, or federal administrative body or government agency that is authorized to enforce or administer laws related to employment, against the Company (with the understanding that Executive's release of claims herein bars Executive from recovering such monetary relief from the Company or any Releasee), claims for unemployment compensation or any state disability insurance benefits pursuant to the terms of applicable state law, claims to continued participation in certain of the Company's group benefit plans pursuant to the terms and conditions of COBRA, claims to any benefit entitlements vested as the date of separation of Executive's employment, pursuant to written terms of any employee benefit plan of the Company or its affiliates and Executive's right under applicable law and any Retained Claims. This release further does not prevent Executive from reporting possible violations of federal law or regulation to any United States governmental agency or entity in accordance with the provisions of and rules promulgated under Section 21F of the Securities Exchange Act of 1934 or Section 806 of the Sarbanes-Oxley Act of 2002, or any other whistleblower protection provisions of state or federal law or regulation (including the right to receive an award for information provided to any such government agencies).</w:t>
      </w:r>
    </w:p>
    <w:p>
      <w:pPr>
        <w:spacing w:after="0" w:line="184" w:lineRule="exact"/>
        <w:rPr>
          <w:sz w:val="20"/>
          <w:szCs w:val="20"/>
          <w:color w:val="auto"/>
        </w:rPr>
      </w:pPr>
    </w:p>
    <w:p>
      <w:pPr>
        <w:jc w:val="both"/>
        <w:ind w:left="200" w:right="219" w:firstLine="648"/>
        <w:spacing w:after="0" w:line="233" w:lineRule="auto"/>
        <w:rPr>
          <w:sz w:val="20"/>
          <w:szCs w:val="20"/>
          <w:color w:val="auto"/>
        </w:rPr>
      </w:pPr>
      <w:r>
        <w:rPr>
          <w:rFonts w:ascii="Times New Roman" w:cs="Times New Roman" w:eastAsia="Times New Roman" w:hAnsi="Times New Roman"/>
          <w:sz w:val="22"/>
          <w:szCs w:val="22"/>
          <w:color w:val="auto"/>
        </w:rPr>
        <w:t>Executive represents that as of the Effective Date of this Agreement, Executive has been paid all wages and/or salary earned and all accrued and unpaid vacation, and that Executive has accurately reported all hours worked, and is unaware of any pending lawsuit, claim, charge or complaint filed by Executive or on Executive's behalf against the Releasees, or any of them. Executive further represents that Executive (i) has reported to the Company any and all work-related injuries incurred during employment; (ii) the Company properly provided any leave of absence because of Executive or a family member’s health condition and Executive has not been subjected to any improper treatment, conduct or actions due to a request for or taking such leave; and (iii) Executive has provided the Company with written notice of any and all concerns regarding suspected bank fraud, wire fraud, mail fraud, securities fraud, any violation of a rule or regulation of the Securities and Exchange Commission (“SEC”), any violation of federal law, or any violation of the Company’s Code of Business Conduct, or any other ethical and compliance issues or violations on the part of the Company or any released person or entity.</w:t>
      </w:r>
    </w:p>
    <w:p>
      <w:pPr>
        <w:spacing w:after="0" w:line="182" w:lineRule="exact"/>
        <w:rPr>
          <w:sz w:val="20"/>
          <w:szCs w:val="20"/>
          <w:color w:val="auto"/>
        </w:rPr>
      </w:pPr>
    </w:p>
    <w:p>
      <w:pPr>
        <w:jc w:val="both"/>
        <w:ind w:left="200" w:right="219" w:firstLine="648"/>
        <w:spacing w:after="0" w:line="244" w:lineRule="auto"/>
        <w:rPr>
          <w:sz w:val="20"/>
          <w:szCs w:val="20"/>
          <w:color w:val="auto"/>
        </w:rPr>
      </w:pPr>
      <w:r>
        <w:rPr>
          <w:rFonts w:ascii="Times New Roman" w:cs="Times New Roman" w:eastAsia="Times New Roman" w:hAnsi="Times New Roman"/>
          <w:sz w:val="22"/>
          <w:szCs w:val="22"/>
          <w:color w:val="auto"/>
        </w:rPr>
        <w:t>EXECUTIVE ACKNOWLEDGES THAT EXECUTIVE HAS BEEN ADVISED OF AND IS FAMILIAR WITH THE PROVISIONS OF CALIFORNIA CIVIL CODE SECTION 1542, WHICH PROVIDES AS FOLLOWS: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542290</wp:posOffset>
            </wp:positionV>
            <wp:extent cx="5452110"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9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127" w:name="page128"/>
    <w:bookmarkEnd w:id="127"/>
    <w:p>
      <w:pPr>
        <w:jc w:val="both"/>
        <w:ind w:left="200" w:right="219"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spacing w:after="0" w:line="181" w:lineRule="exact"/>
        <w:rPr>
          <w:sz w:val="20"/>
          <w:szCs w:val="20"/>
          <w:color w:val="auto"/>
        </w:rPr>
      </w:pPr>
    </w:p>
    <w:p>
      <w:pPr>
        <w:jc w:val="both"/>
        <w:ind w:left="200" w:right="219" w:firstLine="648"/>
        <w:spacing w:after="0" w:line="244" w:lineRule="auto"/>
        <w:rPr>
          <w:sz w:val="20"/>
          <w:szCs w:val="20"/>
          <w:color w:val="auto"/>
        </w:rPr>
      </w:pPr>
      <w:r>
        <w:rPr>
          <w:rFonts w:ascii="Times New Roman" w:cs="Times New Roman" w:eastAsia="Times New Roman" w:hAnsi="Times New Roman"/>
          <w:sz w:val="22"/>
          <w:szCs w:val="22"/>
          <w:color w:val="auto"/>
        </w:rPr>
        <w:t>BEING AWARE OF SAID CODE SECTION, EXECUTIVE HEREBY EXPRESSLY WAIVES ANY RIGHTS EXECUTIVE MAY HAVE THEREUNDER, AS WELL AS UNDER ANY OTHER STATUTES OR COMMON LAW PRINCIPLES OF SIMILAR EFFECT.</w:t>
      </w:r>
    </w:p>
    <w:p>
      <w:pPr>
        <w:spacing w:after="0" w:line="173" w:lineRule="exact"/>
        <w:rPr>
          <w:sz w:val="20"/>
          <w:szCs w:val="20"/>
          <w:color w:val="auto"/>
        </w:rPr>
      </w:pPr>
    </w:p>
    <w:p>
      <w:pPr>
        <w:jc w:val="both"/>
        <w:ind w:left="200" w:right="219" w:firstLine="657"/>
        <w:spacing w:after="0" w:line="243" w:lineRule="auto"/>
        <w:tabs>
          <w:tab w:leader="none" w:pos="1496" w:val="left"/>
        </w:tabs>
        <w:numPr>
          <w:ilvl w:val="0"/>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[IF EXECUTIVE IS 40 YEARS OR OLDER AT TIME OF SEPARATION] Acknowledgment of Waiver of Claims under ADEA</w:t>
      </w:r>
      <w:r>
        <w:rPr>
          <w:rFonts w:ascii="Times New Roman" w:cs="Times New Roman" w:eastAsia="Times New Roman" w:hAnsi="Times New Roman"/>
          <w:sz w:val="21"/>
          <w:szCs w:val="21"/>
          <w:color w:val="auto"/>
        </w:rPr>
        <w:t>. Executive understands and acknowledges that Executive is waiving and releasing any rights Executive may have under the Age Discrimination in Employment Act of 1967 (“</w:t>
      </w:r>
      <w:r>
        <w:rPr>
          <w:rFonts w:ascii="Times New Roman" w:cs="Times New Roman" w:eastAsia="Times New Roman" w:hAnsi="Times New Roman"/>
          <w:sz w:val="21"/>
          <w:szCs w:val="21"/>
          <w:u w:val="single" w:color="auto"/>
          <w:color w:val="auto"/>
        </w:rPr>
        <w:t>ADEA</w:t>
      </w:r>
      <w:r>
        <w:rPr>
          <w:rFonts w:ascii="Times New Roman" w:cs="Times New Roman" w:eastAsia="Times New Roman" w:hAnsi="Times New Roman"/>
          <w:sz w:val="21"/>
          <w:szCs w:val="21"/>
          <w:color w:val="auto"/>
        </w:rPr>
        <w:t>”), and that this waiver and release is knowing and voluntary. Executive understands and agrees that this waiver and release does not apply to any rights or claims that may arise under the ADEA after the date Executive signs this Agreement. Executive understands and acknowledges that the consideration given for this waiver and release is in addition to anything of value to which Executive was already entitled. Executive further understands and acknowledges that Executive has been advised by this writing that: (a) Executive should consult with an attorney prior to executing this Agreement; (b) Executive has 21 days within which to consider this Agreement; (c) Executive has 7 days following Executive’s execution of this Agreement to revoke this Agreement pursuant to written notice to the General Counsel of the Company; (d) this Agreement shall not be effective until after the revocation period has expired; and (e) nothing in this Agreement prevents or precludes Executive from challenging or seeking a determination in good faith of the validity of this waiver under the ADEA, nor does it impose any condition precedent, penalties, or costs for doing so, unless specifically authorized by federal law. In the event Executive signs this Agreement and returns it to the Company in less than the 21-day period identified above, Executive hereby acknowledges that Executive has freely and voluntarily chosen to waive the time period allotted for considering this Agreement.</w:t>
      </w:r>
    </w:p>
    <w:p>
      <w:pPr>
        <w:spacing w:after="0" w:line="214" w:lineRule="exact"/>
        <w:rPr>
          <w:rFonts w:ascii="Times New Roman" w:cs="Times New Roman" w:eastAsia="Times New Roman" w:hAnsi="Times New Roman"/>
          <w:sz w:val="21"/>
          <w:szCs w:val="21"/>
          <w:color w:val="auto"/>
        </w:rPr>
      </w:pPr>
    </w:p>
    <w:p>
      <w:pPr>
        <w:jc w:val="both"/>
        <w:ind w:left="200" w:right="219" w:firstLine="657"/>
        <w:spacing w:after="0" w:line="239" w:lineRule="auto"/>
        <w:tabs>
          <w:tab w:leader="none" w:pos="1496"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In the event that any provision or any portion of any provision hereof or any surviving agreement made a part hereof becomes or is declared by a court of competent jurisdiction or arbitrator to be illegal, unenforceable, or void, this Agreement shall continue in full force and effect without said provision or portion of provision.</w:t>
      </w:r>
    </w:p>
    <w:p>
      <w:pPr>
        <w:spacing w:after="0" w:line="207" w:lineRule="exact"/>
        <w:rPr>
          <w:rFonts w:ascii="Times New Roman" w:cs="Times New Roman" w:eastAsia="Times New Roman" w:hAnsi="Times New Roman"/>
          <w:sz w:val="22"/>
          <w:szCs w:val="22"/>
          <w:color w:val="auto"/>
        </w:rPr>
      </w:pPr>
    </w:p>
    <w:p>
      <w:pPr>
        <w:ind w:left="200" w:right="219" w:firstLine="657"/>
        <w:spacing w:after="0" w:line="258" w:lineRule="auto"/>
        <w:tabs>
          <w:tab w:leader="none" w:pos="1496"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Oral Modification</w:t>
      </w:r>
      <w:r>
        <w:rPr>
          <w:rFonts w:ascii="Times New Roman" w:cs="Times New Roman" w:eastAsia="Times New Roman" w:hAnsi="Times New Roman"/>
          <w:sz w:val="22"/>
          <w:szCs w:val="22"/>
          <w:color w:val="auto"/>
        </w:rPr>
        <w:t>. This Agreement may only be amended in a writing signed by Executive and a duly authorized officer of the Company.</w:t>
      </w:r>
    </w:p>
    <w:p>
      <w:pPr>
        <w:spacing w:after="0" w:line="185" w:lineRule="exact"/>
        <w:rPr>
          <w:rFonts w:ascii="Times New Roman" w:cs="Times New Roman" w:eastAsia="Times New Roman" w:hAnsi="Times New Roman"/>
          <w:sz w:val="22"/>
          <w:szCs w:val="22"/>
          <w:color w:val="auto"/>
        </w:rPr>
      </w:pPr>
    </w:p>
    <w:p>
      <w:pPr>
        <w:ind w:left="200" w:right="219" w:firstLine="657"/>
        <w:spacing w:after="0" w:line="258" w:lineRule="auto"/>
        <w:tabs>
          <w:tab w:leader="none" w:pos="1496"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 Governing Law; Counterparts</w:t>
      </w:r>
      <w:r>
        <w:rPr>
          <w:rFonts w:ascii="Times New Roman" w:cs="Times New Roman" w:eastAsia="Times New Roman" w:hAnsi="Times New Roman"/>
          <w:sz w:val="22"/>
          <w:szCs w:val="22"/>
          <w:color w:val="auto"/>
        </w:rPr>
        <w:t>. This Agreement shall be subject to the provisions of Sections 5.2, 5.6, and 5.10 of the Employment Agreement.</w:t>
      </w:r>
    </w:p>
    <w:p>
      <w:pPr>
        <w:spacing w:after="0" w:line="185" w:lineRule="exact"/>
        <w:rPr>
          <w:rFonts w:ascii="Times New Roman" w:cs="Times New Roman" w:eastAsia="Times New Roman" w:hAnsi="Times New Roman"/>
          <w:sz w:val="22"/>
          <w:szCs w:val="22"/>
          <w:color w:val="auto"/>
        </w:rPr>
      </w:pPr>
    </w:p>
    <w:p>
      <w:pPr>
        <w:jc w:val="both"/>
        <w:ind w:left="200" w:right="219" w:firstLine="657"/>
        <w:spacing w:after="0" w:line="239" w:lineRule="auto"/>
        <w:tabs>
          <w:tab w:leader="none" w:pos="1496"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Executive has seven days after Executive has signed this Agreement to revoke it and this Agreement will become effective on the eighth day after Executive signed this Agreement, so long as it has been signed by the Parties and has not been revoked by Executive before that date.</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542290</wp:posOffset>
            </wp:positionV>
            <wp:extent cx="5452110"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9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128" w:name="page129"/>
    <w:bookmarkEnd w:id="128"/>
    <w:p>
      <w:pPr>
        <w:jc w:val="both"/>
        <w:ind w:left="200" w:right="219" w:firstLine="657"/>
        <w:spacing w:after="0" w:line="232" w:lineRule="auto"/>
        <w:tabs>
          <w:tab w:leader="none" w:pos="1496"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Trade Secrets; Whistleblower Protections</w:t>
      </w:r>
      <w:r>
        <w:rPr>
          <w:rFonts w:ascii="Times New Roman" w:cs="Times New Roman" w:eastAsia="Times New Roman" w:hAnsi="Times New Roman"/>
          <w:sz w:val="22"/>
          <w:szCs w:val="22"/>
          <w:color w:val="auto"/>
        </w:rPr>
        <w:t>. In accordance with 18 U.S.C. §1833, notwithstanding anything to the contrary in this Agreement, the Employment Agreement, or any other agreement between Executive and the Company or any of its subsidiaries in effect as of the date Executive receives this Agreement (together, the “</w:t>
      </w:r>
      <w:r>
        <w:rPr>
          <w:rFonts w:ascii="Times New Roman" w:cs="Times New Roman" w:eastAsia="Times New Roman" w:hAnsi="Times New Roman"/>
          <w:sz w:val="22"/>
          <w:szCs w:val="22"/>
          <w:u w:val="single" w:color="auto"/>
          <w:color w:val="auto"/>
        </w:rPr>
        <w:t>Subject Documents</w:t>
      </w:r>
      <w:r>
        <w:rPr>
          <w:rFonts w:ascii="Times New Roman" w:cs="Times New Roman" w:eastAsia="Times New Roman" w:hAnsi="Times New Roman"/>
          <w:sz w:val="22"/>
          <w:szCs w:val="22"/>
          <w:color w:val="auto"/>
        </w:rPr>
        <w:t>”): (a) Executive will not be in breach of the Subject Document, and shall not be held criminally or civilly liable under any federal or state trade secret law (i) for the disclosure of a trade secret that is made in confidence to a federal, state, or local government official or to an attorney solely for the purpose of reporting or investigating a suspected violation of law, or (ii) for the disclosure of a trade secret that is made in a complaint or other document filed in a lawsuit or other proceeding, if such filing is made under seal; and (b) if Executive files a lawsuit for retaliation by the Company for reporting a suspected violation of law, Executive may disclose the trade secret to Executive’s attorney, and may use the trade secret information in the court proceeding, if Executive files any document containing the trade secret under seal, and does not disclose the trade secret, except pursuant to court order. Furthermore, the Parties agree that nothing in the Subject Documents prohibits Executive from reporting possible violations of federal law or regulation to any governmental agency or entity in accordance with the provisions of and rules promulgated under Section 21F of the Securities Exchange Act of 1934 or Section 806 of the Sarbanes-Oxley Act of 2002, or any other whistleblower protection provisions of state or federal law or regulation or releases or restrains Executive’s right to receive an award for information provided to any such government agencies. Furthermore, nothing in this Agreement prevents Executive from discussing or disclosing information about unlawful acts in the workplace, such as harassment or discrimination or any other conduct that Executive has reason to believe is unlawful.</w:t>
      </w:r>
    </w:p>
    <w:p>
      <w:pPr>
        <w:spacing w:after="0" w:line="209" w:lineRule="exact"/>
        <w:rPr>
          <w:rFonts w:ascii="Times New Roman" w:cs="Times New Roman" w:eastAsia="Times New Roman" w:hAnsi="Times New Roman"/>
          <w:sz w:val="22"/>
          <w:szCs w:val="22"/>
          <w:color w:val="auto"/>
        </w:rPr>
      </w:pPr>
    </w:p>
    <w:p>
      <w:pPr>
        <w:jc w:val="both"/>
        <w:ind w:left="200" w:right="219" w:firstLine="657"/>
        <w:spacing w:after="0" w:line="233" w:lineRule="auto"/>
        <w:tabs>
          <w:tab w:leader="none" w:pos="1496"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Voluntary Execution of Agreement</w:t>
      </w:r>
      <w:r>
        <w:rPr>
          <w:rFonts w:ascii="Times New Roman" w:cs="Times New Roman" w:eastAsia="Times New Roman" w:hAnsi="Times New Roman"/>
          <w:sz w:val="22"/>
          <w:szCs w:val="22"/>
          <w:color w:val="auto"/>
        </w:rPr>
        <w:t>. Executive understands and agrees that Executive executed this Agreement voluntarily, without any duress or undue influence on the part or behalf of the Company or any third party, with the full intent of releasing all of Executive’s claims against the Company and any of the other Releasees, except as otherwise provided in this Agreement. Executive acknowledges that: (a) Executive has read this Agreement and has been provided a reasonable time period of not less than five business days to review the document; (b) Executive has not relied upon any representations or statements made by the Company that are not specifically set forth in this Agreement; (c) Executive has been represented in the preparation, negotiation, and execution of this Agreement by legal counsel of Executive’s own choice or has elected not to retain legal counsel; (d) Executive understands the terms and consequences of this Agreement and of the releases it contains; and (e) Executive is fully aware of the legal and binding effect of this Agreement.</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Follows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542290</wp:posOffset>
            </wp:positionV>
            <wp:extent cx="5452110" cy="260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9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129" w:name="page130"/>
    <w:bookmarkEnd w:id="129"/>
    <w:p>
      <w:pPr>
        <w:ind w:left="200" w:right="219" w:firstLine="648"/>
        <w:spacing w:after="0" w:line="262" w:lineRule="auto"/>
        <w:rPr>
          <w:sz w:val="20"/>
          <w:szCs w:val="20"/>
          <w:color w:val="auto"/>
        </w:rPr>
      </w:pPr>
      <w:r>
        <w:rPr>
          <w:rFonts w:ascii="Times New Roman" w:cs="Times New Roman" w:eastAsia="Times New Roman" w:hAnsi="Times New Roman"/>
          <w:sz w:val="22"/>
          <w:szCs w:val="22"/>
          <w:b w:val="1"/>
          <w:bCs w:val="1"/>
          <w:color w:val="auto"/>
        </w:rPr>
        <w:t>IN WITNESS WHEREOF</w:t>
      </w:r>
      <w:r>
        <w:rPr>
          <w:rFonts w:ascii="Times New Roman" w:cs="Times New Roman" w:eastAsia="Times New Roman" w:hAnsi="Times New Roman"/>
          <w:sz w:val="22"/>
          <w:szCs w:val="22"/>
          <w:color w:val="auto"/>
        </w:rPr>
        <w:t>, the Parties have executed this Agreement on the respective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dates set forth below.</w:t>
      </w:r>
    </w:p>
    <w:p>
      <w:pPr>
        <w:spacing w:after="0" w:line="393" w:lineRule="exact"/>
        <w:rPr>
          <w:sz w:val="20"/>
          <w:szCs w:val="20"/>
          <w:color w:val="auto"/>
        </w:rPr>
      </w:pPr>
    </w:p>
    <w:tbl>
      <w:tblPr>
        <w:tblLayout w:type="fixed"/>
        <w:tblInd w:w="960" w:type="dxa"/>
        <w:tblCellMar>
          <w:top w:w="0" w:type="dxa"/>
          <w:left w:w="0" w:type="dxa"/>
          <w:bottom w:w="0" w:type="dxa"/>
          <w:right w:w="0" w:type="dxa"/>
        </w:tblCellMar>
      </w:tblPr>
      <w:tr>
        <w:trPr>
          <w:trHeight w:val="286"/>
        </w:trPr>
        <w:tc>
          <w:tcPr>
            <w:tcW w:w="4280" w:type="dxa"/>
            <w:vAlign w:val="bottom"/>
          </w:tcPr>
          <w:p>
            <w:pPr>
              <w:spacing w:after="0"/>
              <w:rPr>
                <w:sz w:val="24"/>
                <w:szCs w:val="24"/>
                <w:color w:val="auto"/>
              </w:rPr>
            </w:pPr>
          </w:p>
        </w:tc>
        <w:tc>
          <w:tcPr>
            <w:tcW w:w="12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w w:val="96"/>
              </w:rPr>
              <w:t>EXECUTIVE</w:t>
            </w:r>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419"/>
        </w:trPr>
        <w:tc>
          <w:tcPr>
            <w:tcW w:w="49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Dated: _____________</w:t>
            </w: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31"/>
        </w:trPr>
        <w:tc>
          <w:tcPr>
            <w:tcW w:w="4280" w:type="dxa"/>
            <w:vAlign w:val="bottom"/>
          </w:tcPr>
          <w:p>
            <w:pPr>
              <w:spacing w:after="0"/>
              <w:rPr>
                <w:sz w:val="20"/>
                <w:szCs w:val="20"/>
                <w:color w:val="auto"/>
              </w:rPr>
            </w:pPr>
          </w:p>
        </w:tc>
        <w:tc>
          <w:tcPr>
            <w:tcW w:w="640" w:type="dxa"/>
            <w:vAlign w:val="bottom"/>
            <w:tcBorders>
              <w:bottom w:val="single" w:sz="8" w:color="auto"/>
            </w:tcBorders>
          </w:tcPr>
          <w:p>
            <w:pPr>
              <w:spacing w:after="0" w:line="230" w:lineRule="exact"/>
              <w:rPr>
                <w:sz w:val="20"/>
                <w:szCs w:val="20"/>
                <w:color w:val="auto"/>
              </w:rPr>
            </w:pPr>
            <w:r>
              <w:rPr>
                <w:rFonts w:ascii="Times New Roman" w:cs="Times New Roman" w:eastAsia="Times New Roman" w:hAnsi="Times New Roman"/>
                <w:sz w:val="22"/>
                <w:szCs w:val="22"/>
                <w:color w:val="auto"/>
              </w:rPr>
              <w:t>​</w:t>
            </w:r>
          </w:p>
        </w:tc>
        <w:tc>
          <w:tcPr>
            <w:tcW w:w="640" w:type="dxa"/>
            <w:vAlign w:val="bottom"/>
            <w:tcBorders>
              <w:bottom w:val="single" w:sz="8" w:color="auto"/>
            </w:tcBorders>
          </w:tcPr>
          <w:p>
            <w:pPr>
              <w:spacing w:after="0" w:line="230" w:lineRule="exact"/>
              <w:rPr>
                <w:sz w:val="20"/>
                <w:szCs w:val="20"/>
                <w:color w:val="auto"/>
              </w:rPr>
            </w:pPr>
            <w:r>
              <w:rPr>
                <w:rFonts w:ascii="Times New Roman" w:cs="Times New Roman" w:eastAsia="Times New Roman" w:hAnsi="Times New Roman"/>
                <w:sz w:val="22"/>
                <w:szCs w:val="22"/>
                <w:color w:val="auto"/>
              </w:rPr>
              <w:t>​</w:t>
            </w:r>
          </w:p>
        </w:tc>
        <w:tc>
          <w:tcPr>
            <w:tcW w:w="660" w:type="dxa"/>
            <w:vAlign w:val="bottom"/>
            <w:tcBorders>
              <w:bottom w:val="single" w:sz="8" w:color="auto"/>
            </w:tcBorders>
          </w:tcPr>
          <w:p>
            <w:pPr>
              <w:spacing w:after="0" w:line="230" w:lineRule="exact"/>
              <w:rPr>
                <w:sz w:val="20"/>
                <w:szCs w:val="20"/>
                <w:color w:val="auto"/>
              </w:rPr>
            </w:pPr>
            <w:r>
              <w:rPr>
                <w:rFonts w:ascii="Times New Roman" w:cs="Times New Roman" w:eastAsia="Times New Roman" w:hAnsi="Times New Roman"/>
                <w:sz w:val="22"/>
                <w:szCs w:val="22"/>
                <w:color w:val="auto"/>
              </w:rPr>
              <w:t>​</w:t>
            </w:r>
          </w:p>
        </w:tc>
        <w:tc>
          <w:tcPr>
            <w:tcW w:w="640" w:type="dxa"/>
            <w:vAlign w:val="bottom"/>
            <w:tcBorders>
              <w:bottom w:val="single" w:sz="8" w:color="auto"/>
            </w:tcBorders>
          </w:tcPr>
          <w:p>
            <w:pPr>
              <w:spacing w:after="0" w:line="230" w:lineRule="exact"/>
              <w:rPr>
                <w:sz w:val="20"/>
                <w:szCs w:val="20"/>
                <w:color w:val="auto"/>
              </w:rPr>
            </w:pPr>
            <w:r>
              <w:rPr>
                <w:rFonts w:ascii="Times New Roman" w:cs="Times New Roman" w:eastAsia="Times New Roman" w:hAnsi="Times New Roman"/>
                <w:sz w:val="22"/>
                <w:szCs w:val="22"/>
                <w:color w:val="auto"/>
              </w:rPr>
              <w:t>​</w:t>
            </w:r>
          </w:p>
        </w:tc>
      </w:tr>
      <w:tr>
        <w:trPr>
          <w:trHeight w:val="276"/>
        </w:trPr>
        <w:tc>
          <w:tcPr>
            <w:tcW w:w="4280" w:type="dxa"/>
            <w:vAlign w:val="bottom"/>
          </w:tcPr>
          <w:p>
            <w:pPr>
              <w:spacing w:after="0"/>
              <w:rPr>
                <w:sz w:val="23"/>
                <w:szCs w:val="23"/>
                <w:color w:val="auto"/>
              </w:rPr>
            </w:pPr>
          </w:p>
        </w:tc>
        <w:tc>
          <w:tcPr>
            <w:tcW w:w="12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Laura Deady</w:t>
            </w:r>
          </w:p>
        </w:tc>
        <w:tc>
          <w:tcPr>
            <w:tcW w:w="660" w:type="dxa"/>
            <w:vAlign w:val="bottom"/>
          </w:tcPr>
          <w:p>
            <w:pPr>
              <w:spacing w:after="0"/>
              <w:rPr>
                <w:sz w:val="23"/>
                <w:szCs w:val="23"/>
                <w:color w:val="auto"/>
              </w:rPr>
            </w:pPr>
          </w:p>
        </w:tc>
        <w:tc>
          <w:tcPr>
            <w:tcW w:w="640" w:type="dxa"/>
            <w:vAlign w:val="bottom"/>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960" w:type="dxa"/>
        <w:tblCellMar>
          <w:top w:w="0" w:type="dxa"/>
          <w:left w:w="0" w:type="dxa"/>
          <w:bottom w:w="0" w:type="dxa"/>
          <w:right w:w="0" w:type="dxa"/>
        </w:tblCellMar>
      </w:tblPr>
      <w:tr>
        <w:trPr>
          <w:trHeight w:val="286"/>
        </w:trPr>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COMPANY</w:t>
            </w:r>
          </w:p>
        </w:tc>
      </w:tr>
      <w:tr>
        <w:trPr>
          <w:trHeight w:val="407"/>
        </w:trPr>
        <w:tc>
          <w:tcPr>
            <w:tcW w:w="10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Dated: ​</w:t>
            </w:r>
          </w:p>
        </w:tc>
        <w:tc>
          <w:tcPr>
            <w:tcW w:w="4560" w:type="dxa"/>
            <w:vAlign w:val="bottom"/>
            <w:gridSpan w:val="3"/>
          </w:tcPr>
          <w:p>
            <w:pPr>
              <w:ind w:left="280"/>
              <w:spacing w:after="0"/>
              <w:rPr>
                <w:sz w:val="20"/>
                <w:szCs w:val="20"/>
                <w:color w:val="auto"/>
              </w:rPr>
            </w:pPr>
            <w:r>
              <w:rPr>
                <w:rFonts w:ascii="Times New Roman" w:cs="Times New Roman" w:eastAsia="Times New Roman" w:hAnsi="Times New Roman"/>
                <w:sz w:val="22"/>
                <w:szCs w:val="22"/>
                <w:color w:val="auto"/>
              </w:rPr>
              <w:t>​</w:t>
            </w:r>
          </w:p>
        </w:tc>
      </w:tr>
      <w:tr>
        <w:trPr>
          <w:trHeight w:val="223"/>
        </w:trPr>
        <w:tc>
          <w:tcPr>
            <w:tcW w:w="58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2340" w:type="dxa"/>
            <w:vAlign w:val="bottom"/>
          </w:tcPr>
          <w:p>
            <w:pPr>
              <w:ind w:left="2000"/>
              <w:spacing w:after="0" w:line="223" w:lineRule="exact"/>
              <w:rPr>
                <w:sz w:val="20"/>
                <w:szCs w:val="20"/>
                <w:color w:val="auto"/>
              </w:rPr>
            </w:pPr>
            <w:r>
              <w:rPr>
                <w:rFonts w:ascii="Times New Roman" w:cs="Times New Roman" w:eastAsia="Times New Roman" w:hAnsi="Times New Roman"/>
                <w:sz w:val="22"/>
                <w:szCs w:val="22"/>
                <w:color w:val="auto"/>
              </w:rPr>
              <w:t>By:</w:t>
            </w:r>
          </w:p>
        </w:tc>
        <w:tc>
          <w:tcPr>
            <w:tcW w:w="1280" w:type="dxa"/>
            <w:vAlign w:val="bottom"/>
            <w:tcBorders>
              <w:bottom w:val="single" w:sz="8" w:color="auto"/>
            </w:tcBorders>
          </w:tcPr>
          <w:p>
            <w:pPr>
              <w:spacing w:after="0"/>
              <w:rPr>
                <w:sz w:val="19"/>
                <w:szCs w:val="19"/>
                <w:color w:val="auto"/>
              </w:rPr>
            </w:pPr>
          </w:p>
        </w:tc>
      </w:tr>
      <w:tr>
        <w:trPr>
          <w:trHeight w:val="236"/>
        </w:trPr>
        <w:tc>
          <w:tcPr>
            <w:tcW w:w="5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620" w:type="dxa"/>
            <w:vAlign w:val="bottom"/>
            <w:gridSpan w:val="2"/>
          </w:tcPr>
          <w:p>
            <w:pPr>
              <w:ind w:left="2000"/>
              <w:spacing w:after="0" w:line="236" w:lineRule="exact"/>
              <w:rPr>
                <w:sz w:val="20"/>
                <w:szCs w:val="20"/>
                <w:color w:val="auto"/>
              </w:rPr>
            </w:pPr>
            <w:r>
              <w:rPr>
                <w:rFonts w:ascii="Times New Roman" w:cs="Times New Roman" w:eastAsia="Times New Roman" w:hAnsi="Times New Roman"/>
                <w:sz w:val="22"/>
                <w:szCs w:val="22"/>
                <w:color w:val="auto"/>
              </w:rPr>
              <w:t>Name:</w:t>
            </w:r>
          </w:p>
        </w:tc>
      </w:tr>
      <w:tr>
        <w:trPr>
          <w:trHeight w:val="282"/>
        </w:trPr>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20" w:type="dxa"/>
            <w:vAlign w:val="bottom"/>
            <w:gridSpan w:val="2"/>
          </w:tcPr>
          <w:p>
            <w:pPr>
              <w:ind w:left="2000"/>
              <w:spacing w:after="0"/>
              <w:rPr>
                <w:sz w:val="20"/>
                <w:szCs w:val="20"/>
                <w:color w:val="auto"/>
              </w:rPr>
            </w:pPr>
            <w:r>
              <w:rPr>
                <w:rFonts w:ascii="Times New Roman" w:cs="Times New Roman" w:eastAsia="Times New Roman" w:hAnsi="Times New Roman"/>
                <w:sz w:val="22"/>
                <w:szCs w:val="22"/>
                <w:color w:val="auto"/>
              </w:rPr>
              <w:t>Title: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4145915</wp:posOffset>
            </wp:positionH>
            <wp:positionV relativeFrom="paragraph">
              <wp:posOffset>-340995</wp:posOffset>
            </wp:positionV>
            <wp:extent cx="82296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97">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 xml:space="preserve">Page </w:t>
      </w:r>
      <w:r>
        <w:rPr>
          <w:rFonts w:ascii="Times New Roman" w:cs="Times New Roman" w:eastAsia="Times New Roman" w:hAnsi="Times New Roman"/>
          <w:sz w:val="22"/>
          <w:szCs w:val="22"/>
          <w:b w:val="1"/>
          <w:bCs w:val="1"/>
          <w:color w:val="auto"/>
        </w:rPr>
        <w:t>22</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b w:val="1"/>
          <w:bCs w:val="1"/>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450850</wp:posOffset>
            </wp:positionV>
            <wp:extent cx="5452110" cy="254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9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1" w:right="1440" w:bottom="1440" w:gutter="0" w:footer="0" w:header="0"/>
        </w:sectPr>
      </w:pPr>
    </w:p>
    <w:bookmarkStart w:id="130" w:name="page131"/>
    <w:bookmarkEnd w:id="130"/>
    <w:p>
      <w:pPr>
        <w:ind w:left="7340"/>
        <w:spacing w:after="0"/>
        <w:rPr>
          <w:sz w:val="20"/>
          <w:szCs w:val="20"/>
          <w:color w:val="auto"/>
        </w:rPr>
      </w:pPr>
      <w:r>
        <w:rPr>
          <w:rFonts w:ascii="Times New Roman" w:cs="Times New Roman" w:eastAsia="Times New Roman" w:hAnsi="Times New Roman"/>
          <w:sz w:val="18"/>
          <w:szCs w:val="18"/>
          <w:b w:val="1"/>
          <w:bCs w:val="1"/>
          <w:color w:val="auto"/>
        </w:rPr>
        <w:t>EXHIBIT 10.38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311150</wp:posOffset>
            </wp:positionV>
            <wp:extent cx="1491615" cy="56578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99">
                      <a:extLst>
                        <a:ext uri="{28A0092B-C50C-407E-A947-70E740481C1C}"/>
                      </a:extLst>
                    </a:blip>
                    <a:srcRect/>
                    <a:stretch>
                      <a:fillRect/>
                    </a:stretch>
                  </pic:blipFill>
                  <pic:spPr bwMode="auto">
                    <a:xfrm>
                      <a:off x="0" y="0"/>
                      <a:ext cx="149161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5"/>
          <w:szCs w:val="25"/>
          <w:b w:val="1"/>
          <w:bCs w:val="1"/>
          <w:color w:val="auto"/>
        </w:rPr>
        <w:t>Non-Employee Director Compensation Program</w:t>
      </w:r>
    </w:p>
    <w:p>
      <w:pPr>
        <w:spacing w:after="0" w:line="3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___________________________________________________________</w:t>
      </w:r>
    </w:p>
    <w:p>
      <w:pPr>
        <w:spacing w:after="0" w:line="187" w:lineRule="exact"/>
        <w:rPr>
          <w:sz w:val="20"/>
          <w:szCs w:val="20"/>
          <w:color w:val="auto"/>
        </w:rPr>
      </w:pPr>
    </w:p>
    <w:p>
      <w:pPr>
        <w:jc w:val="both"/>
        <w:ind w:left="200" w:right="219"/>
        <w:spacing w:after="0" w:line="262" w:lineRule="auto"/>
        <w:rPr>
          <w:sz w:val="20"/>
          <w:szCs w:val="20"/>
          <w:color w:val="auto"/>
        </w:rPr>
      </w:pPr>
      <w:r>
        <w:rPr>
          <w:rFonts w:ascii="Times New Roman" w:cs="Times New Roman" w:eastAsia="Times New Roman" w:hAnsi="Times New Roman"/>
          <w:sz w:val="18"/>
          <w:szCs w:val="18"/>
          <w:color w:val="auto"/>
        </w:rPr>
        <w:t>This Lulu’s Fashion Lounge Holdings,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Non-Employee Director Compensation Program (this “</w:t>
      </w:r>
      <w:r>
        <w:rPr>
          <w:rFonts w:ascii="Times New Roman" w:cs="Times New Roman" w:eastAsia="Times New Roman" w:hAnsi="Times New Roman"/>
          <w:sz w:val="18"/>
          <w:szCs w:val="18"/>
          <w:b w:val="1"/>
          <w:bCs w:val="1"/>
          <w:i w:val="1"/>
          <w:iCs w:val="1"/>
          <w:color w:val="auto"/>
        </w:rPr>
        <w:t>Program</w:t>
      </w:r>
      <w:r>
        <w:rPr>
          <w:rFonts w:ascii="Times New Roman" w:cs="Times New Roman" w:eastAsia="Times New Roman" w:hAnsi="Times New Roman"/>
          <w:sz w:val="18"/>
          <w:szCs w:val="18"/>
          <w:color w:val="auto"/>
        </w:rPr>
        <w:t>”) has been adopted by the Company’s Board of Directors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under the Company’s Omnibus Equity Plan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effective as of January 30, 2022 and amended as of November 3, 2023 and March 1, 2024 (the “</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 Capitalized terms not otherwise defined herein shall have the meaning ascribed in the Plan.</w:t>
      </w:r>
    </w:p>
    <w:p>
      <w:pPr>
        <w:spacing w:after="0" w:line="20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Cash Compensation</w:t>
      </w:r>
    </w:p>
    <w:p>
      <w:pPr>
        <w:spacing w:after="0" w:line="2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Effective upon the Effective Date, annual retainers will be paid in the following amounts to Non-Employee Directors:</w:t>
      </w:r>
    </w:p>
    <w:p>
      <w:pPr>
        <w:spacing w:after="0" w:line="25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Board Service</w:t>
      </w:r>
    </w:p>
    <w:p>
      <w:pPr>
        <w:spacing w:after="0" w:line="29" w:lineRule="exact"/>
        <w:rPr>
          <w:sz w:val="20"/>
          <w:szCs w:val="20"/>
          <w:color w:val="auto"/>
        </w:rPr>
      </w:pPr>
    </w:p>
    <w:tbl>
      <w:tblPr>
        <w:tblLayout w:type="fixed"/>
        <w:tblInd w:w="210" w:type="dxa"/>
        <w:tblCellMar>
          <w:top w:w="0" w:type="dxa"/>
          <w:left w:w="0" w:type="dxa"/>
          <w:bottom w:w="0" w:type="dxa"/>
          <w:right w:w="0" w:type="dxa"/>
        </w:tblCellMar>
      </w:tblPr>
      <w:tr>
        <w:trPr>
          <w:trHeight w:val="237"/>
        </w:trPr>
        <w:tc>
          <w:tcPr>
            <w:tcW w:w="5540" w:type="dxa"/>
            <w:vAlign w:val="bottom"/>
            <w:tcBorders>
              <w:top w:val="single" w:sz="8" w:color="auto"/>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Non-Employee Director</w:t>
            </w:r>
          </w:p>
        </w:tc>
        <w:tc>
          <w:tcPr>
            <w:tcW w:w="58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620" w:type="dxa"/>
            <w:vAlign w:val="bottom"/>
            <w:tcBorders>
              <w:top w:val="single" w:sz="8" w:color="auto"/>
              <w:right w:val="single" w:sz="8" w:color="auto"/>
            </w:tcBorders>
          </w:tcPr>
          <w:p>
            <w:pPr>
              <w:spacing w:after="0"/>
              <w:rPr>
                <w:sz w:val="20"/>
                <w:szCs w:val="20"/>
                <w:color w:val="auto"/>
              </w:rPr>
            </w:pPr>
          </w:p>
        </w:tc>
        <w:tc>
          <w:tcPr>
            <w:tcW w:w="1100" w:type="dxa"/>
            <w:vAlign w:val="bottom"/>
            <w:tcBorders>
              <w:top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$50,000</w:t>
            </w:r>
          </w:p>
        </w:tc>
        <w:tc>
          <w:tcPr>
            <w:tcW w:w="360" w:type="dxa"/>
            <w:vAlign w:val="bottom"/>
            <w:tcBorders>
              <w:top w:val="single" w:sz="8" w:color="auto"/>
              <w:right w:val="single" w:sz="8" w:color="auto"/>
            </w:tcBorders>
          </w:tcPr>
          <w:p>
            <w:pPr>
              <w:spacing w:after="0"/>
              <w:rPr>
                <w:sz w:val="20"/>
                <w:szCs w:val="20"/>
                <w:color w:val="auto"/>
              </w:rPr>
            </w:pPr>
          </w:p>
        </w:tc>
      </w:tr>
      <w:tr>
        <w:trPr>
          <w:trHeight w:val="27"/>
        </w:trPr>
        <w:tc>
          <w:tcPr>
            <w:tcW w:w="5540" w:type="dxa"/>
            <w:vAlign w:val="bottom"/>
            <w:tcBorders>
              <w:left w:val="single" w:sz="8" w:color="auto"/>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2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r>
      <w:tr>
        <w:trPr>
          <w:trHeight w:val="426"/>
        </w:trPr>
        <w:tc>
          <w:tcPr>
            <w:tcW w:w="5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Committee Service</w:t>
            </w:r>
          </w:p>
        </w:tc>
        <w:tc>
          <w:tcPr>
            <w:tcW w:w="5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r>
      <w:tr>
        <w:trPr>
          <w:trHeight w:val="196"/>
        </w:trPr>
        <w:tc>
          <w:tcPr>
            <w:tcW w:w="5540" w:type="dxa"/>
            <w:vAlign w:val="bottom"/>
            <w:tcBorders>
              <w:left w:val="single" w:sz="8" w:color="auto"/>
              <w:right w:val="single" w:sz="8" w:color="auto"/>
            </w:tcBorders>
          </w:tcPr>
          <w:p>
            <w:pPr>
              <w:spacing w:after="0"/>
              <w:rPr>
                <w:sz w:val="17"/>
                <w:szCs w:val="17"/>
                <w:color w:val="auto"/>
              </w:rPr>
            </w:pPr>
          </w:p>
        </w:tc>
        <w:tc>
          <w:tcPr>
            <w:tcW w:w="580" w:type="dxa"/>
            <w:vAlign w:val="bottom"/>
          </w:tcPr>
          <w:p>
            <w:pPr>
              <w:spacing w:after="0"/>
              <w:rPr>
                <w:sz w:val="17"/>
                <w:szCs w:val="17"/>
                <w:color w:val="auto"/>
              </w:rPr>
            </w:pPr>
          </w:p>
        </w:tc>
        <w:tc>
          <w:tcPr>
            <w:tcW w:w="1020" w:type="dxa"/>
            <w:vAlign w:val="bottom"/>
            <w:tcBorders>
              <w:right w:val="single" w:sz="8" w:color="auto"/>
            </w:tcBorders>
            <w:gridSpan w:val="2"/>
          </w:tcPr>
          <w:p>
            <w:pPr>
              <w:jc w:val="center"/>
              <w:ind w:right="620"/>
              <w:spacing w:after="0" w:line="196" w:lineRule="exact"/>
              <w:rPr>
                <w:sz w:val="20"/>
                <w:szCs w:val="20"/>
                <w:color w:val="auto"/>
              </w:rPr>
            </w:pPr>
            <w:r>
              <w:rPr>
                <w:rFonts w:ascii="Times New Roman" w:cs="Times New Roman" w:eastAsia="Times New Roman" w:hAnsi="Times New Roman"/>
                <w:sz w:val="18"/>
                <w:szCs w:val="18"/>
                <w:color w:val="auto"/>
                <w:w w:val="99"/>
              </w:rPr>
              <w:t>Chair</w:t>
            </w:r>
          </w:p>
        </w:tc>
        <w:tc>
          <w:tcPr>
            <w:tcW w:w="340" w:type="dxa"/>
            <w:vAlign w:val="bottom"/>
          </w:tcPr>
          <w:p>
            <w:pPr>
              <w:spacing w:after="0"/>
              <w:rPr>
                <w:sz w:val="17"/>
                <w:szCs w:val="17"/>
                <w:color w:val="auto"/>
              </w:rPr>
            </w:pPr>
          </w:p>
        </w:tc>
        <w:tc>
          <w:tcPr>
            <w:tcW w:w="1120" w:type="dxa"/>
            <w:vAlign w:val="bottom"/>
            <w:tcBorders>
              <w:right w:val="single" w:sz="8" w:color="auto"/>
            </w:tcBorders>
            <w:gridSpan w:val="2"/>
          </w:tcPr>
          <w:p>
            <w:pPr>
              <w:jc w:val="center"/>
              <w:ind w:right="360"/>
              <w:spacing w:after="0" w:line="196" w:lineRule="exact"/>
              <w:rPr>
                <w:sz w:val="20"/>
                <w:szCs w:val="20"/>
                <w:color w:val="auto"/>
              </w:rPr>
            </w:pPr>
            <w:r>
              <w:rPr>
                <w:rFonts w:ascii="Times New Roman" w:cs="Times New Roman" w:eastAsia="Times New Roman" w:hAnsi="Times New Roman"/>
                <w:sz w:val="18"/>
                <w:szCs w:val="18"/>
                <w:color w:val="auto"/>
                <w:w w:val="98"/>
              </w:rPr>
              <w:t>Non-Chair</w:t>
            </w:r>
          </w:p>
        </w:tc>
      </w:tr>
      <w:tr>
        <w:trPr>
          <w:trHeight w:val="48"/>
        </w:trPr>
        <w:tc>
          <w:tcPr>
            <w:tcW w:w="5540" w:type="dxa"/>
            <w:vAlign w:val="bottom"/>
            <w:tcBorders>
              <w:left w:val="single" w:sz="8" w:color="auto"/>
              <w:bottom w:val="single" w:sz="8" w:color="auto"/>
              <w:right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400" w:type="dxa"/>
            <w:vAlign w:val="bottom"/>
            <w:tcBorders>
              <w:top w:val="single" w:sz="8" w:color="auto"/>
              <w:bottom w:val="single" w:sz="8" w:color="auto"/>
            </w:tcBorders>
          </w:tcPr>
          <w:p>
            <w:pPr>
              <w:spacing w:after="0"/>
              <w:rPr>
                <w:sz w:val="4"/>
                <w:szCs w:val="4"/>
                <w:color w:val="auto"/>
              </w:rPr>
            </w:pPr>
          </w:p>
        </w:tc>
        <w:tc>
          <w:tcPr>
            <w:tcW w:w="620" w:type="dxa"/>
            <w:vAlign w:val="bottom"/>
            <w:tcBorders>
              <w:bottom w:val="single" w:sz="8" w:color="auto"/>
              <w:right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760" w:type="dxa"/>
            <w:vAlign w:val="bottom"/>
            <w:tcBorders>
              <w:top w:val="single" w:sz="8" w:color="auto"/>
              <w:bottom w:val="single" w:sz="8" w:color="auto"/>
            </w:tcBorders>
          </w:tcPr>
          <w:p>
            <w:pPr>
              <w:spacing w:after="0"/>
              <w:rPr>
                <w:sz w:val="4"/>
                <w:szCs w:val="4"/>
                <w:color w:val="auto"/>
              </w:rPr>
            </w:pPr>
          </w:p>
        </w:tc>
        <w:tc>
          <w:tcPr>
            <w:tcW w:w="360" w:type="dxa"/>
            <w:vAlign w:val="bottom"/>
            <w:tcBorders>
              <w:bottom w:val="single" w:sz="8" w:color="auto"/>
              <w:right w:val="single" w:sz="8" w:color="auto"/>
            </w:tcBorders>
          </w:tcPr>
          <w:p>
            <w:pPr>
              <w:spacing w:after="0"/>
              <w:rPr>
                <w:sz w:val="4"/>
                <w:szCs w:val="4"/>
                <w:color w:val="auto"/>
              </w:rPr>
            </w:pPr>
          </w:p>
        </w:tc>
      </w:tr>
      <w:tr>
        <w:trPr>
          <w:trHeight w:val="237"/>
        </w:trPr>
        <w:tc>
          <w:tcPr>
            <w:tcW w:w="55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Audit Committee Member</w:t>
            </w:r>
          </w:p>
        </w:tc>
        <w:tc>
          <w:tcPr>
            <w:tcW w:w="1600" w:type="dxa"/>
            <w:vAlign w:val="bottom"/>
            <w:tcBorders>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9"/>
              </w:rPr>
              <w:t>$20,000</w:t>
            </w:r>
          </w:p>
        </w:tc>
        <w:tc>
          <w:tcPr>
            <w:tcW w:w="110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color w:val="auto"/>
              </w:rPr>
              <w:t>$10,000</w:t>
            </w:r>
          </w:p>
        </w:tc>
        <w:tc>
          <w:tcPr>
            <w:tcW w:w="360" w:type="dxa"/>
            <w:vAlign w:val="bottom"/>
            <w:tcBorders>
              <w:right w:val="single" w:sz="8" w:color="auto"/>
            </w:tcBorders>
          </w:tcPr>
          <w:p>
            <w:pPr>
              <w:spacing w:after="0"/>
              <w:rPr>
                <w:sz w:val="20"/>
                <w:szCs w:val="20"/>
                <w:color w:val="auto"/>
              </w:rPr>
            </w:pPr>
          </w:p>
        </w:tc>
      </w:tr>
      <w:tr>
        <w:trPr>
          <w:trHeight w:val="27"/>
        </w:trPr>
        <w:tc>
          <w:tcPr>
            <w:tcW w:w="5540" w:type="dxa"/>
            <w:vAlign w:val="bottom"/>
            <w:tcBorders>
              <w:left w:val="single" w:sz="8" w:color="auto"/>
              <w:bottom w:val="single" w:sz="8" w:color="auto"/>
              <w:right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2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r>
      <w:tr>
        <w:trPr>
          <w:trHeight w:val="237"/>
        </w:trPr>
        <w:tc>
          <w:tcPr>
            <w:tcW w:w="55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Compensation Committee Member</w:t>
            </w:r>
          </w:p>
        </w:tc>
        <w:tc>
          <w:tcPr>
            <w:tcW w:w="1600" w:type="dxa"/>
            <w:vAlign w:val="bottom"/>
            <w:tcBorders>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9"/>
              </w:rPr>
              <w:t>$15,000</w:t>
            </w:r>
          </w:p>
        </w:tc>
        <w:tc>
          <w:tcPr>
            <w:tcW w:w="110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color w:val="auto"/>
                <w:w w:val="96"/>
              </w:rPr>
              <w:t>$7,500</w:t>
            </w:r>
          </w:p>
        </w:tc>
        <w:tc>
          <w:tcPr>
            <w:tcW w:w="360" w:type="dxa"/>
            <w:vAlign w:val="bottom"/>
            <w:tcBorders>
              <w:right w:val="single" w:sz="8" w:color="auto"/>
            </w:tcBorders>
          </w:tcPr>
          <w:p>
            <w:pPr>
              <w:spacing w:after="0"/>
              <w:rPr>
                <w:sz w:val="20"/>
                <w:szCs w:val="20"/>
                <w:color w:val="auto"/>
              </w:rPr>
            </w:pPr>
          </w:p>
        </w:tc>
      </w:tr>
      <w:tr>
        <w:trPr>
          <w:trHeight w:val="27"/>
        </w:trPr>
        <w:tc>
          <w:tcPr>
            <w:tcW w:w="5540" w:type="dxa"/>
            <w:vAlign w:val="bottom"/>
            <w:tcBorders>
              <w:left w:val="single" w:sz="8" w:color="auto"/>
              <w:bottom w:val="single" w:sz="8" w:color="auto"/>
              <w:right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2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r>
      <w:tr>
        <w:trPr>
          <w:trHeight w:val="237"/>
        </w:trPr>
        <w:tc>
          <w:tcPr>
            <w:tcW w:w="55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Nominating and Corporate Governance Committee Member</w:t>
            </w:r>
          </w:p>
        </w:tc>
        <w:tc>
          <w:tcPr>
            <w:tcW w:w="1600" w:type="dxa"/>
            <w:vAlign w:val="bottom"/>
            <w:tcBorders>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9"/>
              </w:rPr>
              <w:t>$15,000</w:t>
            </w:r>
          </w:p>
        </w:tc>
        <w:tc>
          <w:tcPr>
            <w:tcW w:w="110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color w:val="auto"/>
                <w:w w:val="96"/>
              </w:rPr>
              <w:t>$7,500</w:t>
            </w:r>
          </w:p>
        </w:tc>
        <w:tc>
          <w:tcPr>
            <w:tcW w:w="360" w:type="dxa"/>
            <w:vAlign w:val="bottom"/>
            <w:tcBorders>
              <w:right w:val="single" w:sz="8" w:color="auto"/>
            </w:tcBorders>
          </w:tcPr>
          <w:p>
            <w:pPr>
              <w:spacing w:after="0"/>
              <w:rPr>
                <w:sz w:val="20"/>
                <w:szCs w:val="20"/>
                <w:color w:val="auto"/>
              </w:rPr>
            </w:pPr>
          </w:p>
        </w:tc>
      </w:tr>
      <w:tr>
        <w:trPr>
          <w:trHeight w:val="27"/>
        </w:trPr>
        <w:tc>
          <w:tcPr>
            <w:tcW w:w="5540" w:type="dxa"/>
            <w:vAlign w:val="bottom"/>
            <w:tcBorders>
              <w:left w:val="single" w:sz="8" w:color="auto"/>
              <w:bottom w:val="single" w:sz="8" w:color="auto"/>
              <w:right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2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r>
      <w:tr>
        <w:trPr>
          <w:trHeight w:val="237"/>
        </w:trPr>
        <w:tc>
          <w:tcPr>
            <w:tcW w:w="55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Technology and Innovation Committee Member</w:t>
            </w:r>
          </w:p>
        </w:tc>
        <w:tc>
          <w:tcPr>
            <w:tcW w:w="1600" w:type="dxa"/>
            <w:vAlign w:val="bottom"/>
            <w:tcBorders>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9"/>
              </w:rPr>
              <w:t>$15,000</w:t>
            </w:r>
          </w:p>
        </w:tc>
        <w:tc>
          <w:tcPr>
            <w:tcW w:w="110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color w:val="auto"/>
                <w:w w:val="96"/>
              </w:rPr>
              <w:t>$7,500</w:t>
            </w:r>
          </w:p>
        </w:tc>
        <w:tc>
          <w:tcPr>
            <w:tcW w:w="360" w:type="dxa"/>
            <w:vAlign w:val="bottom"/>
            <w:tcBorders>
              <w:right w:val="single" w:sz="8" w:color="auto"/>
            </w:tcBorders>
          </w:tcPr>
          <w:p>
            <w:pPr>
              <w:spacing w:after="0"/>
              <w:rPr>
                <w:sz w:val="20"/>
                <w:szCs w:val="20"/>
                <w:color w:val="auto"/>
              </w:rPr>
            </w:pPr>
          </w:p>
        </w:tc>
      </w:tr>
      <w:tr>
        <w:trPr>
          <w:trHeight w:val="27"/>
        </w:trPr>
        <w:tc>
          <w:tcPr>
            <w:tcW w:w="5540" w:type="dxa"/>
            <w:vAlign w:val="bottom"/>
            <w:tcBorders>
              <w:left w:val="single" w:sz="8" w:color="auto"/>
              <w:bottom w:val="single" w:sz="8" w:color="auto"/>
              <w:right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2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left="200" w:right="219"/>
        <w:spacing w:after="0" w:line="258" w:lineRule="auto"/>
        <w:rPr>
          <w:sz w:val="20"/>
          <w:szCs w:val="20"/>
          <w:color w:val="auto"/>
        </w:rPr>
      </w:pPr>
      <w:r>
        <w:rPr>
          <w:rFonts w:ascii="Times New Roman" w:cs="Times New Roman" w:eastAsia="Times New Roman" w:hAnsi="Times New Roman"/>
          <w:sz w:val="18"/>
          <w:szCs w:val="18"/>
          <w:color w:val="auto"/>
        </w:rPr>
        <w:t>All annual retainers will be paid out in cash on a quarterly basis in arrears promptly following the end of the applicable fiscal quarter, but in no event more than 30 days after the end of such quarter. If a Non-Employee Director does not serve as a Non-Employee Director, or in the applicable positions described above, for an entire fiscal quarter, the retainer paid to such Non-Employee Director shall be prorated for the portion of such fiscal quarter actually served as a Non-Employee Director, or in such position, as applicable.</w:t>
      </w:r>
    </w:p>
    <w:p>
      <w:pPr>
        <w:spacing w:after="0" w:line="17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Election to Receive Restricted Stock Units (“RSUs”) In Lieu of Annual Retainers</w:t>
      </w:r>
    </w:p>
    <w:p>
      <w:pPr>
        <w:spacing w:after="0" w:line="227" w:lineRule="exact"/>
        <w:rPr>
          <w:sz w:val="20"/>
          <w:szCs w:val="20"/>
          <w:color w:val="auto"/>
        </w:rPr>
      </w:pPr>
    </w:p>
    <w:tbl>
      <w:tblPr>
        <w:tblLayout w:type="fixed"/>
        <w:tblInd w:w="230" w:type="dxa"/>
        <w:tblCellMar>
          <w:top w:w="0" w:type="dxa"/>
          <w:left w:w="0" w:type="dxa"/>
          <w:bottom w:w="0" w:type="dxa"/>
          <w:right w:w="0" w:type="dxa"/>
        </w:tblCellMar>
      </w:tblPr>
      <w:tr>
        <w:trPr>
          <w:trHeight w:val="238"/>
        </w:trPr>
        <w:tc>
          <w:tcPr>
            <w:tcW w:w="2800" w:type="dxa"/>
            <w:vAlign w:val="bottom"/>
            <w:tcBorders>
              <w:top w:val="single" w:sz="8" w:color="auto"/>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General:</w:t>
            </w:r>
          </w:p>
        </w:tc>
        <w:tc>
          <w:tcPr>
            <w:tcW w:w="576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The Board or the Compensation Committee may, in its discretion, provide</w:t>
            </w:r>
          </w:p>
        </w:tc>
        <w:tc>
          <w:tcPr>
            <w:tcW w:w="20" w:type="dxa"/>
            <w:vAlign w:val="bottom"/>
          </w:tcPr>
          <w:p>
            <w:pPr>
              <w:spacing w:after="0"/>
              <w:rPr>
                <w:sz w:val="20"/>
                <w:szCs w:val="20"/>
                <w:color w:val="auto"/>
              </w:rPr>
            </w:pPr>
          </w:p>
        </w:tc>
      </w:tr>
      <w:tr>
        <w:trPr>
          <w:trHeight w:val="212"/>
        </w:trPr>
        <w:tc>
          <w:tcPr>
            <w:tcW w:w="2800" w:type="dxa"/>
            <w:vAlign w:val="bottom"/>
            <w:tcBorders>
              <w:left w:val="single" w:sz="8" w:color="auto"/>
              <w:right w:val="single" w:sz="8" w:color="auto"/>
            </w:tcBorders>
          </w:tcPr>
          <w:p>
            <w:pPr>
              <w:spacing w:after="0"/>
              <w:rPr>
                <w:sz w:val="18"/>
                <w:szCs w:val="18"/>
                <w:color w:val="auto"/>
              </w:rPr>
            </w:pPr>
          </w:p>
        </w:tc>
        <w:tc>
          <w:tcPr>
            <w:tcW w:w="57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Non-Employee Directors with the opportunity to elect to convert all or a</w:t>
            </w:r>
          </w:p>
        </w:tc>
        <w:tc>
          <w:tcPr>
            <w:tcW w:w="20" w:type="dxa"/>
            <w:vAlign w:val="bottom"/>
          </w:tcPr>
          <w:p>
            <w:pPr>
              <w:spacing w:after="0"/>
              <w:rPr>
                <w:sz w:val="18"/>
                <w:szCs w:val="18"/>
                <w:color w:val="auto"/>
              </w:rPr>
            </w:pPr>
          </w:p>
        </w:tc>
      </w:tr>
      <w:tr>
        <w:trPr>
          <w:trHeight w:val="216"/>
        </w:trPr>
        <w:tc>
          <w:tcPr>
            <w:tcW w:w="2800" w:type="dxa"/>
            <w:vAlign w:val="bottom"/>
            <w:tcBorders>
              <w:left w:val="single" w:sz="8" w:color="auto"/>
              <w:right w:val="single" w:sz="8" w:color="auto"/>
            </w:tcBorders>
          </w:tcPr>
          <w:p>
            <w:pPr>
              <w:spacing w:after="0"/>
              <w:rPr>
                <w:sz w:val="18"/>
                <w:szCs w:val="18"/>
                <w:color w:val="auto"/>
              </w:rPr>
            </w:pPr>
          </w:p>
        </w:tc>
        <w:tc>
          <w:tcPr>
            <w:tcW w:w="57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portion of their annual retainers into awards of RSUs (“</w:t>
            </w:r>
            <w:r>
              <w:rPr>
                <w:rFonts w:ascii="Times New Roman" w:cs="Times New Roman" w:eastAsia="Times New Roman" w:hAnsi="Times New Roman"/>
                <w:sz w:val="18"/>
                <w:szCs w:val="18"/>
                <w:b w:val="1"/>
                <w:bCs w:val="1"/>
                <w:i w:val="1"/>
                <w:iCs w:val="1"/>
                <w:color w:val="auto"/>
              </w:rPr>
              <w:t>Retainer RSU</w:t>
            </w:r>
          </w:p>
        </w:tc>
        <w:tc>
          <w:tcPr>
            <w:tcW w:w="20" w:type="dxa"/>
            <w:vAlign w:val="bottom"/>
          </w:tcPr>
          <w:p>
            <w:pPr>
              <w:spacing w:after="0"/>
              <w:rPr>
                <w:sz w:val="18"/>
                <w:szCs w:val="18"/>
                <w:color w:val="auto"/>
              </w:rPr>
            </w:pPr>
          </w:p>
        </w:tc>
      </w:tr>
      <w:tr>
        <w:trPr>
          <w:trHeight w:val="220"/>
        </w:trPr>
        <w:tc>
          <w:tcPr>
            <w:tcW w:w="2800" w:type="dxa"/>
            <w:vAlign w:val="bottom"/>
            <w:tcBorders>
              <w:left w:val="single" w:sz="8" w:color="auto"/>
              <w:right w:val="single" w:sz="8" w:color="auto"/>
            </w:tcBorders>
          </w:tcPr>
          <w:p>
            <w:pPr>
              <w:spacing w:after="0"/>
              <w:rPr>
                <w:sz w:val="19"/>
                <w:szCs w:val="19"/>
                <w:color w:val="auto"/>
              </w:rPr>
            </w:pPr>
          </w:p>
        </w:tc>
        <w:tc>
          <w:tcPr>
            <w:tcW w:w="57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Awards</w:t>
            </w:r>
            <w:r>
              <w:rPr>
                <w:rFonts w:ascii="Times New Roman" w:cs="Times New Roman" w:eastAsia="Times New Roman" w:hAnsi="Times New Roman"/>
                <w:sz w:val="18"/>
                <w:szCs w:val="18"/>
                <w:color w:val="auto"/>
              </w:rPr>
              <w:t>”) granted under the Plan or any other applicable Company equity</w:t>
            </w:r>
          </w:p>
        </w:tc>
        <w:tc>
          <w:tcPr>
            <w:tcW w:w="20" w:type="dxa"/>
            <w:vAlign w:val="bottom"/>
          </w:tcPr>
          <w:p>
            <w:pPr>
              <w:spacing w:after="0"/>
              <w:rPr>
                <w:sz w:val="19"/>
                <w:szCs w:val="19"/>
                <w:color w:val="auto"/>
              </w:rPr>
            </w:pPr>
          </w:p>
        </w:tc>
      </w:tr>
      <w:tr>
        <w:trPr>
          <w:trHeight w:val="234"/>
        </w:trPr>
        <w:tc>
          <w:tcPr>
            <w:tcW w:w="2800" w:type="dxa"/>
            <w:vAlign w:val="bottom"/>
            <w:tcBorders>
              <w:left w:val="single" w:sz="8" w:color="auto"/>
              <w:right w:val="single" w:sz="8" w:color="auto"/>
            </w:tcBorders>
          </w:tcPr>
          <w:p>
            <w:pPr>
              <w:spacing w:after="0"/>
              <w:rPr>
                <w:sz w:val="20"/>
                <w:szCs w:val="20"/>
                <w:color w:val="auto"/>
              </w:rPr>
            </w:pPr>
          </w:p>
        </w:tc>
        <w:tc>
          <w:tcPr>
            <w:tcW w:w="57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incentive plan then-maintained by the</w:t>
            </w:r>
          </w:p>
        </w:tc>
        <w:tc>
          <w:tcPr>
            <w:tcW w:w="20" w:type="dxa"/>
            <w:vAlign w:val="bottom"/>
          </w:tcPr>
          <w:p>
            <w:pPr>
              <w:spacing w:after="0"/>
              <w:rPr>
                <w:sz w:val="20"/>
                <w:szCs w:val="20"/>
                <w:color w:val="auto"/>
              </w:rPr>
            </w:pPr>
          </w:p>
        </w:tc>
      </w:tr>
      <w:tr>
        <w:trPr>
          <w:trHeight w:val="27"/>
        </w:trPr>
        <w:tc>
          <w:tcPr>
            <w:tcW w:w="2800" w:type="dxa"/>
            <w:vAlign w:val="bottom"/>
            <w:tcBorders>
              <w:left w:val="single" w:sz="8" w:color="auto"/>
              <w:bottom w:val="single" w:sz="8" w:color="auto"/>
              <w:right w:val="single" w:sz="8" w:color="auto"/>
            </w:tcBorders>
          </w:tcPr>
          <w:p>
            <w:pPr>
              <w:spacing w:after="0"/>
              <w:rPr>
                <w:sz w:val="2"/>
                <w:szCs w:val="2"/>
                <w:color w:val="auto"/>
              </w:rPr>
            </w:pPr>
          </w:p>
        </w:tc>
        <w:tc>
          <w:tcPr>
            <w:tcW w:w="576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453"/>
        </w:trPr>
        <w:tc>
          <w:tcPr>
            <w:tcW w:w="2800" w:type="dxa"/>
            <w:vAlign w:val="bottom"/>
          </w:tcPr>
          <w:p>
            <w:pPr>
              <w:spacing w:after="0"/>
              <w:rPr>
                <w:sz w:val="24"/>
                <w:szCs w:val="24"/>
                <w:color w:val="auto"/>
              </w:rPr>
            </w:pPr>
          </w:p>
        </w:tc>
        <w:tc>
          <w:tcPr>
            <w:tcW w:w="578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Page 1 of 5</w:t>
            </w:r>
          </w:p>
        </w:tc>
      </w:tr>
      <w:tr>
        <w:trPr>
          <w:trHeight w:val="803"/>
        </w:trPr>
        <w:tc>
          <w:tcPr>
            <w:tcW w:w="2800" w:type="dxa"/>
            <w:vAlign w:val="bottom"/>
            <w:tcBorders>
              <w:bottom w:val="single" w:sz="8" w:color="auto"/>
            </w:tcBorders>
          </w:tcPr>
          <w:p>
            <w:pPr>
              <w:spacing w:after="0"/>
              <w:rPr>
                <w:sz w:val="24"/>
                <w:szCs w:val="24"/>
                <w:color w:val="auto"/>
              </w:rPr>
            </w:pPr>
          </w:p>
        </w:tc>
        <w:tc>
          <w:tcPr>
            <w:tcW w:w="5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131" w:name="page132"/>
    <w:bookmarkEnd w:id="131"/>
    <w:p>
      <w:pPr>
        <w:spacing w:after="0" w:line="1" w:lineRule="exact"/>
        <w:rPr>
          <w:sz w:val="20"/>
          <w:szCs w:val="20"/>
          <w:color w:val="auto"/>
        </w:rPr>
      </w:pPr>
    </w:p>
    <w:tbl>
      <w:tblPr>
        <w:tblLayout w:type="fixed"/>
        <w:tblInd w:w="230" w:type="dxa"/>
        <w:tblCellMar>
          <w:top w:w="0" w:type="dxa"/>
          <w:left w:w="0" w:type="dxa"/>
          <w:bottom w:w="0" w:type="dxa"/>
          <w:right w:w="0" w:type="dxa"/>
        </w:tblCellMar>
      </w:tblPr>
      <w:tr>
        <w:trPr>
          <w:trHeight w:val="238"/>
        </w:trPr>
        <w:tc>
          <w:tcPr>
            <w:tcW w:w="2800" w:type="dxa"/>
            <w:vAlign w:val="bottom"/>
            <w:tcBorders>
              <w:top w:val="single" w:sz="8" w:color="auto"/>
              <w:left w:val="single" w:sz="8" w:color="auto"/>
              <w:right w:val="single" w:sz="8" w:color="auto"/>
            </w:tcBorders>
          </w:tcPr>
          <w:p>
            <w:pPr>
              <w:spacing w:after="0"/>
              <w:rPr>
                <w:sz w:val="20"/>
                <w:szCs w:val="20"/>
                <w:color w:val="auto"/>
              </w:rPr>
            </w:pPr>
          </w:p>
        </w:tc>
        <w:tc>
          <w:tcPr>
            <w:tcW w:w="5760" w:type="dxa"/>
            <w:vAlign w:val="bottom"/>
            <w:tcBorders>
              <w:top w:val="single" w:sz="8" w:color="auto"/>
              <w:right w:val="single" w:sz="8" w:color="auto"/>
            </w:tcBorders>
            <w:gridSpan w:val="5"/>
          </w:tcPr>
          <w:p>
            <w:pPr>
              <w:ind w:left="80"/>
              <w:spacing w:after="0"/>
              <w:rPr>
                <w:sz w:val="20"/>
                <w:szCs w:val="20"/>
                <w:color w:val="auto"/>
              </w:rPr>
            </w:pPr>
            <w:r>
              <w:rPr>
                <w:rFonts w:ascii="Times New Roman" w:cs="Times New Roman" w:eastAsia="Times New Roman" w:hAnsi="Times New Roman"/>
                <w:sz w:val="18"/>
                <w:szCs w:val="18"/>
                <w:color w:val="auto"/>
              </w:rPr>
              <w:t>Company, with each such Retainer RSU Award covering a number of shares</w:t>
            </w:r>
          </w:p>
        </w:tc>
        <w:tc>
          <w:tcPr>
            <w:tcW w:w="20" w:type="dxa"/>
            <w:vAlign w:val="bottom"/>
          </w:tcPr>
          <w:p>
            <w:pPr>
              <w:spacing w:after="0"/>
              <w:rPr>
                <w:sz w:val="20"/>
                <w:szCs w:val="20"/>
                <w:color w:val="auto"/>
              </w:rPr>
            </w:pPr>
          </w:p>
        </w:tc>
      </w:tr>
      <w:tr>
        <w:trPr>
          <w:trHeight w:val="216"/>
        </w:trPr>
        <w:tc>
          <w:tcPr>
            <w:tcW w:w="2800" w:type="dxa"/>
            <w:vAlign w:val="bottom"/>
            <w:tcBorders>
              <w:left w:val="single" w:sz="8" w:color="auto"/>
              <w:right w:val="single" w:sz="8" w:color="auto"/>
            </w:tcBorders>
          </w:tcPr>
          <w:p>
            <w:pPr>
              <w:spacing w:after="0"/>
              <w:rPr>
                <w:sz w:val="18"/>
                <w:szCs w:val="18"/>
                <w:color w:val="auto"/>
              </w:rPr>
            </w:pPr>
          </w:p>
        </w:tc>
        <w:tc>
          <w:tcPr>
            <w:tcW w:w="5760" w:type="dxa"/>
            <w:vAlign w:val="bottom"/>
            <w:tcBorders>
              <w:right w:val="single" w:sz="8" w:color="auto"/>
            </w:tcBorders>
            <w:gridSpan w:val="5"/>
          </w:tcPr>
          <w:p>
            <w:pPr>
              <w:ind w:left="80"/>
              <w:spacing w:after="0"/>
              <w:rPr>
                <w:sz w:val="20"/>
                <w:szCs w:val="20"/>
                <w:color w:val="auto"/>
              </w:rPr>
            </w:pPr>
            <w:r>
              <w:rPr>
                <w:rFonts w:ascii="Times New Roman" w:cs="Times New Roman" w:eastAsia="Times New Roman" w:hAnsi="Times New Roman"/>
                <w:sz w:val="18"/>
                <w:szCs w:val="18"/>
                <w:color w:val="auto"/>
              </w:rPr>
              <w:t>of Common Stock calculated by dividing (i) the amount of the annual</w:t>
            </w:r>
          </w:p>
        </w:tc>
        <w:tc>
          <w:tcPr>
            <w:tcW w:w="20" w:type="dxa"/>
            <w:vAlign w:val="bottom"/>
          </w:tcPr>
          <w:p>
            <w:pPr>
              <w:spacing w:after="0"/>
              <w:rPr>
                <w:sz w:val="18"/>
                <w:szCs w:val="18"/>
                <w:color w:val="auto"/>
              </w:rPr>
            </w:pPr>
          </w:p>
        </w:tc>
      </w:tr>
      <w:tr>
        <w:trPr>
          <w:trHeight w:val="216"/>
        </w:trPr>
        <w:tc>
          <w:tcPr>
            <w:tcW w:w="2800" w:type="dxa"/>
            <w:vAlign w:val="bottom"/>
            <w:tcBorders>
              <w:left w:val="single" w:sz="8" w:color="auto"/>
              <w:right w:val="single" w:sz="8" w:color="auto"/>
            </w:tcBorders>
          </w:tcPr>
          <w:p>
            <w:pPr>
              <w:spacing w:after="0"/>
              <w:rPr>
                <w:sz w:val="18"/>
                <w:szCs w:val="18"/>
                <w:color w:val="auto"/>
              </w:rPr>
            </w:pPr>
          </w:p>
        </w:tc>
        <w:tc>
          <w:tcPr>
            <w:tcW w:w="5760" w:type="dxa"/>
            <w:vAlign w:val="bottom"/>
            <w:tcBorders>
              <w:right w:val="single" w:sz="8" w:color="auto"/>
            </w:tcBorders>
            <w:gridSpan w:val="5"/>
          </w:tcPr>
          <w:p>
            <w:pPr>
              <w:ind w:left="80"/>
              <w:spacing w:after="0"/>
              <w:rPr>
                <w:sz w:val="20"/>
                <w:szCs w:val="20"/>
                <w:color w:val="auto"/>
              </w:rPr>
            </w:pPr>
            <w:r>
              <w:rPr>
                <w:rFonts w:ascii="Times New Roman" w:cs="Times New Roman" w:eastAsia="Times New Roman" w:hAnsi="Times New Roman"/>
                <w:sz w:val="18"/>
                <w:szCs w:val="18"/>
                <w:color w:val="auto"/>
              </w:rPr>
              <w:t>retainer that would have otherwise been paid to such Non-Employee</w:t>
            </w:r>
          </w:p>
        </w:tc>
        <w:tc>
          <w:tcPr>
            <w:tcW w:w="20" w:type="dxa"/>
            <w:vAlign w:val="bottom"/>
          </w:tcPr>
          <w:p>
            <w:pPr>
              <w:spacing w:after="0"/>
              <w:rPr>
                <w:sz w:val="18"/>
                <w:szCs w:val="18"/>
                <w:color w:val="auto"/>
              </w:rPr>
            </w:pPr>
          </w:p>
        </w:tc>
      </w:tr>
      <w:tr>
        <w:trPr>
          <w:trHeight w:val="216"/>
        </w:trPr>
        <w:tc>
          <w:tcPr>
            <w:tcW w:w="2800" w:type="dxa"/>
            <w:vAlign w:val="bottom"/>
            <w:tcBorders>
              <w:left w:val="single" w:sz="8" w:color="auto"/>
              <w:right w:val="single" w:sz="8" w:color="auto"/>
            </w:tcBorders>
          </w:tcPr>
          <w:p>
            <w:pPr>
              <w:spacing w:after="0"/>
              <w:rPr>
                <w:sz w:val="18"/>
                <w:szCs w:val="18"/>
                <w:color w:val="auto"/>
              </w:rPr>
            </w:pPr>
          </w:p>
        </w:tc>
        <w:tc>
          <w:tcPr>
            <w:tcW w:w="5760" w:type="dxa"/>
            <w:vAlign w:val="bottom"/>
            <w:tcBorders>
              <w:right w:val="single" w:sz="8" w:color="auto"/>
            </w:tcBorders>
            <w:gridSpan w:val="5"/>
          </w:tcPr>
          <w:p>
            <w:pPr>
              <w:ind w:left="80"/>
              <w:spacing w:after="0"/>
              <w:rPr>
                <w:sz w:val="20"/>
                <w:szCs w:val="20"/>
                <w:color w:val="auto"/>
              </w:rPr>
            </w:pPr>
            <w:r>
              <w:rPr>
                <w:rFonts w:ascii="Times New Roman" w:cs="Times New Roman" w:eastAsia="Times New Roman" w:hAnsi="Times New Roman"/>
                <w:sz w:val="18"/>
                <w:szCs w:val="18"/>
                <w:color w:val="auto"/>
              </w:rPr>
              <w:t>Director on the applicable payment date by (ii) the average closing trading</w:t>
            </w:r>
          </w:p>
        </w:tc>
        <w:tc>
          <w:tcPr>
            <w:tcW w:w="20" w:type="dxa"/>
            <w:vAlign w:val="bottom"/>
          </w:tcPr>
          <w:p>
            <w:pPr>
              <w:spacing w:after="0"/>
              <w:rPr>
                <w:sz w:val="18"/>
                <w:szCs w:val="18"/>
                <w:color w:val="auto"/>
              </w:rPr>
            </w:pPr>
          </w:p>
        </w:tc>
      </w:tr>
      <w:tr>
        <w:trPr>
          <w:trHeight w:val="216"/>
        </w:trPr>
        <w:tc>
          <w:tcPr>
            <w:tcW w:w="2800" w:type="dxa"/>
            <w:vAlign w:val="bottom"/>
            <w:tcBorders>
              <w:left w:val="single" w:sz="8" w:color="auto"/>
              <w:right w:val="single" w:sz="8" w:color="auto"/>
            </w:tcBorders>
          </w:tcPr>
          <w:p>
            <w:pPr>
              <w:spacing w:after="0"/>
              <w:rPr>
                <w:sz w:val="18"/>
                <w:szCs w:val="18"/>
                <w:color w:val="auto"/>
              </w:rPr>
            </w:pPr>
          </w:p>
        </w:tc>
        <w:tc>
          <w:tcPr>
            <w:tcW w:w="5760" w:type="dxa"/>
            <w:vAlign w:val="bottom"/>
            <w:tcBorders>
              <w:right w:val="single" w:sz="8" w:color="auto"/>
            </w:tcBorders>
            <w:gridSpan w:val="5"/>
          </w:tcPr>
          <w:p>
            <w:pPr>
              <w:ind w:left="80"/>
              <w:spacing w:after="0"/>
              <w:rPr>
                <w:sz w:val="20"/>
                <w:szCs w:val="20"/>
                <w:color w:val="auto"/>
              </w:rPr>
            </w:pPr>
            <w:r>
              <w:rPr>
                <w:rFonts w:ascii="Times New Roman" w:cs="Times New Roman" w:eastAsia="Times New Roman" w:hAnsi="Times New Roman"/>
                <w:sz w:val="18"/>
                <w:szCs w:val="18"/>
                <w:color w:val="auto"/>
              </w:rPr>
              <w:t>price of the Common Stock over the 10 consecutive trading days ending with</w:t>
            </w:r>
          </w:p>
        </w:tc>
        <w:tc>
          <w:tcPr>
            <w:tcW w:w="20" w:type="dxa"/>
            <w:vAlign w:val="bottom"/>
          </w:tcPr>
          <w:p>
            <w:pPr>
              <w:spacing w:after="0"/>
              <w:rPr>
                <w:sz w:val="18"/>
                <w:szCs w:val="18"/>
                <w:color w:val="auto"/>
              </w:rPr>
            </w:pPr>
          </w:p>
        </w:tc>
      </w:tr>
      <w:tr>
        <w:trPr>
          <w:trHeight w:val="212"/>
        </w:trPr>
        <w:tc>
          <w:tcPr>
            <w:tcW w:w="2800" w:type="dxa"/>
            <w:vAlign w:val="bottom"/>
            <w:tcBorders>
              <w:left w:val="single" w:sz="8" w:color="auto"/>
              <w:right w:val="single" w:sz="8" w:color="auto"/>
            </w:tcBorders>
          </w:tcPr>
          <w:p>
            <w:pPr>
              <w:spacing w:after="0"/>
              <w:rPr>
                <w:sz w:val="18"/>
                <w:szCs w:val="18"/>
                <w:color w:val="auto"/>
              </w:rPr>
            </w:pPr>
          </w:p>
        </w:tc>
        <w:tc>
          <w:tcPr>
            <w:tcW w:w="5760" w:type="dxa"/>
            <w:vAlign w:val="bottom"/>
            <w:tcBorders>
              <w:right w:val="single" w:sz="8" w:color="auto"/>
            </w:tcBorders>
            <w:gridSpan w:val="5"/>
          </w:tcPr>
          <w:p>
            <w:pPr>
              <w:ind w:left="80"/>
              <w:spacing w:after="0"/>
              <w:rPr>
                <w:sz w:val="20"/>
                <w:szCs w:val="20"/>
                <w:color w:val="auto"/>
              </w:rPr>
            </w:pPr>
            <w:r>
              <w:rPr>
                <w:rFonts w:ascii="Times New Roman" w:cs="Times New Roman" w:eastAsia="Times New Roman" w:hAnsi="Times New Roman"/>
                <w:sz w:val="18"/>
                <w:szCs w:val="18"/>
                <w:color w:val="auto"/>
              </w:rPr>
              <w:t>the trading day immediately preceding the grant date (such election, a</w:t>
            </w:r>
          </w:p>
        </w:tc>
        <w:tc>
          <w:tcPr>
            <w:tcW w:w="20" w:type="dxa"/>
            <w:vAlign w:val="bottom"/>
          </w:tcPr>
          <w:p>
            <w:pPr>
              <w:spacing w:after="0"/>
              <w:rPr>
                <w:sz w:val="18"/>
                <w:szCs w:val="18"/>
                <w:color w:val="auto"/>
              </w:rPr>
            </w:pPr>
          </w:p>
        </w:tc>
      </w:tr>
      <w:tr>
        <w:trPr>
          <w:trHeight w:val="238"/>
        </w:trPr>
        <w:tc>
          <w:tcPr>
            <w:tcW w:w="2800" w:type="dxa"/>
            <w:vAlign w:val="bottom"/>
            <w:tcBorders>
              <w:left w:val="single" w:sz="8" w:color="auto"/>
              <w:right w:val="single" w:sz="8" w:color="auto"/>
            </w:tcBorders>
          </w:tcPr>
          <w:p>
            <w:pPr>
              <w:spacing w:after="0"/>
              <w:rPr>
                <w:sz w:val="20"/>
                <w:szCs w:val="20"/>
                <w:color w:val="auto"/>
              </w:rPr>
            </w:pPr>
          </w:p>
        </w:tc>
        <w:tc>
          <w:tcPr>
            <w:tcW w:w="5760" w:type="dxa"/>
            <w:vAlign w:val="bottom"/>
            <w:tcBorders>
              <w:right w:val="single" w:sz="8" w:color="auto"/>
            </w:tcBorders>
            <w:gridSpan w:val="5"/>
          </w:tcPr>
          <w:p>
            <w:pPr>
              <w:ind w:left="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Retainer RSU Election</w:t>
            </w: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r>
      <w:tr>
        <w:trPr>
          <w:trHeight w:val="414"/>
        </w:trPr>
        <w:tc>
          <w:tcPr>
            <w:tcW w:w="2800" w:type="dxa"/>
            <w:vAlign w:val="bottom"/>
            <w:tcBorders>
              <w:left w:val="single" w:sz="8" w:color="auto"/>
              <w:right w:val="single" w:sz="8" w:color="auto"/>
            </w:tcBorders>
          </w:tcPr>
          <w:p>
            <w:pPr>
              <w:spacing w:after="0"/>
              <w:rPr>
                <w:sz w:val="24"/>
                <w:szCs w:val="24"/>
                <w:color w:val="auto"/>
              </w:rPr>
            </w:pPr>
          </w:p>
        </w:tc>
        <w:tc>
          <w:tcPr>
            <w:tcW w:w="5760" w:type="dxa"/>
            <w:vAlign w:val="bottom"/>
            <w:tcBorders>
              <w:right w:val="single" w:sz="8" w:color="auto"/>
            </w:tcBorders>
            <w:gridSpan w:val="5"/>
          </w:tcPr>
          <w:p>
            <w:pPr>
              <w:ind w:left="80"/>
              <w:spacing w:after="0"/>
              <w:rPr>
                <w:sz w:val="20"/>
                <w:szCs w:val="20"/>
                <w:color w:val="auto"/>
              </w:rPr>
            </w:pPr>
            <w:r>
              <w:rPr>
                <w:rFonts w:ascii="Times New Roman" w:cs="Times New Roman" w:eastAsia="Times New Roman" w:hAnsi="Times New Roman"/>
                <w:sz w:val="18"/>
                <w:szCs w:val="18"/>
                <w:color w:val="auto"/>
              </w:rPr>
              <w:t>Each Retainer RSU Award will be automatically granted five business days</w:t>
            </w:r>
          </w:p>
        </w:tc>
        <w:tc>
          <w:tcPr>
            <w:tcW w:w="20" w:type="dxa"/>
            <w:vAlign w:val="bottom"/>
          </w:tcPr>
          <w:p>
            <w:pPr>
              <w:spacing w:after="0"/>
              <w:rPr>
                <w:sz w:val="24"/>
                <w:szCs w:val="24"/>
                <w:color w:val="auto"/>
              </w:rPr>
            </w:pPr>
          </w:p>
        </w:tc>
      </w:tr>
      <w:tr>
        <w:trPr>
          <w:trHeight w:val="216"/>
        </w:trPr>
        <w:tc>
          <w:tcPr>
            <w:tcW w:w="2800" w:type="dxa"/>
            <w:vAlign w:val="bottom"/>
            <w:tcBorders>
              <w:left w:val="single" w:sz="8" w:color="auto"/>
              <w:right w:val="single" w:sz="8" w:color="auto"/>
            </w:tcBorders>
          </w:tcPr>
          <w:p>
            <w:pPr>
              <w:spacing w:after="0"/>
              <w:rPr>
                <w:sz w:val="18"/>
                <w:szCs w:val="18"/>
                <w:color w:val="auto"/>
              </w:rPr>
            </w:pPr>
          </w:p>
        </w:tc>
        <w:tc>
          <w:tcPr>
            <w:tcW w:w="5760" w:type="dxa"/>
            <w:vAlign w:val="bottom"/>
            <w:tcBorders>
              <w:right w:val="single" w:sz="8" w:color="auto"/>
            </w:tcBorders>
            <w:gridSpan w:val="5"/>
          </w:tcPr>
          <w:p>
            <w:pPr>
              <w:ind w:left="80"/>
              <w:spacing w:after="0"/>
              <w:rPr>
                <w:sz w:val="20"/>
                <w:szCs w:val="20"/>
                <w:color w:val="auto"/>
              </w:rPr>
            </w:pPr>
            <w:r>
              <w:rPr>
                <w:rFonts w:ascii="Times New Roman" w:cs="Times New Roman" w:eastAsia="Times New Roman" w:hAnsi="Times New Roman"/>
                <w:sz w:val="18"/>
                <w:szCs w:val="18"/>
                <w:color w:val="auto"/>
              </w:rPr>
              <w:t>after the end of the fiscal quarter for which the corresponding portion of the</w:t>
            </w:r>
          </w:p>
        </w:tc>
        <w:tc>
          <w:tcPr>
            <w:tcW w:w="20" w:type="dxa"/>
            <w:vAlign w:val="bottom"/>
          </w:tcPr>
          <w:p>
            <w:pPr>
              <w:spacing w:after="0"/>
              <w:rPr>
                <w:sz w:val="18"/>
                <w:szCs w:val="18"/>
                <w:color w:val="auto"/>
              </w:rPr>
            </w:pPr>
          </w:p>
        </w:tc>
      </w:tr>
      <w:tr>
        <w:trPr>
          <w:trHeight w:val="216"/>
        </w:trPr>
        <w:tc>
          <w:tcPr>
            <w:tcW w:w="2800" w:type="dxa"/>
            <w:vAlign w:val="bottom"/>
            <w:tcBorders>
              <w:left w:val="single" w:sz="8" w:color="auto"/>
              <w:right w:val="single" w:sz="8" w:color="auto"/>
            </w:tcBorders>
          </w:tcPr>
          <w:p>
            <w:pPr>
              <w:spacing w:after="0"/>
              <w:rPr>
                <w:sz w:val="18"/>
                <w:szCs w:val="18"/>
                <w:color w:val="auto"/>
              </w:rPr>
            </w:pPr>
          </w:p>
        </w:tc>
        <w:tc>
          <w:tcPr>
            <w:tcW w:w="5760" w:type="dxa"/>
            <w:vAlign w:val="bottom"/>
            <w:tcBorders>
              <w:right w:val="single" w:sz="8" w:color="auto"/>
            </w:tcBorders>
            <w:gridSpan w:val="5"/>
          </w:tcPr>
          <w:p>
            <w:pPr>
              <w:ind w:left="80"/>
              <w:spacing w:after="0"/>
              <w:rPr>
                <w:sz w:val="20"/>
                <w:szCs w:val="20"/>
                <w:color w:val="auto"/>
              </w:rPr>
            </w:pPr>
            <w:r>
              <w:rPr>
                <w:rFonts w:ascii="Times New Roman" w:cs="Times New Roman" w:eastAsia="Times New Roman" w:hAnsi="Times New Roman"/>
                <w:sz w:val="18"/>
                <w:szCs w:val="18"/>
                <w:color w:val="auto"/>
              </w:rPr>
              <w:t>annual retainer was earned. Each Retainer RSU Award will be fully vested</w:t>
            </w:r>
          </w:p>
        </w:tc>
        <w:tc>
          <w:tcPr>
            <w:tcW w:w="20" w:type="dxa"/>
            <w:vAlign w:val="bottom"/>
          </w:tcPr>
          <w:p>
            <w:pPr>
              <w:spacing w:after="0"/>
              <w:rPr>
                <w:sz w:val="18"/>
                <w:szCs w:val="18"/>
                <w:color w:val="auto"/>
              </w:rPr>
            </w:pPr>
          </w:p>
        </w:tc>
      </w:tr>
      <w:tr>
        <w:trPr>
          <w:trHeight w:val="234"/>
        </w:trPr>
        <w:tc>
          <w:tcPr>
            <w:tcW w:w="2800" w:type="dxa"/>
            <w:vAlign w:val="bottom"/>
            <w:tcBorders>
              <w:left w:val="single" w:sz="8" w:color="auto"/>
              <w:right w:val="single" w:sz="8" w:color="auto"/>
            </w:tcBorders>
          </w:tcPr>
          <w:p>
            <w:pPr>
              <w:spacing w:after="0"/>
              <w:rPr>
                <w:sz w:val="20"/>
                <w:szCs w:val="20"/>
                <w:color w:val="auto"/>
              </w:rPr>
            </w:pPr>
          </w:p>
        </w:tc>
        <w:tc>
          <w:tcPr>
            <w:tcW w:w="5760" w:type="dxa"/>
            <w:vAlign w:val="bottom"/>
            <w:tcBorders>
              <w:right w:val="single" w:sz="8" w:color="auto"/>
            </w:tcBorders>
            <w:gridSpan w:val="5"/>
          </w:tcPr>
          <w:p>
            <w:pPr>
              <w:ind w:left="80"/>
              <w:spacing w:after="0"/>
              <w:rPr>
                <w:sz w:val="20"/>
                <w:szCs w:val="20"/>
                <w:color w:val="auto"/>
              </w:rPr>
            </w:pPr>
            <w:r>
              <w:rPr>
                <w:rFonts w:ascii="Times New Roman" w:cs="Times New Roman" w:eastAsia="Times New Roman" w:hAnsi="Times New Roman"/>
                <w:sz w:val="18"/>
                <w:szCs w:val="18"/>
                <w:color w:val="auto"/>
              </w:rPr>
              <w:t>on the grant date.</w:t>
            </w:r>
          </w:p>
        </w:tc>
        <w:tc>
          <w:tcPr>
            <w:tcW w:w="20" w:type="dxa"/>
            <w:vAlign w:val="bottom"/>
          </w:tcPr>
          <w:p>
            <w:pPr>
              <w:spacing w:after="0"/>
              <w:rPr>
                <w:sz w:val="20"/>
                <w:szCs w:val="20"/>
                <w:color w:val="auto"/>
              </w:rPr>
            </w:pPr>
          </w:p>
        </w:tc>
      </w:tr>
      <w:tr>
        <w:trPr>
          <w:trHeight w:val="243"/>
        </w:trPr>
        <w:tc>
          <w:tcPr>
            <w:tcW w:w="2800" w:type="dxa"/>
            <w:vAlign w:val="bottom"/>
            <w:tcBorders>
              <w:left w:val="single" w:sz="8" w:color="auto"/>
              <w:bottom w:val="single" w:sz="8" w:color="auto"/>
              <w:right w:val="single" w:sz="8" w:color="auto"/>
            </w:tcBorders>
          </w:tcPr>
          <w:p>
            <w:pPr>
              <w:spacing w:after="0"/>
              <w:rPr>
                <w:sz w:val="21"/>
                <w:szCs w:val="21"/>
                <w:color w:val="auto"/>
              </w:rPr>
            </w:pPr>
          </w:p>
        </w:tc>
        <w:tc>
          <w:tcPr>
            <w:tcW w:w="1940" w:type="dxa"/>
            <w:vAlign w:val="bottom"/>
            <w:tcBorders>
              <w:bottom w:val="single" w:sz="8" w:color="auto"/>
            </w:tcBorders>
            <w:gridSpan w:val="2"/>
          </w:tcPr>
          <w:p>
            <w:pPr>
              <w:spacing w:after="0"/>
              <w:rPr>
                <w:sz w:val="21"/>
                <w:szCs w:val="21"/>
                <w:color w:val="auto"/>
              </w:rPr>
            </w:pPr>
          </w:p>
        </w:tc>
        <w:tc>
          <w:tcPr>
            <w:tcW w:w="152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spacing w:after="0"/>
              <w:rPr>
                <w:sz w:val="21"/>
                <w:szCs w:val="21"/>
                <w:color w:val="auto"/>
              </w:rPr>
            </w:pPr>
          </w:p>
        </w:tc>
        <w:tc>
          <w:tcPr>
            <w:tcW w:w="820" w:type="dxa"/>
            <w:vAlign w:val="bottom"/>
            <w:tcBorders>
              <w:bottom w:val="single" w:sz="8" w:color="auto"/>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18"/>
        </w:trPr>
        <w:tc>
          <w:tcPr>
            <w:tcW w:w="28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Election Method:</w:t>
            </w:r>
          </w:p>
        </w:tc>
        <w:tc>
          <w:tcPr>
            <w:tcW w:w="576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Each Retainer RSU Election must be submitted to the Company in the</w:t>
            </w:r>
          </w:p>
        </w:tc>
        <w:tc>
          <w:tcPr>
            <w:tcW w:w="20" w:type="dxa"/>
            <w:vAlign w:val="bottom"/>
          </w:tcPr>
          <w:p>
            <w:pPr>
              <w:spacing w:after="0"/>
              <w:rPr>
                <w:sz w:val="18"/>
                <w:szCs w:val="18"/>
                <w:color w:val="auto"/>
              </w:rPr>
            </w:pPr>
          </w:p>
        </w:tc>
      </w:tr>
      <w:tr>
        <w:trPr>
          <w:trHeight w:val="216"/>
        </w:trPr>
        <w:tc>
          <w:tcPr>
            <w:tcW w:w="2800" w:type="dxa"/>
            <w:vAlign w:val="bottom"/>
            <w:tcBorders>
              <w:left w:val="single" w:sz="8" w:color="auto"/>
              <w:right w:val="single" w:sz="8" w:color="auto"/>
            </w:tcBorders>
          </w:tcPr>
          <w:p>
            <w:pPr>
              <w:spacing w:after="0"/>
              <w:rPr>
                <w:sz w:val="18"/>
                <w:szCs w:val="18"/>
                <w:color w:val="auto"/>
              </w:rPr>
            </w:pPr>
          </w:p>
        </w:tc>
        <w:tc>
          <w:tcPr>
            <w:tcW w:w="5760" w:type="dxa"/>
            <w:vAlign w:val="bottom"/>
            <w:tcBorders>
              <w:right w:val="single" w:sz="8" w:color="auto"/>
            </w:tcBorders>
            <w:gridSpan w:val="5"/>
          </w:tcPr>
          <w:p>
            <w:pPr>
              <w:ind w:left="80"/>
              <w:spacing w:after="0"/>
              <w:rPr>
                <w:sz w:val="20"/>
                <w:szCs w:val="20"/>
                <w:color w:val="auto"/>
              </w:rPr>
            </w:pPr>
            <w:r>
              <w:rPr>
                <w:rFonts w:ascii="Times New Roman" w:cs="Times New Roman" w:eastAsia="Times New Roman" w:hAnsi="Times New Roman"/>
                <w:sz w:val="18"/>
                <w:szCs w:val="18"/>
                <w:color w:val="auto"/>
              </w:rPr>
              <w:t>form and manner specified by the Board or its Compensation Committee.</w:t>
            </w:r>
          </w:p>
        </w:tc>
        <w:tc>
          <w:tcPr>
            <w:tcW w:w="20" w:type="dxa"/>
            <w:vAlign w:val="bottom"/>
          </w:tcPr>
          <w:p>
            <w:pPr>
              <w:spacing w:after="0"/>
              <w:rPr>
                <w:sz w:val="18"/>
                <w:szCs w:val="18"/>
                <w:color w:val="auto"/>
              </w:rPr>
            </w:pPr>
          </w:p>
        </w:tc>
      </w:tr>
      <w:tr>
        <w:trPr>
          <w:trHeight w:val="216"/>
        </w:trPr>
        <w:tc>
          <w:tcPr>
            <w:tcW w:w="2800" w:type="dxa"/>
            <w:vAlign w:val="bottom"/>
            <w:tcBorders>
              <w:left w:val="single" w:sz="8" w:color="auto"/>
              <w:right w:val="single" w:sz="8" w:color="auto"/>
            </w:tcBorders>
          </w:tcPr>
          <w:p>
            <w:pPr>
              <w:spacing w:after="0"/>
              <w:rPr>
                <w:sz w:val="18"/>
                <w:szCs w:val="18"/>
                <w:color w:val="auto"/>
              </w:rPr>
            </w:pPr>
          </w:p>
        </w:tc>
        <w:tc>
          <w:tcPr>
            <w:tcW w:w="5760" w:type="dxa"/>
            <w:vAlign w:val="bottom"/>
            <w:tcBorders>
              <w:right w:val="single" w:sz="8" w:color="auto"/>
            </w:tcBorders>
            <w:gridSpan w:val="5"/>
          </w:tcPr>
          <w:p>
            <w:pPr>
              <w:ind w:left="80"/>
              <w:spacing w:after="0"/>
              <w:rPr>
                <w:sz w:val="20"/>
                <w:szCs w:val="20"/>
                <w:color w:val="auto"/>
              </w:rPr>
            </w:pPr>
            <w:r>
              <w:rPr>
                <w:rFonts w:ascii="Times New Roman" w:cs="Times New Roman" w:eastAsia="Times New Roman" w:hAnsi="Times New Roman"/>
                <w:sz w:val="18"/>
                <w:szCs w:val="18"/>
                <w:color w:val="auto"/>
              </w:rPr>
              <w:t>An individual who fails to make a timely Retainer RSU Election shall not</w:t>
            </w:r>
          </w:p>
        </w:tc>
        <w:tc>
          <w:tcPr>
            <w:tcW w:w="20" w:type="dxa"/>
            <w:vAlign w:val="bottom"/>
          </w:tcPr>
          <w:p>
            <w:pPr>
              <w:spacing w:after="0"/>
              <w:rPr>
                <w:sz w:val="18"/>
                <w:szCs w:val="18"/>
                <w:color w:val="auto"/>
              </w:rPr>
            </w:pPr>
          </w:p>
        </w:tc>
      </w:tr>
      <w:tr>
        <w:trPr>
          <w:trHeight w:val="216"/>
        </w:trPr>
        <w:tc>
          <w:tcPr>
            <w:tcW w:w="2800" w:type="dxa"/>
            <w:vAlign w:val="bottom"/>
            <w:tcBorders>
              <w:left w:val="single" w:sz="8" w:color="auto"/>
              <w:right w:val="single" w:sz="8" w:color="auto"/>
            </w:tcBorders>
          </w:tcPr>
          <w:p>
            <w:pPr>
              <w:spacing w:after="0"/>
              <w:rPr>
                <w:sz w:val="18"/>
                <w:szCs w:val="18"/>
                <w:color w:val="auto"/>
              </w:rPr>
            </w:pPr>
          </w:p>
        </w:tc>
        <w:tc>
          <w:tcPr>
            <w:tcW w:w="5760" w:type="dxa"/>
            <w:vAlign w:val="bottom"/>
            <w:tcBorders>
              <w:right w:val="single" w:sz="8" w:color="auto"/>
            </w:tcBorders>
            <w:gridSpan w:val="5"/>
          </w:tcPr>
          <w:p>
            <w:pPr>
              <w:ind w:left="80"/>
              <w:spacing w:after="0"/>
              <w:rPr>
                <w:sz w:val="20"/>
                <w:szCs w:val="20"/>
                <w:color w:val="auto"/>
              </w:rPr>
            </w:pPr>
            <w:r>
              <w:rPr>
                <w:rFonts w:ascii="Times New Roman" w:cs="Times New Roman" w:eastAsia="Times New Roman" w:hAnsi="Times New Roman"/>
                <w:sz w:val="18"/>
                <w:szCs w:val="18"/>
                <w:color w:val="auto"/>
              </w:rPr>
              <w:t>receive a Retainer RSU Award and instead shall receive the applicable</w:t>
            </w:r>
          </w:p>
        </w:tc>
        <w:tc>
          <w:tcPr>
            <w:tcW w:w="20" w:type="dxa"/>
            <w:vAlign w:val="bottom"/>
          </w:tcPr>
          <w:p>
            <w:pPr>
              <w:spacing w:after="0"/>
              <w:rPr>
                <w:sz w:val="18"/>
                <w:szCs w:val="18"/>
                <w:color w:val="auto"/>
              </w:rPr>
            </w:pPr>
          </w:p>
        </w:tc>
      </w:tr>
      <w:tr>
        <w:trPr>
          <w:trHeight w:val="216"/>
        </w:trPr>
        <w:tc>
          <w:tcPr>
            <w:tcW w:w="2800" w:type="dxa"/>
            <w:vAlign w:val="bottom"/>
            <w:tcBorders>
              <w:left w:val="single" w:sz="8" w:color="auto"/>
              <w:right w:val="single" w:sz="8" w:color="auto"/>
            </w:tcBorders>
          </w:tcPr>
          <w:p>
            <w:pPr>
              <w:spacing w:after="0"/>
              <w:rPr>
                <w:sz w:val="18"/>
                <w:szCs w:val="18"/>
                <w:color w:val="auto"/>
              </w:rPr>
            </w:pPr>
          </w:p>
        </w:tc>
        <w:tc>
          <w:tcPr>
            <w:tcW w:w="5760" w:type="dxa"/>
            <w:vAlign w:val="bottom"/>
            <w:tcBorders>
              <w:right w:val="single" w:sz="8" w:color="auto"/>
            </w:tcBorders>
            <w:gridSpan w:val="5"/>
          </w:tcPr>
          <w:p>
            <w:pPr>
              <w:ind w:left="80"/>
              <w:spacing w:after="0"/>
              <w:rPr>
                <w:sz w:val="20"/>
                <w:szCs w:val="20"/>
                <w:color w:val="auto"/>
              </w:rPr>
            </w:pPr>
            <w:r>
              <w:rPr>
                <w:rFonts w:ascii="Times New Roman" w:cs="Times New Roman" w:eastAsia="Times New Roman" w:hAnsi="Times New Roman"/>
                <w:sz w:val="18"/>
                <w:szCs w:val="18"/>
                <w:color w:val="auto"/>
              </w:rPr>
              <w:t>annual retainer in cash.  Retainer RSU Elections must comply with the</w:t>
            </w:r>
          </w:p>
        </w:tc>
        <w:tc>
          <w:tcPr>
            <w:tcW w:w="20" w:type="dxa"/>
            <w:vAlign w:val="bottom"/>
          </w:tcPr>
          <w:p>
            <w:pPr>
              <w:spacing w:after="0"/>
              <w:rPr>
                <w:sz w:val="18"/>
                <w:szCs w:val="18"/>
                <w:color w:val="auto"/>
              </w:rPr>
            </w:pPr>
          </w:p>
        </w:tc>
      </w:tr>
      <w:tr>
        <w:trPr>
          <w:trHeight w:val="234"/>
        </w:trPr>
        <w:tc>
          <w:tcPr>
            <w:tcW w:w="2800" w:type="dxa"/>
            <w:vAlign w:val="bottom"/>
            <w:tcBorders>
              <w:left w:val="single" w:sz="8" w:color="auto"/>
              <w:right w:val="single" w:sz="8" w:color="auto"/>
            </w:tcBorders>
          </w:tcPr>
          <w:p>
            <w:pPr>
              <w:spacing w:after="0"/>
              <w:rPr>
                <w:sz w:val="20"/>
                <w:szCs w:val="20"/>
                <w:color w:val="auto"/>
              </w:rPr>
            </w:pPr>
          </w:p>
        </w:tc>
        <w:tc>
          <w:tcPr>
            <w:tcW w:w="5760" w:type="dxa"/>
            <w:vAlign w:val="bottom"/>
            <w:tcBorders>
              <w:right w:val="single" w:sz="8" w:color="auto"/>
            </w:tcBorders>
            <w:gridSpan w:val="5"/>
          </w:tcPr>
          <w:p>
            <w:pPr>
              <w:ind w:left="80"/>
              <w:spacing w:after="0"/>
              <w:rPr>
                <w:sz w:val="20"/>
                <w:szCs w:val="20"/>
                <w:color w:val="auto"/>
              </w:rPr>
            </w:pPr>
            <w:r>
              <w:rPr>
                <w:rFonts w:ascii="Times New Roman" w:cs="Times New Roman" w:eastAsia="Times New Roman" w:hAnsi="Times New Roman"/>
                <w:sz w:val="18"/>
                <w:szCs w:val="18"/>
                <w:color w:val="auto"/>
              </w:rPr>
              <w:t>following timing requirements:</w:t>
            </w:r>
          </w:p>
        </w:tc>
        <w:tc>
          <w:tcPr>
            <w:tcW w:w="20" w:type="dxa"/>
            <w:vAlign w:val="bottom"/>
          </w:tcPr>
          <w:p>
            <w:pPr>
              <w:spacing w:after="0"/>
              <w:rPr>
                <w:sz w:val="20"/>
                <w:szCs w:val="20"/>
                <w:color w:val="auto"/>
              </w:rPr>
            </w:pPr>
          </w:p>
        </w:tc>
      </w:tr>
      <w:tr>
        <w:trPr>
          <w:trHeight w:val="392"/>
        </w:trPr>
        <w:tc>
          <w:tcPr>
            <w:tcW w:w="2800" w:type="dxa"/>
            <w:vAlign w:val="bottom"/>
            <w:tcBorders>
              <w:left w:val="single" w:sz="8" w:color="auto"/>
              <w:right w:val="single" w:sz="8" w:color="auto"/>
            </w:tcBorders>
          </w:tcPr>
          <w:p>
            <w:pPr>
              <w:spacing w:after="0"/>
              <w:rPr>
                <w:sz w:val="24"/>
                <w:szCs w:val="24"/>
                <w:color w:val="auto"/>
              </w:rPr>
            </w:pPr>
          </w:p>
        </w:tc>
        <w:tc>
          <w:tcPr>
            <w:tcW w:w="7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502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Initial Election After Effective Date. Each individual who is a</w:t>
            </w:r>
          </w:p>
        </w:tc>
        <w:tc>
          <w:tcPr>
            <w:tcW w:w="20" w:type="dxa"/>
            <w:vAlign w:val="bottom"/>
          </w:tcPr>
          <w:p>
            <w:pPr>
              <w:spacing w:after="0"/>
              <w:rPr>
                <w:sz w:val="24"/>
                <w:szCs w:val="24"/>
                <w:color w:val="auto"/>
              </w:rPr>
            </w:pPr>
          </w:p>
        </w:tc>
      </w:tr>
      <w:tr>
        <w:trPr>
          <w:trHeight w:val="20"/>
        </w:trPr>
        <w:tc>
          <w:tcPr>
            <w:tcW w:w="2800" w:type="dxa"/>
            <w:vAlign w:val="bottom"/>
            <w:tcBorders>
              <w:left w:val="single" w:sz="8" w:color="auto"/>
              <w:right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2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8"/>
        </w:trPr>
        <w:tc>
          <w:tcPr>
            <w:tcW w:w="2800" w:type="dxa"/>
            <w:vAlign w:val="bottom"/>
            <w:tcBorders>
              <w:left w:val="single" w:sz="8" w:color="auto"/>
              <w:right w:val="single" w:sz="8" w:color="auto"/>
            </w:tcBorders>
          </w:tcPr>
          <w:p>
            <w:pPr>
              <w:spacing w:after="0"/>
              <w:rPr>
                <w:sz w:val="18"/>
                <w:szCs w:val="18"/>
                <w:color w:val="auto"/>
              </w:rPr>
            </w:pPr>
          </w:p>
        </w:tc>
        <w:tc>
          <w:tcPr>
            <w:tcW w:w="740" w:type="dxa"/>
            <w:vAlign w:val="bottom"/>
          </w:tcPr>
          <w:p>
            <w:pPr>
              <w:spacing w:after="0"/>
              <w:rPr>
                <w:sz w:val="18"/>
                <w:szCs w:val="18"/>
                <w:color w:val="auto"/>
              </w:rPr>
            </w:pPr>
          </w:p>
        </w:tc>
        <w:tc>
          <w:tcPr>
            <w:tcW w:w="502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Non-Employee Director as of the original Effective Date may</w:t>
            </w:r>
          </w:p>
        </w:tc>
        <w:tc>
          <w:tcPr>
            <w:tcW w:w="20" w:type="dxa"/>
            <w:vAlign w:val="bottom"/>
          </w:tcPr>
          <w:p>
            <w:pPr>
              <w:spacing w:after="0"/>
              <w:rPr>
                <w:sz w:val="18"/>
                <w:szCs w:val="18"/>
                <w:color w:val="auto"/>
              </w:rPr>
            </w:pPr>
          </w:p>
        </w:tc>
      </w:tr>
      <w:tr>
        <w:trPr>
          <w:trHeight w:val="216"/>
        </w:trPr>
        <w:tc>
          <w:tcPr>
            <w:tcW w:w="2800" w:type="dxa"/>
            <w:vAlign w:val="bottom"/>
            <w:tcBorders>
              <w:left w:val="single" w:sz="8" w:color="auto"/>
              <w:right w:val="single" w:sz="8" w:color="auto"/>
            </w:tcBorders>
          </w:tcPr>
          <w:p>
            <w:pPr>
              <w:spacing w:after="0"/>
              <w:rPr>
                <w:sz w:val="18"/>
                <w:szCs w:val="18"/>
                <w:color w:val="auto"/>
              </w:rPr>
            </w:pPr>
          </w:p>
        </w:tc>
        <w:tc>
          <w:tcPr>
            <w:tcW w:w="740" w:type="dxa"/>
            <w:vAlign w:val="bottom"/>
          </w:tcPr>
          <w:p>
            <w:pPr>
              <w:spacing w:after="0"/>
              <w:rPr>
                <w:sz w:val="18"/>
                <w:szCs w:val="18"/>
                <w:color w:val="auto"/>
              </w:rPr>
            </w:pPr>
          </w:p>
        </w:tc>
        <w:tc>
          <w:tcPr>
            <w:tcW w:w="502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make a Retainer RSU Election with respect to annual retainer</w:t>
            </w:r>
          </w:p>
        </w:tc>
        <w:tc>
          <w:tcPr>
            <w:tcW w:w="20" w:type="dxa"/>
            <w:vAlign w:val="bottom"/>
          </w:tcPr>
          <w:p>
            <w:pPr>
              <w:spacing w:after="0"/>
              <w:rPr>
                <w:sz w:val="18"/>
                <w:szCs w:val="18"/>
                <w:color w:val="auto"/>
              </w:rPr>
            </w:pPr>
          </w:p>
        </w:tc>
      </w:tr>
      <w:tr>
        <w:trPr>
          <w:trHeight w:val="216"/>
        </w:trPr>
        <w:tc>
          <w:tcPr>
            <w:tcW w:w="2800" w:type="dxa"/>
            <w:vAlign w:val="bottom"/>
            <w:tcBorders>
              <w:left w:val="single" w:sz="8" w:color="auto"/>
              <w:right w:val="single" w:sz="8" w:color="auto"/>
            </w:tcBorders>
          </w:tcPr>
          <w:p>
            <w:pPr>
              <w:spacing w:after="0"/>
              <w:rPr>
                <w:sz w:val="18"/>
                <w:szCs w:val="18"/>
                <w:color w:val="auto"/>
              </w:rPr>
            </w:pPr>
          </w:p>
        </w:tc>
        <w:tc>
          <w:tcPr>
            <w:tcW w:w="740" w:type="dxa"/>
            <w:vAlign w:val="bottom"/>
          </w:tcPr>
          <w:p>
            <w:pPr>
              <w:spacing w:after="0"/>
              <w:rPr>
                <w:sz w:val="18"/>
                <w:szCs w:val="18"/>
                <w:color w:val="auto"/>
              </w:rPr>
            </w:pPr>
          </w:p>
        </w:tc>
        <w:tc>
          <w:tcPr>
            <w:tcW w:w="502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payments scheduled to be paid in fiscal year 2022, which election</w:t>
            </w:r>
          </w:p>
        </w:tc>
        <w:tc>
          <w:tcPr>
            <w:tcW w:w="20" w:type="dxa"/>
            <w:vAlign w:val="bottom"/>
          </w:tcPr>
          <w:p>
            <w:pPr>
              <w:spacing w:after="0"/>
              <w:rPr>
                <w:sz w:val="18"/>
                <w:szCs w:val="18"/>
                <w:color w:val="auto"/>
              </w:rPr>
            </w:pPr>
          </w:p>
        </w:tc>
      </w:tr>
      <w:tr>
        <w:trPr>
          <w:trHeight w:val="216"/>
        </w:trPr>
        <w:tc>
          <w:tcPr>
            <w:tcW w:w="2800" w:type="dxa"/>
            <w:vAlign w:val="bottom"/>
            <w:tcBorders>
              <w:left w:val="single" w:sz="8" w:color="auto"/>
              <w:right w:val="single" w:sz="8" w:color="auto"/>
            </w:tcBorders>
          </w:tcPr>
          <w:p>
            <w:pPr>
              <w:spacing w:after="0"/>
              <w:rPr>
                <w:sz w:val="18"/>
                <w:szCs w:val="18"/>
                <w:color w:val="auto"/>
              </w:rPr>
            </w:pPr>
          </w:p>
        </w:tc>
        <w:tc>
          <w:tcPr>
            <w:tcW w:w="740" w:type="dxa"/>
            <w:vAlign w:val="bottom"/>
          </w:tcPr>
          <w:p>
            <w:pPr>
              <w:spacing w:after="0"/>
              <w:rPr>
                <w:sz w:val="18"/>
                <w:szCs w:val="18"/>
                <w:color w:val="auto"/>
              </w:rPr>
            </w:pPr>
          </w:p>
        </w:tc>
        <w:tc>
          <w:tcPr>
            <w:tcW w:w="5020" w:type="dxa"/>
            <w:vAlign w:val="bottom"/>
            <w:tcBorders>
              <w:right w:val="single" w:sz="8" w:color="auto"/>
            </w:tcBorders>
            <w:gridSpan w:val="4"/>
          </w:tcPr>
          <w:p>
            <w:pPr>
              <w:spacing w:after="0" w:line="216" w:lineRule="exact"/>
              <w:rPr>
                <w:sz w:val="20"/>
                <w:szCs w:val="20"/>
                <w:color w:val="auto"/>
              </w:rPr>
            </w:pPr>
            <w:r>
              <w:rPr>
                <w:rFonts w:ascii="Times New Roman" w:cs="Times New Roman" w:eastAsia="Times New Roman" w:hAnsi="Times New Roman"/>
                <w:sz w:val="17"/>
                <w:szCs w:val="17"/>
                <w:color w:val="auto"/>
              </w:rPr>
              <w:t>must be submitted to the Company no later than the 30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7"/>
                <w:szCs w:val="17"/>
                <w:color w:val="auto"/>
              </w:rPr>
              <w:t xml:space="preserve"> day</w:t>
            </w:r>
          </w:p>
        </w:tc>
        <w:tc>
          <w:tcPr>
            <w:tcW w:w="20" w:type="dxa"/>
            <w:vAlign w:val="bottom"/>
          </w:tcPr>
          <w:p>
            <w:pPr>
              <w:spacing w:after="0"/>
              <w:rPr>
                <w:sz w:val="18"/>
                <w:szCs w:val="18"/>
                <w:color w:val="auto"/>
              </w:rPr>
            </w:pPr>
          </w:p>
        </w:tc>
      </w:tr>
      <w:tr>
        <w:trPr>
          <w:trHeight w:val="216"/>
        </w:trPr>
        <w:tc>
          <w:tcPr>
            <w:tcW w:w="2800" w:type="dxa"/>
            <w:vAlign w:val="bottom"/>
            <w:tcBorders>
              <w:left w:val="single" w:sz="8" w:color="auto"/>
              <w:right w:val="single" w:sz="8" w:color="auto"/>
            </w:tcBorders>
          </w:tcPr>
          <w:p>
            <w:pPr>
              <w:spacing w:after="0"/>
              <w:rPr>
                <w:sz w:val="18"/>
                <w:szCs w:val="18"/>
                <w:color w:val="auto"/>
              </w:rPr>
            </w:pPr>
          </w:p>
        </w:tc>
        <w:tc>
          <w:tcPr>
            <w:tcW w:w="740" w:type="dxa"/>
            <w:vAlign w:val="bottom"/>
          </w:tcPr>
          <w:p>
            <w:pPr>
              <w:spacing w:after="0"/>
              <w:rPr>
                <w:sz w:val="18"/>
                <w:szCs w:val="18"/>
                <w:color w:val="auto"/>
              </w:rPr>
            </w:pPr>
          </w:p>
        </w:tc>
        <w:tc>
          <w:tcPr>
            <w:tcW w:w="502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following the Effective Date, and which election shall become</w:t>
            </w:r>
          </w:p>
        </w:tc>
        <w:tc>
          <w:tcPr>
            <w:tcW w:w="20" w:type="dxa"/>
            <w:vAlign w:val="bottom"/>
          </w:tcPr>
          <w:p>
            <w:pPr>
              <w:spacing w:after="0"/>
              <w:rPr>
                <w:sz w:val="18"/>
                <w:szCs w:val="18"/>
                <w:color w:val="auto"/>
              </w:rPr>
            </w:pPr>
          </w:p>
        </w:tc>
      </w:tr>
      <w:tr>
        <w:trPr>
          <w:trHeight w:val="234"/>
        </w:trPr>
        <w:tc>
          <w:tcPr>
            <w:tcW w:w="2800" w:type="dxa"/>
            <w:vAlign w:val="bottom"/>
            <w:tcBorders>
              <w:left w:val="single" w:sz="8" w:color="auto"/>
              <w:right w:val="single" w:sz="8" w:color="auto"/>
            </w:tcBorders>
          </w:tcPr>
          <w:p>
            <w:pPr>
              <w:spacing w:after="0"/>
              <w:rPr>
                <w:sz w:val="20"/>
                <w:szCs w:val="20"/>
                <w:color w:val="auto"/>
              </w:rPr>
            </w:pPr>
          </w:p>
        </w:tc>
        <w:tc>
          <w:tcPr>
            <w:tcW w:w="740" w:type="dxa"/>
            <w:vAlign w:val="bottom"/>
          </w:tcPr>
          <w:p>
            <w:pPr>
              <w:spacing w:after="0"/>
              <w:rPr>
                <w:sz w:val="20"/>
                <w:szCs w:val="20"/>
                <w:color w:val="auto"/>
              </w:rPr>
            </w:pPr>
          </w:p>
        </w:tc>
        <w:tc>
          <w:tcPr>
            <w:tcW w:w="502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final and irrevocable as of such date.</w:t>
            </w:r>
          </w:p>
        </w:tc>
        <w:tc>
          <w:tcPr>
            <w:tcW w:w="20" w:type="dxa"/>
            <w:vAlign w:val="bottom"/>
          </w:tcPr>
          <w:p>
            <w:pPr>
              <w:spacing w:after="0"/>
              <w:rPr>
                <w:sz w:val="20"/>
                <w:szCs w:val="20"/>
                <w:color w:val="auto"/>
              </w:rPr>
            </w:pPr>
          </w:p>
        </w:tc>
      </w:tr>
      <w:tr>
        <w:trPr>
          <w:trHeight w:val="283"/>
        </w:trPr>
        <w:tc>
          <w:tcPr>
            <w:tcW w:w="2800" w:type="dxa"/>
            <w:vAlign w:val="bottom"/>
            <w:tcBorders>
              <w:left w:val="single" w:sz="8" w:color="auto"/>
              <w:right w:val="single" w:sz="8" w:color="auto"/>
            </w:tcBorders>
          </w:tcPr>
          <w:p>
            <w:pPr>
              <w:spacing w:after="0"/>
              <w:rPr>
                <w:sz w:val="24"/>
                <w:szCs w:val="24"/>
                <w:color w:val="auto"/>
              </w:rPr>
            </w:pPr>
          </w:p>
        </w:tc>
        <w:tc>
          <w:tcPr>
            <w:tcW w:w="7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502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Initial  Election  for  New  Non-Employee  Directors.  Each</w:t>
            </w:r>
          </w:p>
        </w:tc>
        <w:tc>
          <w:tcPr>
            <w:tcW w:w="20" w:type="dxa"/>
            <w:vAlign w:val="bottom"/>
          </w:tcPr>
          <w:p>
            <w:pPr>
              <w:spacing w:after="0"/>
              <w:rPr>
                <w:sz w:val="24"/>
                <w:szCs w:val="24"/>
                <w:color w:val="auto"/>
              </w:rPr>
            </w:pPr>
          </w:p>
        </w:tc>
      </w:tr>
      <w:tr>
        <w:trPr>
          <w:trHeight w:val="20"/>
        </w:trPr>
        <w:tc>
          <w:tcPr>
            <w:tcW w:w="2800" w:type="dxa"/>
            <w:vAlign w:val="bottom"/>
            <w:tcBorders>
              <w:left w:val="single" w:sz="8" w:color="auto"/>
              <w:right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000" w:type="dxa"/>
            <w:vAlign w:val="bottom"/>
            <w:gridSpan w:val="2"/>
            <w:shd w:val="clear" w:color="auto" w:fill="000000"/>
          </w:tcPr>
          <w:p>
            <w:pPr>
              <w:spacing w:after="0" w:line="20" w:lineRule="exact"/>
              <w:rPr>
                <w:sz w:val="1"/>
                <w:szCs w:val="1"/>
                <w:color w:val="auto"/>
              </w:rPr>
            </w:pPr>
          </w:p>
        </w:tc>
        <w:tc>
          <w:tcPr>
            <w:tcW w:w="82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8"/>
        </w:trPr>
        <w:tc>
          <w:tcPr>
            <w:tcW w:w="2800" w:type="dxa"/>
            <w:vAlign w:val="bottom"/>
            <w:tcBorders>
              <w:left w:val="single" w:sz="8" w:color="auto"/>
              <w:right w:val="single" w:sz="8" w:color="auto"/>
            </w:tcBorders>
          </w:tcPr>
          <w:p>
            <w:pPr>
              <w:spacing w:after="0"/>
              <w:rPr>
                <w:sz w:val="18"/>
                <w:szCs w:val="18"/>
                <w:color w:val="auto"/>
              </w:rPr>
            </w:pPr>
          </w:p>
        </w:tc>
        <w:tc>
          <w:tcPr>
            <w:tcW w:w="740" w:type="dxa"/>
            <w:vAlign w:val="bottom"/>
          </w:tcPr>
          <w:p>
            <w:pPr>
              <w:spacing w:after="0"/>
              <w:rPr>
                <w:sz w:val="18"/>
                <w:szCs w:val="18"/>
                <w:color w:val="auto"/>
              </w:rPr>
            </w:pPr>
          </w:p>
        </w:tc>
        <w:tc>
          <w:tcPr>
            <w:tcW w:w="502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individual who first becomes a Non-Employee Director after the</w:t>
            </w:r>
          </w:p>
        </w:tc>
        <w:tc>
          <w:tcPr>
            <w:tcW w:w="20" w:type="dxa"/>
            <w:vAlign w:val="bottom"/>
          </w:tcPr>
          <w:p>
            <w:pPr>
              <w:spacing w:after="0"/>
              <w:rPr>
                <w:sz w:val="18"/>
                <w:szCs w:val="18"/>
                <w:color w:val="auto"/>
              </w:rPr>
            </w:pPr>
          </w:p>
        </w:tc>
      </w:tr>
      <w:tr>
        <w:trPr>
          <w:trHeight w:val="216"/>
        </w:trPr>
        <w:tc>
          <w:tcPr>
            <w:tcW w:w="2800" w:type="dxa"/>
            <w:vAlign w:val="bottom"/>
            <w:tcBorders>
              <w:left w:val="single" w:sz="8" w:color="auto"/>
              <w:right w:val="single" w:sz="8" w:color="auto"/>
            </w:tcBorders>
          </w:tcPr>
          <w:p>
            <w:pPr>
              <w:spacing w:after="0"/>
              <w:rPr>
                <w:sz w:val="18"/>
                <w:szCs w:val="18"/>
                <w:color w:val="auto"/>
              </w:rPr>
            </w:pPr>
          </w:p>
        </w:tc>
        <w:tc>
          <w:tcPr>
            <w:tcW w:w="740" w:type="dxa"/>
            <w:vAlign w:val="bottom"/>
          </w:tcPr>
          <w:p>
            <w:pPr>
              <w:spacing w:after="0"/>
              <w:rPr>
                <w:sz w:val="18"/>
                <w:szCs w:val="18"/>
                <w:color w:val="auto"/>
              </w:rPr>
            </w:pPr>
          </w:p>
        </w:tc>
        <w:tc>
          <w:tcPr>
            <w:tcW w:w="502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Effective Date may make a Retainer RSU Election with respect to</w:t>
            </w:r>
          </w:p>
        </w:tc>
        <w:tc>
          <w:tcPr>
            <w:tcW w:w="20" w:type="dxa"/>
            <w:vAlign w:val="bottom"/>
          </w:tcPr>
          <w:p>
            <w:pPr>
              <w:spacing w:after="0"/>
              <w:rPr>
                <w:sz w:val="18"/>
                <w:szCs w:val="18"/>
                <w:color w:val="auto"/>
              </w:rPr>
            </w:pPr>
          </w:p>
        </w:tc>
      </w:tr>
      <w:tr>
        <w:trPr>
          <w:trHeight w:val="216"/>
        </w:trPr>
        <w:tc>
          <w:tcPr>
            <w:tcW w:w="2800" w:type="dxa"/>
            <w:vAlign w:val="bottom"/>
            <w:tcBorders>
              <w:left w:val="single" w:sz="8" w:color="auto"/>
              <w:right w:val="single" w:sz="8" w:color="auto"/>
            </w:tcBorders>
          </w:tcPr>
          <w:p>
            <w:pPr>
              <w:spacing w:after="0"/>
              <w:rPr>
                <w:sz w:val="18"/>
                <w:szCs w:val="18"/>
                <w:color w:val="auto"/>
              </w:rPr>
            </w:pPr>
          </w:p>
        </w:tc>
        <w:tc>
          <w:tcPr>
            <w:tcW w:w="740" w:type="dxa"/>
            <w:vAlign w:val="bottom"/>
          </w:tcPr>
          <w:p>
            <w:pPr>
              <w:spacing w:after="0"/>
              <w:rPr>
                <w:sz w:val="18"/>
                <w:szCs w:val="18"/>
                <w:color w:val="auto"/>
              </w:rPr>
            </w:pPr>
          </w:p>
        </w:tc>
        <w:tc>
          <w:tcPr>
            <w:tcW w:w="502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annual retainer payments scheduled to be paid in the same fiscal</w:t>
            </w:r>
          </w:p>
        </w:tc>
        <w:tc>
          <w:tcPr>
            <w:tcW w:w="20" w:type="dxa"/>
            <w:vAlign w:val="bottom"/>
          </w:tcPr>
          <w:p>
            <w:pPr>
              <w:spacing w:after="0"/>
              <w:rPr>
                <w:sz w:val="18"/>
                <w:szCs w:val="18"/>
                <w:color w:val="auto"/>
              </w:rPr>
            </w:pPr>
          </w:p>
        </w:tc>
      </w:tr>
      <w:tr>
        <w:trPr>
          <w:trHeight w:val="212"/>
        </w:trPr>
        <w:tc>
          <w:tcPr>
            <w:tcW w:w="2800" w:type="dxa"/>
            <w:vAlign w:val="bottom"/>
            <w:tcBorders>
              <w:left w:val="single" w:sz="8" w:color="auto"/>
              <w:right w:val="single" w:sz="8" w:color="auto"/>
            </w:tcBorders>
          </w:tcPr>
          <w:p>
            <w:pPr>
              <w:spacing w:after="0"/>
              <w:rPr>
                <w:sz w:val="18"/>
                <w:szCs w:val="18"/>
                <w:color w:val="auto"/>
              </w:rPr>
            </w:pPr>
          </w:p>
        </w:tc>
        <w:tc>
          <w:tcPr>
            <w:tcW w:w="740" w:type="dxa"/>
            <w:vAlign w:val="bottom"/>
          </w:tcPr>
          <w:p>
            <w:pPr>
              <w:spacing w:after="0"/>
              <w:rPr>
                <w:sz w:val="18"/>
                <w:szCs w:val="18"/>
                <w:color w:val="auto"/>
              </w:rPr>
            </w:pPr>
          </w:p>
        </w:tc>
        <w:tc>
          <w:tcPr>
            <w:tcW w:w="502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year as such individual first becomes a Non-Employee Director</w:t>
            </w:r>
          </w:p>
        </w:tc>
        <w:tc>
          <w:tcPr>
            <w:tcW w:w="20" w:type="dxa"/>
            <w:vAlign w:val="bottom"/>
          </w:tcPr>
          <w:p>
            <w:pPr>
              <w:spacing w:after="0"/>
              <w:rPr>
                <w:sz w:val="18"/>
                <w:szCs w:val="18"/>
                <w:color w:val="auto"/>
              </w:rPr>
            </w:pPr>
          </w:p>
        </w:tc>
      </w:tr>
      <w:tr>
        <w:trPr>
          <w:trHeight w:val="220"/>
        </w:trPr>
        <w:tc>
          <w:tcPr>
            <w:tcW w:w="2800" w:type="dxa"/>
            <w:vAlign w:val="bottom"/>
            <w:tcBorders>
              <w:left w:val="single" w:sz="8" w:color="auto"/>
              <w:right w:val="single" w:sz="8" w:color="auto"/>
            </w:tcBorders>
          </w:tcPr>
          <w:p>
            <w:pPr>
              <w:spacing w:after="0"/>
              <w:rPr>
                <w:sz w:val="19"/>
                <w:szCs w:val="19"/>
                <w:color w:val="auto"/>
              </w:rPr>
            </w:pPr>
          </w:p>
        </w:tc>
        <w:tc>
          <w:tcPr>
            <w:tcW w:w="740" w:type="dxa"/>
            <w:vAlign w:val="bottom"/>
          </w:tcPr>
          <w:p>
            <w:pPr>
              <w:spacing w:after="0"/>
              <w:rPr>
                <w:sz w:val="19"/>
                <w:szCs w:val="19"/>
                <w:color w:val="auto"/>
              </w:rPr>
            </w:pPr>
          </w:p>
        </w:tc>
        <w:tc>
          <w:tcPr>
            <w:tcW w:w="502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i w:val="1"/>
                <w:iCs w:val="1"/>
                <w:color w:val="auto"/>
              </w:rPr>
              <w:t>Initial Retainer RSU Election</w:t>
            </w:r>
            <w:r>
              <w:rPr>
                <w:rFonts w:ascii="Times New Roman" w:cs="Times New Roman" w:eastAsia="Times New Roman" w:hAnsi="Times New Roman"/>
                <w:sz w:val="18"/>
                <w:szCs w:val="18"/>
                <w:color w:val="auto"/>
              </w:rPr>
              <w:t>”). The Initial Retainer RSU</w:t>
            </w:r>
          </w:p>
        </w:tc>
        <w:tc>
          <w:tcPr>
            <w:tcW w:w="20" w:type="dxa"/>
            <w:vAlign w:val="bottom"/>
          </w:tcPr>
          <w:p>
            <w:pPr>
              <w:spacing w:after="0"/>
              <w:rPr>
                <w:sz w:val="19"/>
                <w:szCs w:val="19"/>
                <w:color w:val="auto"/>
              </w:rPr>
            </w:pPr>
          </w:p>
        </w:tc>
      </w:tr>
      <w:tr>
        <w:trPr>
          <w:trHeight w:val="216"/>
        </w:trPr>
        <w:tc>
          <w:tcPr>
            <w:tcW w:w="2800" w:type="dxa"/>
            <w:vAlign w:val="bottom"/>
            <w:tcBorders>
              <w:left w:val="single" w:sz="8" w:color="auto"/>
              <w:right w:val="single" w:sz="8" w:color="auto"/>
            </w:tcBorders>
          </w:tcPr>
          <w:p>
            <w:pPr>
              <w:spacing w:after="0"/>
              <w:rPr>
                <w:sz w:val="18"/>
                <w:szCs w:val="18"/>
                <w:color w:val="auto"/>
              </w:rPr>
            </w:pPr>
          </w:p>
        </w:tc>
        <w:tc>
          <w:tcPr>
            <w:tcW w:w="740" w:type="dxa"/>
            <w:vAlign w:val="bottom"/>
          </w:tcPr>
          <w:p>
            <w:pPr>
              <w:spacing w:after="0"/>
              <w:rPr>
                <w:sz w:val="18"/>
                <w:szCs w:val="18"/>
                <w:color w:val="auto"/>
              </w:rPr>
            </w:pPr>
          </w:p>
        </w:tc>
        <w:tc>
          <w:tcPr>
            <w:tcW w:w="502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Election must be submitted to the Company on or before the date</w:t>
            </w:r>
          </w:p>
        </w:tc>
        <w:tc>
          <w:tcPr>
            <w:tcW w:w="20" w:type="dxa"/>
            <w:vAlign w:val="bottom"/>
          </w:tcPr>
          <w:p>
            <w:pPr>
              <w:spacing w:after="0"/>
              <w:rPr>
                <w:sz w:val="18"/>
                <w:szCs w:val="18"/>
                <w:color w:val="auto"/>
              </w:rPr>
            </w:pPr>
          </w:p>
        </w:tc>
      </w:tr>
      <w:tr>
        <w:trPr>
          <w:trHeight w:val="212"/>
        </w:trPr>
        <w:tc>
          <w:tcPr>
            <w:tcW w:w="2800" w:type="dxa"/>
            <w:vAlign w:val="bottom"/>
            <w:tcBorders>
              <w:left w:val="single" w:sz="8" w:color="auto"/>
              <w:right w:val="single" w:sz="8" w:color="auto"/>
            </w:tcBorders>
          </w:tcPr>
          <w:p>
            <w:pPr>
              <w:spacing w:after="0"/>
              <w:rPr>
                <w:sz w:val="18"/>
                <w:szCs w:val="18"/>
                <w:color w:val="auto"/>
              </w:rPr>
            </w:pPr>
          </w:p>
        </w:tc>
        <w:tc>
          <w:tcPr>
            <w:tcW w:w="740" w:type="dxa"/>
            <w:vAlign w:val="bottom"/>
          </w:tcPr>
          <w:p>
            <w:pPr>
              <w:spacing w:after="0"/>
              <w:rPr>
                <w:sz w:val="18"/>
                <w:szCs w:val="18"/>
                <w:color w:val="auto"/>
              </w:rPr>
            </w:pPr>
          </w:p>
        </w:tc>
        <w:tc>
          <w:tcPr>
            <w:tcW w:w="502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that the individual first becomes a Non-Employee Director (the</w:t>
            </w:r>
          </w:p>
        </w:tc>
        <w:tc>
          <w:tcPr>
            <w:tcW w:w="20" w:type="dxa"/>
            <w:vAlign w:val="bottom"/>
          </w:tcPr>
          <w:p>
            <w:pPr>
              <w:spacing w:after="0"/>
              <w:rPr>
                <w:sz w:val="18"/>
                <w:szCs w:val="18"/>
                <w:color w:val="auto"/>
              </w:rPr>
            </w:pPr>
          </w:p>
        </w:tc>
      </w:tr>
      <w:tr>
        <w:trPr>
          <w:trHeight w:val="220"/>
        </w:trPr>
        <w:tc>
          <w:tcPr>
            <w:tcW w:w="2800" w:type="dxa"/>
            <w:vAlign w:val="bottom"/>
            <w:tcBorders>
              <w:left w:val="single" w:sz="8" w:color="auto"/>
              <w:right w:val="single" w:sz="8" w:color="auto"/>
            </w:tcBorders>
          </w:tcPr>
          <w:p>
            <w:pPr>
              <w:spacing w:after="0"/>
              <w:rPr>
                <w:sz w:val="19"/>
                <w:szCs w:val="19"/>
                <w:color w:val="auto"/>
              </w:rPr>
            </w:pPr>
          </w:p>
        </w:tc>
        <w:tc>
          <w:tcPr>
            <w:tcW w:w="740" w:type="dxa"/>
            <w:vAlign w:val="bottom"/>
          </w:tcPr>
          <w:p>
            <w:pPr>
              <w:spacing w:after="0"/>
              <w:rPr>
                <w:sz w:val="19"/>
                <w:szCs w:val="19"/>
                <w:color w:val="auto"/>
              </w:rPr>
            </w:pPr>
          </w:p>
        </w:tc>
        <w:tc>
          <w:tcPr>
            <w:tcW w:w="502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Initial  Election  Deadline</w:t>
            </w:r>
            <w:r>
              <w:rPr>
                <w:rFonts w:ascii="Times New Roman" w:cs="Times New Roman" w:eastAsia="Times New Roman" w:hAnsi="Times New Roman"/>
                <w:sz w:val="18"/>
                <w:szCs w:val="18"/>
                <w:color w:val="auto"/>
              </w:rPr>
              <w:t>”),  and  the  Initial  Retainer  RSU</w:t>
            </w:r>
          </w:p>
        </w:tc>
        <w:tc>
          <w:tcPr>
            <w:tcW w:w="20" w:type="dxa"/>
            <w:vAlign w:val="bottom"/>
          </w:tcPr>
          <w:p>
            <w:pPr>
              <w:spacing w:after="0"/>
              <w:rPr>
                <w:sz w:val="19"/>
                <w:szCs w:val="19"/>
                <w:color w:val="auto"/>
              </w:rPr>
            </w:pPr>
          </w:p>
        </w:tc>
      </w:tr>
      <w:tr>
        <w:trPr>
          <w:trHeight w:val="216"/>
        </w:trPr>
        <w:tc>
          <w:tcPr>
            <w:tcW w:w="2800" w:type="dxa"/>
            <w:vAlign w:val="bottom"/>
            <w:tcBorders>
              <w:left w:val="single" w:sz="8" w:color="auto"/>
              <w:right w:val="single" w:sz="8" w:color="auto"/>
            </w:tcBorders>
          </w:tcPr>
          <w:p>
            <w:pPr>
              <w:spacing w:after="0"/>
              <w:rPr>
                <w:sz w:val="18"/>
                <w:szCs w:val="18"/>
                <w:color w:val="auto"/>
              </w:rPr>
            </w:pPr>
          </w:p>
        </w:tc>
        <w:tc>
          <w:tcPr>
            <w:tcW w:w="740" w:type="dxa"/>
            <w:vAlign w:val="bottom"/>
          </w:tcPr>
          <w:p>
            <w:pPr>
              <w:spacing w:after="0"/>
              <w:rPr>
                <w:sz w:val="18"/>
                <w:szCs w:val="18"/>
                <w:color w:val="auto"/>
              </w:rPr>
            </w:pPr>
          </w:p>
        </w:tc>
        <w:tc>
          <w:tcPr>
            <w:tcW w:w="502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Election shall become final and irrevocable as of the Initial</w:t>
            </w:r>
          </w:p>
        </w:tc>
        <w:tc>
          <w:tcPr>
            <w:tcW w:w="20" w:type="dxa"/>
            <w:vAlign w:val="bottom"/>
          </w:tcPr>
          <w:p>
            <w:pPr>
              <w:spacing w:after="0"/>
              <w:rPr>
                <w:sz w:val="18"/>
                <w:szCs w:val="18"/>
                <w:color w:val="auto"/>
              </w:rPr>
            </w:pPr>
          </w:p>
        </w:tc>
      </w:tr>
      <w:tr>
        <w:trPr>
          <w:trHeight w:val="234"/>
        </w:trPr>
        <w:tc>
          <w:tcPr>
            <w:tcW w:w="2800" w:type="dxa"/>
            <w:vAlign w:val="bottom"/>
            <w:tcBorders>
              <w:left w:val="single" w:sz="8" w:color="auto"/>
              <w:right w:val="single" w:sz="8" w:color="auto"/>
            </w:tcBorders>
          </w:tcPr>
          <w:p>
            <w:pPr>
              <w:spacing w:after="0"/>
              <w:rPr>
                <w:sz w:val="20"/>
                <w:szCs w:val="20"/>
                <w:color w:val="auto"/>
              </w:rPr>
            </w:pPr>
          </w:p>
        </w:tc>
        <w:tc>
          <w:tcPr>
            <w:tcW w:w="740" w:type="dxa"/>
            <w:vAlign w:val="bottom"/>
          </w:tcPr>
          <w:p>
            <w:pPr>
              <w:spacing w:after="0"/>
              <w:rPr>
                <w:sz w:val="20"/>
                <w:szCs w:val="20"/>
                <w:color w:val="auto"/>
              </w:rPr>
            </w:pPr>
          </w:p>
        </w:tc>
        <w:tc>
          <w:tcPr>
            <w:tcW w:w="502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Election Deadline.</w:t>
            </w:r>
          </w:p>
        </w:tc>
        <w:tc>
          <w:tcPr>
            <w:tcW w:w="20" w:type="dxa"/>
            <w:vAlign w:val="bottom"/>
          </w:tcPr>
          <w:p>
            <w:pPr>
              <w:spacing w:after="0"/>
              <w:rPr>
                <w:sz w:val="20"/>
                <w:szCs w:val="20"/>
                <w:color w:val="auto"/>
              </w:rPr>
            </w:pPr>
          </w:p>
        </w:tc>
      </w:tr>
      <w:tr>
        <w:trPr>
          <w:trHeight w:val="297"/>
        </w:trPr>
        <w:tc>
          <w:tcPr>
            <w:tcW w:w="2800" w:type="dxa"/>
            <w:vAlign w:val="bottom"/>
            <w:tcBorders>
              <w:left w:val="single" w:sz="8" w:color="auto"/>
              <w:right w:val="single" w:sz="8" w:color="auto"/>
            </w:tcBorders>
          </w:tcPr>
          <w:p>
            <w:pPr>
              <w:spacing w:after="0"/>
              <w:rPr>
                <w:sz w:val="24"/>
                <w:szCs w:val="24"/>
                <w:color w:val="auto"/>
              </w:rPr>
            </w:pPr>
          </w:p>
        </w:tc>
        <w:tc>
          <w:tcPr>
            <w:tcW w:w="7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502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Annual Election. No later than December 31 of each calendar</w:t>
            </w:r>
          </w:p>
        </w:tc>
        <w:tc>
          <w:tcPr>
            <w:tcW w:w="20" w:type="dxa"/>
            <w:vAlign w:val="bottom"/>
          </w:tcPr>
          <w:p>
            <w:pPr>
              <w:spacing w:after="0"/>
              <w:rPr>
                <w:sz w:val="24"/>
                <w:szCs w:val="24"/>
                <w:color w:val="auto"/>
              </w:rPr>
            </w:pPr>
          </w:p>
        </w:tc>
      </w:tr>
      <w:tr>
        <w:trPr>
          <w:trHeight w:val="20"/>
        </w:trPr>
        <w:tc>
          <w:tcPr>
            <w:tcW w:w="2800" w:type="dxa"/>
            <w:vAlign w:val="bottom"/>
            <w:tcBorders>
              <w:left w:val="single" w:sz="8" w:color="auto"/>
              <w:right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820" w:type="dxa"/>
            <w:vAlign w:val="bottom"/>
            <w:tcBorders>
              <w:right w:val="single" w:sz="8" w:color="auto"/>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4"/>
        </w:trPr>
        <w:tc>
          <w:tcPr>
            <w:tcW w:w="2800" w:type="dxa"/>
            <w:vAlign w:val="bottom"/>
            <w:tcBorders>
              <w:left w:val="single" w:sz="8" w:color="auto"/>
              <w:right w:val="single" w:sz="8" w:color="auto"/>
            </w:tcBorders>
          </w:tcPr>
          <w:p>
            <w:pPr>
              <w:spacing w:after="0"/>
              <w:rPr>
                <w:sz w:val="18"/>
                <w:szCs w:val="18"/>
                <w:color w:val="auto"/>
              </w:rPr>
            </w:pPr>
          </w:p>
        </w:tc>
        <w:tc>
          <w:tcPr>
            <w:tcW w:w="740" w:type="dxa"/>
            <w:vAlign w:val="bottom"/>
          </w:tcPr>
          <w:p>
            <w:pPr>
              <w:spacing w:after="0"/>
              <w:rPr>
                <w:sz w:val="18"/>
                <w:szCs w:val="18"/>
                <w:color w:val="auto"/>
              </w:rPr>
            </w:pPr>
          </w:p>
        </w:tc>
        <w:tc>
          <w:tcPr>
            <w:tcW w:w="502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year, or such earlier deadline as may be established by the Board</w:t>
            </w:r>
          </w:p>
        </w:tc>
        <w:tc>
          <w:tcPr>
            <w:tcW w:w="20" w:type="dxa"/>
            <w:vAlign w:val="bottom"/>
          </w:tcPr>
          <w:p>
            <w:pPr>
              <w:spacing w:after="0"/>
              <w:rPr>
                <w:sz w:val="18"/>
                <w:szCs w:val="18"/>
                <w:color w:val="auto"/>
              </w:rPr>
            </w:pPr>
          </w:p>
        </w:tc>
      </w:tr>
      <w:tr>
        <w:trPr>
          <w:trHeight w:val="216"/>
        </w:trPr>
        <w:tc>
          <w:tcPr>
            <w:tcW w:w="2800" w:type="dxa"/>
            <w:vAlign w:val="bottom"/>
            <w:tcBorders>
              <w:left w:val="single" w:sz="8" w:color="auto"/>
              <w:right w:val="single" w:sz="8" w:color="auto"/>
            </w:tcBorders>
          </w:tcPr>
          <w:p>
            <w:pPr>
              <w:spacing w:after="0"/>
              <w:rPr>
                <w:sz w:val="18"/>
                <w:szCs w:val="18"/>
                <w:color w:val="auto"/>
              </w:rPr>
            </w:pPr>
          </w:p>
        </w:tc>
        <w:tc>
          <w:tcPr>
            <w:tcW w:w="740" w:type="dxa"/>
            <w:vAlign w:val="bottom"/>
          </w:tcPr>
          <w:p>
            <w:pPr>
              <w:spacing w:after="0"/>
              <w:rPr>
                <w:sz w:val="18"/>
                <w:szCs w:val="18"/>
                <w:color w:val="auto"/>
              </w:rPr>
            </w:pPr>
          </w:p>
        </w:tc>
        <w:tc>
          <w:tcPr>
            <w:tcW w:w="502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or the Compensation Committee, in its discretion (the “</w:t>
            </w:r>
            <w:r>
              <w:rPr>
                <w:rFonts w:ascii="Times New Roman" w:cs="Times New Roman" w:eastAsia="Times New Roman" w:hAnsi="Times New Roman"/>
                <w:sz w:val="18"/>
                <w:szCs w:val="18"/>
                <w:b w:val="1"/>
                <w:bCs w:val="1"/>
                <w:i w:val="1"/>
                <w:iCs w:val="1"/>
                <w:color w:val="auto"/>
              </w:rPr>
              <w:t>Annual</w:t>
            </w:r>
          </w:p>
        </w:tc>
        <w:tc>
          <w:tcPr>
            <w:tcW w:w="20" w:type="dxa"/>
            <w:vAlign w:val="bottom"/>
          </w:tcPr>
          <w:p>
            <w:pPr>
              <w:spacing w:after="0"/>
              <w:rPr>
                <w:sz w:val="18"/>
                <w:szCs w:val="18"/>
                <w:color w:val="auto"/>
              </w:rPr>
            </w:pPr>
          </w:p>
        </w:tc>
      </w:tr>
      <w:tr>
        <w:trPr>
          <w:trHeight w:val="220"/>
        </w:trPr>
        <w:tc>
          <w:tcPr>
            <w:tcW w:w="2800" w:type="dxa"/>
            <w:vAlign w:val="bottom"/>
            <w:tcBorders>
              <w:left w:val="single" w:sz="8" w:color="auto"/>
              <w:right w:val="single" w:sz="8" w:color="auto"/>
            </w:tcBorders>
          </w:tcPr>
          <w:p>
            <w:pPr>
              <w:spacing w:after="0"/>
              <w:rPr>
                <w:sz w:val="19"/>
                <w:szCs w:val="19"/>
                <w:color w:val="auto"/>
              </w:rPr>
            </w:pPr>
          </w:p>
        </w:tc>
        <w:tc>
          <w:tcPr>
            <w:tcW w:w="740" w:type="dxa"/>
            <w:vAlign w:val="bottom"/>
          </w:tcPr>
          <w:p>
            <w:pPr>
              <w:spacing w:after="0"/>
              <w:rPr>
                <w:sz w:val="19"/>
                <w:szCs w:val="19"/>
                <w:color w:val="auto"/>
              </w:rPr>
            </w:pPr>
          </w:p>
        </w:tc>
        <w:tc>
          <w:tcPr>
            <w:tcW w:w="502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b w:val="1"/>
                <w:bCs w:val="1"/>
                <w:i w:val="1"/>
                <w:iCs w:val="1"/>
                <w:color w:val="auto"/>
              </w:rPr>
              <w:t>Election Deadline</w:t>
            </w:r>
            <w:r>
              <w:rPr>
                <w:rFonts w:ascii="Times New Roman" w:cs="Times New Roman" w:eastAsia="Times New Roman" w:hAnsi="Times New Roman"/>
                <w:sz w:val="18"/>
                <w:szCs w:val="18"/>
                <w:color w:val="auto"/>
              </w:rPr>
              <w:t>”), each individual who is a Non-Employee</w:t>
            </w:r>
          </w:p>
        </w:tc>
        <w:tc>
          <w:tcPr>
            <w:tcW w:w="20" w:type="dxa"/>
            <w:vAlign w:val="bottom"/>
          </w:tcPr>
          <w:p>
            <w:pPr>
              <w:spacing w:after="0"/>
              <w:rPr>
                <w:sz w:val="19"/>
                <w:szCs w:val="19"/>
                <w:color w:val="auto"/>
              </w:rPr>
            </w:pPr>
          </w:p>
        </w:tc>
      </w:tr>
      <w:tr>
        <w:trPr>
          <w:trHeight w:val="216"/>
        </w:trPr>
        <w:tc>
          <w:tcPr>
            <w:tcW w:w="2800" w:type="dxa"/>
            <w:vAlign w:val="bottom"/>
            <w:tcBorders>
              <w:left w:val="single" w:sz="8" w:color="auto"/>
              <w:right w:val="single" w:sz="8" w:color="auto"/>
            </w:tcBorders>
          </w:tcPr>
          <w:p>
            <w:pPr>
              <w:spacing w:after="0"/>
              <w:rPr>
                <w:sz w:val="18"/>
                <w:szCs w:val="18"/>
                <w:color w:val="auto"/>
              </w:rPr>
            </w:pPr>
          </w:p>
        </w:tc>
        <w:tc>
          <w:tcPr>
            <w:tcW w:w="740" w:type="dxa"/>
            <w:vAlign w:val="bottom"/>
          </w:tcPr>
          <w:p>
            <w:pPr>
              <w:spacing w:after="0"/>
              <w:rPr>
                <w:sz w:val="18"/>
                <w:szCs w:val="18"/>
                <w:color w:val="auto"/>
              </w:rPr>
            </w:pPr>
          </w:p>
        </w:tc>
        <w:tc>
          <w:tcPr>
            <w:tcW w:w="502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Director as of immediately before the Annual Election Deadline</w:t>
            </w:r>
          </w:p>
        </w:tc>
        <w:tc>
          <w:tcPr>
            <w:tcW w:w="20" w:type="dxa"/>
            <w:vAlign w:val="bottom"/>
          </w:tcPr>
          <w:p>
            <w:pPr>
              <w:spacing w:after="0"/>
              <w:rPr>
                <w:sz w:val="18"/>
                <w:szCs w:val="18"/>
                <w:color w:val="auto"/>
              </w:rPr>
            </w:pPr>
          </w:p>
        </w:tc>
      </w:tr>
      <w:tr>
        <w:trPr>
          <w:trHeight w:val="216"/>
        </w:trPr>
        <w:tc>
          <w:tcPr>
            <w:tcW w:w="2800" w:type="dxa"/>
            <w:vAlign w:val="bottom"/>
            <w:tcBorders>
              <w:left w:val="single" w:sz="8" w:color="auto"/>
              <w:right w:val="single" w:sz="8" w:color="auto"/>
            </w:tcBorders>
          </w:tcPr>
          <w:p>
            <w:pPr>
              <w:spacing w:after="0"/>
              <w:rPr>
                <w:sz w:val="18"/>
                <w:szCs w:val="18"/>
                <w:color w:val="auto"/>
              </w:rPr>
            </w:pPr>
          </w:p>
        </w:tc>
        <w:tc>
          <w:tcPr>
            <w:tcW w:w="740" w:type="dxa"/>
            <w:vAlign w:val="bottom"/>
          </w:tcPr>
          <w:p>
            <w:pPr>
              <w:spacing w:after="0"/>
              <w:rPr>
                <w:sz w:val="18"/>
                <w:szCs w:val="18"/>
                <w:color w:val="auto"/>
              </w:rPr>
            </w:pPr>
          </w:p>
        </w:tc>
        <w:tc>
          <w:tcPr>
            <w:tcW w:w="502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may make a Retainer RSU Election with respect to the annual</w:t>
            </w:r>
          </w:p>
        </w:tc>
        <w:tc>
          <w:tcPr>
            <w:tcW w:w="20" w:type="dxa"/>
            <w:vAlign w:val="bottom"/>
          </w:tcPr>
          <w:p>
            <w:pPr>
              <w:spacing w:after="0"/>
              <w:rPr>
                <w:sz w:val="18"/>
                <w:szCs w:val="18"/>
                <w:color w:val="auto"/>
              </w:rPr>
            </w:pPr>
          </w:p>
        </w:tc>
      </w:tr>
      <w:tr>
        <w:trPr>
          <w:trHeight w:val="212"/>
        </w:trPr>
        <w:tc>
          <w:tcPr>
            <w:tcW w:w="2800" w:type="dxa"/>
            <w:vAlign w:val="bottom"/>
            <w:tcBorders>
              <w:left w:val="single" w:sz="8" w:color="auto"/>
              <w:right w:val="single" w:sz="8" w:color="auto"/>
            </w:tcBorders>
          </w:tcPr>
          <w:p>
            <w:pPr>
              <w:spacing w:after="0"/>
              <w:rPr>
                <w:sz w:val="18"/>
                <w:szCs w:val="18"/>
                <w:color w:val="auto"/>
              </w:rPr>
            </w:pPr>
          </w:p>
        </w:tc>
        <w:tc>
          <w:tcPr>
            <w:tcW w:w="740" w:type="dxa"/>
            <w:vAlign w:val="bottom"/>
          </w:tcPr>
          <w:p>
            <w:pPr>
              <w:spacing w:after="0"/>
              <w:rPr>
                <w:sz w:val="18"/>
                <w:szCs w:val="18"/>
                <w:color w:val="auto"/>
              </w:rPr>
            </w:pPr>
          </w:p>
        </w:tc>
        <w:tc>
          <w:tcPr>
            <w:tcW w:w="502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retainer relating to services to be performed in the following</w:t>
            </w:r>
          </w:p>
        </w:tc>
        <w:tc>
          <w:tcPr>
            <w:tcW w:w="20" w:type="dxa"/>
            <w:vAlign w:val="bottom"/>
          </w:tcPr>
          <w:p>
            <w:pPr>
              <w:spacing w:after="0"/>
              <w:rPr>
                <w:sz w:val="18"/>
                <w:szCs w:val="18"/>
                <w:color w:val="auto"/>
              </w:rPr>
            </w:pPr>
          </w:p>
        </w:tc>
      </w:tr>
      <w:tr>
        <w:trPr>
          <w:trHeight w:val="220"/>
        </w:trPr>
        <w:tc>
          <w:tcPr>
            <w:tcW w:w="2800" w:type="dxa"/>
            <w:vAlign w:val="bottom"/>
            <w:tcBorders>
              <w:left w:val="single" w:sz="8" w:color="auto"/>
              <w:right w:val="single" w:sz="8" w:color="auto"/>
            </w:tcBorders>
          </w:tcPr>
          <w:p>
            <w:pPr>
              <w:spacing w:after="0"/>
              <w:rPr>
                <w:sz w:val="19"/>
                <w:szCs w:val="19"/>
                <w:color w:val="auto"/>
              </w:rPr>
            </w:pPr>
          </w:p>
        </w:tc>
        <w:tc>
          <w:tcPr>
            <w:tcW w:w="740" w:type="dxa"/>
            <w:vAlign w:val="bottom"/>
          </w:tcPr>
          <w:p>
            <w:pPr>
              <w:spacing w:after="0"/>
              <w:rPr>
                <w:sz w:val="19"/>
                <w:szCs w:val="19"/>
                <w:color w:val="auto"/>
              </w:rPr>
            </w:pPr>
          </w:p>
        </w:tc>
        <w:tc>
          <w:tcPr>
            <w:tcW w:w="502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fiscal year (the “</w:t>
            </w:r>
            <w:r>
              <w:rPr>
                <w:rFonts w:ascii="Times New Roman" w:cs="Times New Roman" w:eastAsia="Times New Roman" w:hAnsi="Times New Roman"/>
                <w:sz w:val="18"/>
                <w:szCs w:val="18"/>
                <w:b w:val="1"/>
                <w:bCs w:val="1"/>
                <w:i w:val="1"/>
                <w:iCs w:val="1"/>
                <w:color w:val="auto"/>
              </w:rPr>
              <w:t>Annual Retainer RSU Election</w:t>
            </w:r>
            <w:r>
              <w:rPr>
                <w:rFonts w:ascii="Times New Roman" w:cs="Times New Roman" w:eastAsia="Times New Roman" w:hAnsi="Times New Roman"/>
                <w:sz w:val="18"/>
                <w:szCs w:val="18"/>
                <w:color w:val="auto"/>
              </w:rPr>
              <w:t>”). The Annual</w:t>
            </w:r>
          </w:p>
        </w:tc>
        <w:tc>
          <w:tcPr>
            <w:tcW w:w="20" w:type="dxa"/>
            <w:vAlign w:val="bottom"/>
          </w:tcPr>
          <w:p>
            <w:pPr>
              <w:spacing w:after="0"/>
              <w:rPr>
                <w:sz w:val="19"/>
                <w:szCs w:val="19"/>
                <w:color w:val="auto"/>
              </w:rPr>
            </w:pPr>
          </w:p>
        </w:tc>
      </w:tr>
      <w:tr>
        <w:trPr>
          <w:trHeight w:val="216"/>
        </w:trPr>
        <w:tc>
          <w:tcPr>
            <w:tcW w:w="2800" w:type="dxa"/>
            <w:vAlign w:val="bottom"/>
            <w:tcBorders>
              <w:left w:val="single" w:sz="8" w:color="auto"/>
              <w:right w:val="single" w:sz="8" w:color="auto"/>
            </w:tcBorders>
          </w:tcPr>
          <w:p>
            <w:pPr>
              <w:spacing w:after="0"/>
              <w:rPr>
                <w:sz w:val="18"/>
                <w:szCs w:val="18"/>
                <w:color w:val="auto"/>
              </w:rPr>
            </w:pPr>
          </w:p>
        </w:tc>
        <w:tc>
          <w:tcPr>
            <w:tcW w:w="740" w:type="dxa"/>
            <w:vAlign w:val="bottom"/>
          </w:tcPr>
          <w:p>
            <w:pPr>
              <w:spacing w:after="0"/>
              <w:rPr>
                <w:sz w:val="18"/>
                <w:szCs w:val="18"/>
                <w:color w:val="auto"/>
              </w:rPr>
            </w:pPr>
          </w:p>
        </w:tc>
        <w:tc>
          <w:tcPr>
            <w:tcW w:w="502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Retainer RSU Election must be submitted to the Company on or</w:t>
            </w:r>
          </w:p>
        </w:tc>
        <w:tc>
          <w:tcPr>
            <w:tcW w:w="20" w:type="dxa"/>
            <w:vAlign w:val="bottom"/>
          </w:tcPr>
          <w:p>
            <w:pPr>
              <w:spacing w:after="0"/>
              <w:rPr>
                <w:sz w:val="18"/>
                <w:szCs w:val="18"/>
                <w:color w:val="auto"/>
              </w:rPr>
            </w:pPr>
          </w:p>
        </w:tc>
      </w:tr>
      <w:tr>
        <w:trPr>
          <w:trHeight w:val="216"/>
        </w:trPr>
        <w:tc>
          <w:tcPr>
            <w:tcW w:w="2800" w:type="dxa"/>
            <w:vAlign w:val="bottom"/>
            <w:tcBorders>
              <w:left w:val="single" w:sz="8" w:color="auto"/>
              <w:right w:val="single" w:sz="8" w:color="auto"/>
            </w:tcBorders>
          </w:tcPr>
          <w:p>
            <w:pPr>
              <w:spacing w:after="0"/>
              <w:rPr>
                <w:sz w:val="18"/>
                <w:szCs w:val="18"/>
                <w:color w:val="auto"/>
              </w:rPr>
            </w:pPr>
          </w:p>
        </w:tc>
        <w:tc>
          <w:tcPr>
            <w:tcW w:w="740" w:type="dxa"/>
            <w:vAlign w:val="bottom"/>
          </w:tcPr>
          <w:p>
            <w:pPr>
              <w:spacing w:after="0"/>
              <w:rPr>
                <w:sz w:val="18"/>
                <w:szCs w:val="18"/>
                <w:color w:val="auto"/>
              </w:rPr>
            </w:pPr>
          </w:p>
        </w:tc>
        <w:tc>
          <w:tcPr>
            <w:tcW w:w="502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before the applicable Annual Election Deadline and shall become</w:t>
            </w:r>
          </w:p>
        </w:tc>
        <w:tc>
          <w:tcPr>
            <w:tcW w:w="20" w:type="dxa"/>
            <w:vAlign w:val="bottom"/>
          </w:tcPr>
          <w:p>
            <w:pPr>
              <w:spacing w:after="0"/>
              <w:rPr>
                <w:sz w:val="18"/>
                <w:szCs w:val="18"/>
                <w:color w:val="auto"/>
              </w:rPr>
            </w:pPr>
          </w:p>
        </w:tc>
      </w:tr>
      <w:tr>
        <w:trPr>
          <w:trHeight w:val="234"/>
        </w:trPr>
        <w:tc>
          <w:tcPr>
            <w:tcW w:w="2800" w:type="dxa"/>
            <w:vAlign w:val="bottom"/>
            <w:tcBorders>
              <w:left w:val="single" w:sz="8" w:color="auto"/>
              <w:right w:val="single" w:sz="8" w:color="auto"/>
            </w:tcBorders>
          </w:tcPr>
          <w:p>
            <w:pPr>
              <w:spacing w:after="0"/>
              <w:rPr>
                <w:sz w:val="20"/>
                <w:szCs w:val="20"/>
                <w:color w:val="auto"/>
              </w:rPr>
            </w:pPr>
          </w:p>
        </w:tc>
        <w:tc>
          <w:tcPr>
            <w:tcW w:w="740" w:type="dxa"/>
            <w:vAlign w:val="bottom"/>
          </w:tcPr>
          <w:p>
            <w:pPr>
              <w:spacing w:after="0"/>
              <w:rPr>
                <w:sz w:val="20"/>
                <w:szCs w:val="20"/>
                <w:color w:val="auto"/>
              </w:rPr>
            </w:pPr>
          </w:p>
        </w:tc>
        <w:tc>
          <w:tcPr>
            <w:tcW w:w="502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effective and irrevocable as of the Annual</w:t>
            </w:r>
          </w:p>
        </w:tc>
        <w:tc>
          <w:tcPr>
            <w:tcW w:w="20" w:type="dxa"/>
            <w:vAlign w:val="bottom"/>
          </w:tcPr>
          <w:p>
            <w:pPr>
              <w:spacing w:after="0"/>
              <w:rPr>
                <w:sz w:val="20"/>
                <w:szCs w:val="20"/>
                <w:color w:val="auto"/>
              </w:rPr>
            </w:pPr>
          </w:p>
        </w:tc>
      </w:tr>
      <w:tr>
        <w:trPr>
          <w:trHeight w:val="27"/>
        </w:trPr>
        <w:tc>
          <w:tcPr>
            <w:tcW w:w="2800" w:type="dxa"/>
            <w:vAlign w:val="bottom"/>
            <w:tcBorders>
              <w:left w:val="single" w:sz="8" w:color="auto"/>
              <w:bottom w:val="single" w:sz="8" w:color="auto"/>
              <w:right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641"/>
        </w:trPr>
        <w:tc>
          <w:tcPr>
            <w:tcW w:w="2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4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Page 2 of 5</w:t>
            </w:r>
          </w:p>
        </w:tc>
      </w:tr>
      <w:tr>
        <w:trPr>
          <w:trHeight w:val="560"/>
        </w:trPr>
        <w:tc>
          <w:tcPr>
            <w:tcW w:w="28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0" w:right="1440" w:bottom="1440" w:gutter="0" w:footer="0" w:header="0"/>
        </w:sectPr>
      </w:pPr>
    </w:p>
    <w:bookmarkStart w:id="132" w:name="page133"/>
    <w:bookmarkEnd w:id="132"/>
    <w:p>
      <w:pPr>
        <w:jc w:val="center"/>
        <w:ind w:left="26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1048385</wp:posOffset>
            </wp:positionH>
            <wp:positionV relativeFrom="page">
              <wp:posOffset>88900</wp:posOffset>
            </wp:positionV>
            <wp:extent cx="5443220" cy="5486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00">
                      <a:extLst>
                        <a:ext uri="{28A0092B-C50C-407E-A947-70E740481C1C}"/>
                      </a:extLst>
                    </a:blip>
                    <a:srcRect/>
                    <a:stretch>
                      <a:fillRect/>
                    </a:stretch>
                  </pic:blipFill>
                  <pic:spPr bwMode="auto">
                    <a:xfrm>
                      <a:off x="0" y="0"/>
                      <a:ext cx="5443220" cy="548640"/>
                    </a:xfrm>
                    <a:prstGeom prst="rect">
                      <a:avLst/>
                    </a:prstGeom>
                    <a:noFill/>
                  </pic:spPr>
                </pic:pic>
              </a:graphicData>
            </a:graphic>
          </wp:anchor>
        </w:drawing>
        <w:t>Election Deadline.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Equity Compensation</w:t>
      </w:r>
    </w:p>
    <w:p>
      <w:pPr>
        <w:spacing w:after="0" w:line="227" w:lineRule="exact"/>
        <w:rPr>
          <w:sz w:val="20"/>
          <w:szCs w:val="20"/>
          <w:color w:val="auto"/>
        </w:rPr>
      </w:pPr>
    </w:p>
    <w:tbl>
      <w:tblPr>
        <w:tblLayout w:type="fixed"/>
        <w:tblInd w:w="230" w:type="dxa"/>
        <w:tblCellMar>
          <w:top w:w="0" w:type="dxa"/>
          <w:left w:w="0" w:type="dxa"/>
          <w:bottom w:w="0" w:type="dxa"/>
          <w:right w:w="0" w:type="dxa"/>
        </w:tblCellMar>
      </w:tblPr>
      <w:tr>
        <w:trPr>
          <w:trHeight w:val="238"/>
        </w:trPr>
        <w:tc>
          <w:tcPr>
            <w:tcW w:w="2800" w:type="dxa"/>
            <w:vAlign w:val="bottom"/>
            <w:tcBorders>
              <w:top w:val="single" w:sz="8" w:color="auto"/>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Initial RSU Award:</w:t>
            </w:r>
          </w:p>
        </w:tc>
        <w:tc>
          <w:tcPr>
            <w:tcW w:w="576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Each Non-Employee Director who is initially elected or appointed to serve</w:t>
            </w:r>
          </w:p>
        </w:tc>
      </w:tr>
      <w:tr>
        <w:trPr>
          <w:trHeight w:val="216"/>
        </w:trPr>
        <w:tc>
          <w:tcPr>
            <w:tcW w:w="2800" w:type="dxa"/>
            <w:vAlign w:val="bottom"/>
            <w:tcBorders>
              <w:left w:val="single" w:sz="8" w:color="auto"/>
              <w:right w:val="single" w:sz="8" w:color="auto"/>
            </w:tcBorders>
          </w:tcPr>
          <w:p>
            <w:pPr>
              <w:spacing w:after="0"/>
              <w:rPr>
                <w:sz w:val="18"/>
                <w:szCs w:val="18"/>
                <w:color w:val="auto"/>
              </w:rPr>
            </w:pPr>
          </w:p>
        </w:tc>
        <w:tc>
          <w:tcPr>
            <w:tcW w:w="57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on the Board on or after the Effective Date shall be granted an award of</w:t>
            </w:r>
          </w:p>
        </w:tc>
      </w:tr>
      <w:tr>
        <w:trPr>
          <w:trHeight w:val="216"/>
        </w:trPr>
        <w:tc>
          <w:tcPr>
            <w:tcW w:w="2800" w:type="dxa"/>
            <w:vAlign w:val="bottom"/>
            <w:tcBorders>
              <w:left w:val="single" w:sz="8" w:color="auto"/>
              <w:right w:val="single" w:sz="8" w:color="auto"/>
            </w:tcBorders>
          </w:tcPr>
          <w:p>
            <w:pPr>
              <w:spacing w:after="0"/>
              <w:rPr>
                <w:sz w:val="18"/>
                <w:szCs w:val="18"/>
                <w:color w:val="auto"/>
              </w:rPr>
            </w:pPr>
          </w:p>
        </w:tc>
        <w:tc>
          <w:tcPr>
            <w:tcW w:w="57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RSUs under the Plan, or any other applicable Company equity incentive plan</w:t>
            </w:r>
          </w:p>
        </w:tc>
      </w:tr>
      <w:tr>
        <w:trPr>
          <w:trHeight w:val="216"/>
        </w:trPr>
        <w:tc>
          <w:tcPr>
            <w:tcW w:w="2800" w:type="dxa"/>
            <w:vAlign w:val="bottom"/>
            <w:tcBorders>
              <w:left w:val="single" w:sz="8" w:color="auto"/>
              <w:right w:val="single" w:sz="8" w:color="auto"/>
            </w:tcBorders>
          </w:tcPr>
          <w:p>
            <w:pPr>
              <w:spacing w:after="0"/>
              <w:rPr>
                <w:sz w:val="18"/>
                <w:szCs w:val="18"/>
                <w:color w:val="auto"/>
              </w:rPr>
            </w:pPr>
          </w:p>
        </w:tc>
        <w:tc>
          <w:tcPr>
            <w:tcW w:w="57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then-maintained by the Company, covering a number of shares of Common</w:t>
            </w:r>
          </w:p>
        </w:tc>
      </w:tr>
      <w:tr>
        <w:trPr>
          <w:trHeight w:val="216"/>
        </w:trPr>
        <w:tc>
          <w:tcPr>
            <w:tcW w:w="2800" w:type="dxa"/>
            <w:vAlign w:val="bottom"/>
            <w:tcBorders>
              <w:left w:val="single" w:sz="8" w:color="auto"/>
              <w:right w:val="single" w:sz="8" w:color="auto"/>
            </w:tcBorders>
          </w:tcPr>
          <w:p>
            <w:pPr>
              <w:spacing w:after="0"/>
              <w:rPr>
                <w:sz w:val="18"/>
                <w:szCs w:val="18"/>
                <w:color w:val="auto"/>
              </w:rPr>
            </w:pPr>
          </w:p>
        </w:tc>
        <w:tc>
          <w:tcPr>
            <w:tcW w:w="57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Stock calculated by dividing (i) $200,000 by (ii) the average closing trading</w:t>
            </w:r>
          </w:p>
        </w:tc>
      </w:tr>
      <w:tr>
        <w:trPr>
          <w:trHeight w:val="212"/>
        </w:trPr>
        <w:tc>
          <w:tcPr>
            <w:tcW w:w="2800" w:type="dxa"/>
            <w:vAlign w:val="bottom"/>
            <w:tcBorders>
              <w:left w:val="single" w:sz="8" w:color="auto"/>
              <w:right w:val="single" w:sz="8" w:color="auto"/>
            </w:tcBorders>
          </w:tcPr>
          <w:p>
            <w:pPr>
              <w:spacing w:after="0"/>
              <w:rPr>
                <w:sz w:val="18"/>
                <w:szCs w:val="18"/>
                <w:color w:val="auto"/>
              </w:rPr>
            </w:pPr>
          </w:p>
        </w:tc>
        <w:tc>
          <w:tcPr>
            <w:tcW w:w="57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price of the Common Stock over the 10 consecutive trading days ending with</w:t>
            </w:r>
          </w:p>
        </w:tc>
      </w:tr>
      <w:tr>
        <w:trPr>
          <w:trHeight w:val="216"/>
        </w:trPr>
        <w:tc>
          <w:tcPr>
            <w:tcW w:w="2800" w:type="dxa"/>
            <w:vAlign w:val="bottom"/>
            <w:tcBorders>
              <w:left w:val="single" w:sz="8" w:color="auto"/>
              <w:right w:val="single" w:sz="8" w:color="auto"/>
            </w:tcBorders>
          </w:tcPr>
          <w:p>
            <w:pPr>
              <w:spacing w:after="0"/>
              <w:rPr>
                <w:sz w:val="18"/>
                <w:szCs w:val="18"/>
                <w:color w:val="auto"/>
              </w:rPr>
            </w:pPr>
          </w:p>
        </w:tc>
        <w:tc>
          <w:tcPr>
            <w:tcW w:w="57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the trading day immediately preceding the grant (the “</w:t>
            </w:r>
            <w:r>
              <w:rPr>
                <w:rFonts w:ascii="Times New Roman" w:cs="Times New Roman" w:eastAsia="Times New Roman" w:hAnsi="Times New Roman"/>
                <w:sz w:val="18"/>
                <w:szCs w:val="18"/>
                <w:b w:val="1"/>
                <w:bCs w:val="1"/>
                <w:i w:val="1"/>
                <w:iCs w:val="1"/>
                <w:color w:val="auto"/>
              </w:rPr>
              <w:t>10-Day VWAP</w:t>
            </w:r>
            <w:r>
              <w:rPr>
                <w:rFonts w:ascii="Times New Roman" w:cs="Times New Roman" w:eastAsia="Times New Roman" w:hAnsi="Times New Roman"/>
                <w:sz w:val="18"/>
                <w:szCs w:val="18"/>
                <w:color w:val="auto"/>
              </w:rPr>
              <w:t>”) (the</w:t>
            </w:r>
          </w:p>
        </w:tc>
      </w:tr>
      <w:tr>
        <w:trPr>
          <w:trHeight w:val="238"/>
        </w:trPr>
        <w:tc>
          <w:tcPr>
            <w:tcW w:w="2800" w:type="dxa"/>
            <w:vAlign w:val="bottom"/>
            <w:tcBorders>
              <w:left w:val="single" w:sz="8" w:color="auto"/>
              <w:right w:val="single" w:sz="8" w:color="auto"/>
            </w:tcBorders>
          </w:tcPr>
          <w:p>
            <w:pPr>
              <w:spacing w:after="0"/>
              <w:rPr>
                <w:sz w:val="20"/>
                <w:szCs w:val="20"/>
                <w:color w:val="auto"/>
              </w:rPr>
            </w:pPr>
          </w:p>
        </w:tc>
        <w:tc>
          <w:tcPr>
            <w:tcW w:w="57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Initial RSU Award</w:t>
            </w:r>
            <w:r>
              <w:rPr>
                <w:rFonts w:ascii="Times New Roman" w:cs="Times New Roman" w:eastAsia="Times New Roman" w:hAnsi="Times New Roman"/>
                <w:sz w:val="18"/>
                <w:szCs w:val="18"/>
                <w:color w:val="auto"/>
              </w:rPr>
              <w:t>”).</w:t>
            </w:r>
          </w:p>
        </w:tc>
      </w:tr>
      <w:tr>
        <w:trPr>
          <w:trHeight w:val="414"/>
        </w:trPr>
        <w:tc>
          <w:tcPr>
            <w:tcW w:w="2800" w:type="dxa"/>
            <w:vAlign w:val="bottom"/>
            <w:tcBorders>
              <w:left w:val="single" w:sz="8" w:color="auto"/>
              <w:right w:val="single" w:sz="8" w:color="auto"/>
            </w:tcBorders>
          </w:tcPr>
          <w:p>
            <w:pPr>
              <w:spacing w:after="0"/>
              <w:rPr>
                <w:sz w:val="24"/>
                <w:szCs w:val="24"/>
                <w:color w:val="auto"/>
              </w:rPr>
            </w:pPr>
          </w:p>
        </w:tc>
        <w:tc>
          <w:tcPr>
            <w:tcW w:w="57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The Initial RSU Award will be automatically granted on the date on which</w:t>
            </w:r>
          </w:p>
        </w:tc>
      </w:tr>
      <w:tr>
        <w:trPr>
          <w:trHeight w:val="216"/>
        </w:trPr>
        <w:tc>
          <w:tcPr>
            <w:tcW w:w="2800" w:type="dxa"/>
            <w:vAlign w:val="bottom"/>
            <w:tcBorders>
              <w:left w:val="single" w:sz="8" w:color="auto"/>
              <w:right w:val="single" w:sz="8" w:color="auto"/>
            </w:tcBorders>
          </w:tcPr>
          <w:p>
            <w:pPr>
              <w:spacing w:after="0"/>
              <w:rPr>
                <w:sz w:val="18"/>
                <w:szCs w:val="18"/>
                <w:color w:val="auto"/>
              </w:rPr>
            </w:pPr>
          </w:p>
        </w:tc>
        <w:tc>
          <w:tcPr>
            <w:tcW w:w="57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such Non-Employee Director commences service on the Board, and will vest</w:t>
            </w:r>
          </w:p>
        </w:tc>
      </w:tr>
      <w:tr>
        <w:trPr>
          <w:trHeight w:val="216"/>
        </w:trPr>
        <w:tc>
          <w:tcPr>
            <w:tcW w:w="2800" w:type="dxa"/>
            <w:vAlign w:val="bottom"/>
            <w:tcBorders>
              <w:left w:val="single" w:sz="8" w:color="auto"/>
              <w:right w:val="single" w:sz="8" w:color="auto"/>
            </w:tcBorders>
          </w:tcPr>
          <w:p>
            <w:pPr>
              <w:spacing w:after="0"/>
              <w:rPr>
                <w:sz w:val="18"/>
                <w:szCs w:val="18"/>
                <w:color w:val="auto"/>
              </w:rPr>
            </w:pPr>
          </w:p>
        </w:tc>
        <w:tc>
          <w:tcPr>
            <w:tcW w:w="57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as to one-third of the shares subject thereto on each anniversary of the</w:t>
            </w:r>
          </w:p>
        </w:tc>
      </w:tr>
      <w:tr>
        <w:trPr>
          <w:trHeight w:val="216"/>
        </w:trPr>
        <w:tc>
          <w:tcPr>
            <w:tcW w:w="2800" w:type="dxa"/>
            <w:vAlign w:val="bottom"/>
            <w:tcBorders>
              <w:left w:val="single" w:sz="8" w:color="auto"/>
              <w:right w:val="single" w:sz="8" w:color="auto"/>
            </w:tcBorders>
          </w:tcPr>
          <w:p>
            <w:pPr>
              <w:spacing w:after="0"/>
              <w:rPr>
                <w:sz w:val="18"/>
                <w:szCs w:val="18"/>
                <w:color w:val="auto"/>
              </w:rPr>
            </w:pPr>
          </w:p>
        </w:tc>
        <w:tc>
          <w:tcPr>
            <w:tcW w:w="57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applicable grant date such that the shares subject to the Initial RSU Award</w:t>
            </w:r>
          </w:p>
        </w:tc>
      </w:tr>
      <w:tr>
        <w:trPr>
          <w:trHeight w:val="216"/>
        </w:trPr>
        <w:tc>
          <w:tcPr>
            <w:tcW w:w="2800" w:type="dxa"/>
            <w:vAlign w:val="bottom"/>
            <w:tcBorders>
              <w:left w:val="single" w:sz="8" w:color="auto"/>
              <w:right w:val="single" w:sz="8" w:color="auto"/>
            </w:tcBorders>
          </w:tcPr>
          <w:p>
            <w:pPr>
              <w:spacing w:after="0"/>
              <w:rPr>
                <w:sz w:val="18"/>
                <w:szCs w:val="18"/>
                <w:color w:val="auto"/>
              </w:rPr>
            </w:pPr>
          </w:p>
        </w:tc>
        <w:tc>
          <w:tcPr>
            <w:tcW w:w="57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are fully vested on the third anniversary of the grant date, subject to the Non-</w:t>
            </w:r>
          </w:p>
        </w:tc>
      </w:tr>
      <w:tr>
        <w:trPr>
          <w:trHeight w:val="216"/>
        </w:trPr>
        <w:tc>
          <w:tcPr>
            <w:tcW w:w="2800" w:type="dxa"/>
            <w:vAlign w:val="bottom"/>
            <w:tcBorders>
              <w:left w:val="single" w:sz="8" w:color="auto"/>
              <w:right w:val="single" w:sz="8" w:color="auto"/>
            </w:tcBorders>
          </w:tcPr>
          <w:p>
            <w:pPr>
              <w:spacing w:after="0"/>
              <w:rPr>
                <w:sz w:val="18"/>
                <w:szCs w:val="18"/>
                <w:color w:val="auto"/>
              </w:rPr>
            </w:pPr>
          </w:p>
        </w:tc>
        <w:tc>
          <w:tcPr>
            <w:tcW w:w="57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Employee Director continuing in service on the Board through each such</w:t>
            </w:r>
          </w:p>
        </w:tc>
      </w:tr>
      <w:tr>
        <w:trPr>
          <w:trHeight w:val="234"/>
        </w:trPr>
        <w:tc>
          <w:tcPr>
            <w:tcW w:w="2800" w:type="dxa"/>
            <w:vAlign w:val="bottom"/>
            <w:tcBorders>
              <w:left w:val="single" w:sz="8" w:color="auto"/>
              <w:right w:val="single" w:sz="8" w:color="auto"/>
            </w:tcBorders>
          </w:tcPr>
          <w:p>
            <w:pPr>
              <w:spacing w:after="0"/>
              <w:rPr>
                <w:sz w:val="20"/>
                <w:szCs w:val="20"/>
                <w:color w:val="auto"/>
              </w:rPr>
            </w:pPr>
          </w:p>
        </w:tc>
        <w:tc>
          <w:tcPr>
            <w:tcW w:w="57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vesting date.</w:t>
            </w:r>
          </w:p>
        </w:tc>
      </w:tr>
      <w:tr>
        <w:trPr>
          <w:trHeight w:val="27"/>
        </w:trPr>
        <w:tc>
          <w:tcPr>
            <w:tcW w:w="2800" w:type="dxa"/>
            <w:vAlign w:val="bottom"/>
            <w:tcBorders>
              <w:left w:val="single" w:sz="8" w:color="auto"/>
              <w:bottom w:val="single" w:sz="8" w:color="auto"/>
              <w:right w:val="single" w:sz="8" w:color="auto"/>
            </w:tcBorders>
          </w:tcPr>
          <w:p>
            <w:pPr>
              <w:spacing w:after="0"/>
              <w:rPr>
                <w:sz w:val="2"/>
                <w:szCs w:val="2"/>
                <w:color w:val="auto"/>
              </w:rPr>
            </w:pPr>
          </w:p>
        </w:tc>
        <w:tc>
          <w:tcPr>
            <w:tcW w:w="5760" w:type="dxa"/>
            <w:vAlign w:val="bottom"/>
            <w:tcBorders>
              <w:bottom w:val="single" w:sz="8" w:color="auto"/>
              <w:right w:val="single" w:sz="8" w:color="auto"/>
            </w:tcBorders>
          </w:tcPr>
          <w:p>
            <w:pPr>
              <w:spacing w:after="0"/>
              <w:rPr>
                <w:sz w:val="2"/>
                <w:szCs w:val="2"/>
                <w:color w:val="auto"/>
              </w:rPr>
            </w:pPr>
          </w:p>
        </w:tc>
      </w:tr>
      <w:tr>
        <w:trPr>
          <w:trHeight w:val="218"/>
        </w:trPr>
        <w:tc>
          <w:tcPr>
            <w:tcW w:w="28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Annual RSU Award:</w:t>
            </w:r>
          </w:p>
        </w:tc>
        <w:tc>
          <w:tcPr>
            <w:tcW w:w="57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Each Non-Employee Director who will continue to serve as a Non-Employee</w:t>
            </w:r>
          </w:p>
        </w:tc>
      </w:tr>
      <w:tr>
        <w:trPr>
          <w:trHeight w:val="212"/>
        </w:trPr>
        <w:tc>
          <w:tcPr>
            <w:tcW w:w="2800" w:type="dxa"/>
            <w:vAlign w:val="bottom"/>
            <w:tcBorders>
              <w:left w:val="single" w:sz="8" w:color="auto"/>
              <w:right w:val="single" w:sz="8" w:color="auto"/>
            </w:tcBorders>
          </w:tcPr>
          <w:p>
            <w:pPr>
              <w:spacing w:after="0"/>
              <w:rPr>
                <w:sz w:val="18"/>
                <w:szCs w:val="18"/>
                <w:color w:val="auto"/>
              </w:rPr>
            </w:pPr>
          </w:p>
        </w:tc>
        <w:tc>
          <w:tcPr>
            <w:tcW w:w="57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Director immediately following an annual meeting of the Company’s</w:t>
            </w:r>
          </w:p>
        </w:tc>
      </w:tr>
      <w:tr>
        <w:trPr>
          <w:trHeight w:val="220"/>
        </w:trPr>
        <w:tc>
          <w:tcPr>
            <w:tcW w:w="2800" w:type="dxa"/>
            <w:vAlign w:val="bottom"/>
            <w:tcBorders>
              <w:left w:val="single" w:sz="8" w:color="auto"/>
              <w:right w:val="single" w:sz="8" w:color="auto"/>
            </w:tcBorders>
          </w:tcPr>
          <w:p>
            <w:pPr>
              <w:spacing w:after="0"/>
              <w:rPr>
                <w:sz w:val="19"/>
                <w:szCs w:val="19"/>
                <w:color w:val="auto"/>
              </w:rPr>
            </w:pPr>
          </w:p>
        </w:tc>
        <w:tc>
          <w:tcPr>
            <w:tcW w:w="57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stockholders (an “</w:t>
            </w:r>
            <w:r>
              <w:rPr>
                <w:rFonts w:ascii="Times New Roman" w:cs="Times New Roman" w:eastAsia="Times New Roman" w:hAnsi="Times New Roman"/>
                <w:sz w:val="18"/>
                <w:szCs w:val="18"/>
                <w:b w:val="1"/>
                <w:bCs w:val="1"/>
                <w:i w:val="1"/>
                <w:iCs w:val="1"/>
                <w:color w:val="auto"/>
              </w:rPr>
              <w:t>Annual Meeting</w:t>
            </w:r>
            <w:r>
              <w:rPr>
                <w:rFonts w:ascii="Times New Roman" w:cs="Times New Roman" w:eastAsia="Times New Roman" w:hAnsi="Times New Roman"/>
                <w:sz w:val="18"/>
                <w:szCs w:val="18"/>
                <w:color w:val="auto"/>
              </w:rPr>
              <w:t>”) shall be granted on the date of such</w:t>
            </w:r>
          </w:p>
        </w:tc>
      </w:tr>
      <w:tr>
        <w:trPr>
          <w:trHeight w:val="216"/>
        </w:trPr>
        <w:tc>
          <w:tcPr>
            <w:tcW w:w="2800" w:type="dxa"/>
            <w:vAlign w:val="bottom"/>
            <w:tcBorders>
              <w:left w:val="single" w:sz="8" w:color="auto"/>
              <w:right w:val="single" w:sz="8" w:color="auto"/>
            </w:tcBorders>
          </w:tcPr>
          <w:p>
            <w:pPr>
              <w:spacing w:after="0"/>
              <w:rPr>
                <w:sz w:val="18"/>
                <w:szCs w:val="18"/>
                <w:color w:val="auto"/>
              </w:rPr>
            </w:pPr>
          </w:p>
        </w:tc>
        <w:tc>
          <w:tcPr>
            <w:tcW w:w="57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Annual Meeting an award of RSUs under the Plan, or any other applicable</w:t>
            </w:r>
          </w:p>
        </w:tc>
      </w:tr>
      <w:tr>
        <w:trPr>
          <w:trHeight w:val="216"/>
        </w:trPr>
        <w:tc>
          <w:tcPr>
            <w:tcW w:w="2800" w:type="dxa"/>
            <w:vAlign w:val="bottom"/>
            <w:tcBorders>
              <w:left w:val="single" w:sz="8" w:color="auto"/>
              <w:right w:val="single" w:sz="8" w:color="auto"/>
            </w:tcBorders>
          </w:tcPr>
          <w:p>
            <w:pPr>
              <w:spacing w:after="0"/>
              <w:rPr>
                <w:sz w:val="18"/>
                <w:szCs w:val="18"/>
                <w:color w:val="auto"/>
              </w:rPr>
            </w:pPr>
          </w:p>
        </w:tc>
        <w:tc>
          <w:tcPr>
            <w:tcW w:w="57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Company equity incentive plan then-maintained by the Company, covering a</w:t>
            </w:r>
          </w:p>
        </w:tc>
      </w:tr>
      <w:tr>
        <w:trPr>
          <w:trHeight w:val="212"/>
        </w:trPr>
        <w:tc>
          <w:tcPr>
            <w:tcW w:w="2800" w:type="dxa"/>
            <w:vAlign w:val="bottom"/>
            <w:tcBorders>
              <w:left w:val="single" w:sz="8" w:color="auto"/>
              <w:right w:val="single" w:sz="8" w:color="auto"/>
            </w:tcBorders>
          </w:tcPr>
          <w:p>
            <w:pPr>
              <w:spacing w:after="0"/>
              <w:rPr>
                <w:sz w:val="18"/>
                <w:szCs w:val="18"/>
                <w:color w:val="auto"/>
              </w:rPr>
            </w:pPr>
          </w:p>
        </w:tc>
        <w:tc>
          <w:tcPr>
            <w:tcW w:w="57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number of shares of Common Stock calculated by dividing (i) $100,000 by</w:t>
            </w:r>
          </w:p>
        </w:tc>
      </w:tr>
      <w:tr>
        <w:trPr>
          <w:trHeight w:val="220"/>
        </w:trPr>
        <w:tc>
          <w:tcPr>
            <w:tcW w:w="2800" w:type="dxa"/>
            <w:vAlign w:val="bottom"/>
            <w:tcBorders>
              <w:left w:val="single" w:sz="8" w:color="auto"/>
              <w:right w:val="single" w:sz="8" w:color="auto"/>
            </w:tcBorders>
          </w:tcPr>
          <w:p>
            <w:pPr>
              <w:spacing w:after="0"/>
              <w:rPr>
                <w:sz w:val="19"/>
                <w:szCs w:val="19"/>
                <w:color w:val="auto"/>
              </w:rPr>
            </w:pPr>
          </w:p>
        </w:tc>
        <w:tc>
          <w:tcPr>
            <w:tcW w:w="57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(ii) the 10-Day VWAP (the “</w:t>
            </w:r>
            <w:r>
              <w:rPr>
                <w:rFonts w:ascii="Times New Roman" w:cs="Times New Roman" w:eastAsia="Times New Roman" w:hAnsi="Times New Roman"/>
                <w:sz w:val="18"/>
                <w:szCs w:val="18"/>
                <w:b w:val="1"/>
                <w:bCs w:val="1"/>
                <w:i w:val="1"/>
                <w:iCs w:val="1"/>
                <w:color w:val="auto"/>
              </w:rPr>
              <w:t>Annual RSU Award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if a Non-</w:t>
            </w:r>
          </w:p>
        </w:tc>
      </w:tr>
      <w:tr>
        <w:trPr>
          <w:trHeight w:val="216"/>
        </w:trPr>
        <w:tc>
          <w:tcPr>
            <w:tcW w:w="2800" w:type="dxa"/>
            <w:vAlign w:val="bottom"/>
            <w:tcBorders>
              <w:left w:val="single" w:sz="8" w:color="auto"/>
              <w:right w:val="single" w:sz="8" w:color="auto"/>
            </w:tcBorders>
          </w:tcPr>
          <w:p>
            <w:pPr>
              <w:spacing w:after="0"/>
              <w:rPr>
                <w:sz w:val="18"/>
                <w:szCs w:val="18"/>
                <w:color w:val="auto"/>
              </w:rPr>
            </w:pPr>
          </w:p>
        </w:tc>
        <w:tc>
          <w:tcPr>
            <w:tcW w:w="57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Employee Director is first appointed or elected on a date other than the date</w:t>
            </w:r>
          </w:p>
        </w:tc>
      </w:tr>
      <w:tr>
        <w:trPr>
          <w:trHeight w:val="216"/>
        </w:trPr>
        <w:tc>
          <w:tcPr>
            <w:tcW w:w="2800" w:type="dxa"/>
            <w:vAlign w:val="bottom"/>
            <w:tcBorders>
              <w:left w:val="single" w:sz="8" w:color="auto"/>
              <w:right w:val="single" w:sz="8" w:color="auto"/>
            </w:tcBorders>
          </w:tcPr>
          <w:p>
            <w:pPr>
              <w:spacing w:after="0"/>
              <w:rPr>
                <w:sz w:val="18"/>
                <w:szCs w:val="18"/>
                <w:color w:val="auto"/>
              </w:rPr>
            </w:pPr>
          </w:p>
        </w:tc>
        <w:tc>
          <w:tcPr>
            <w:tcW w:w="57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of an Annual Meeting, then such Non-Employee Director shall be granted</w:t>
            </w:r>
          </w:p>
        </w:tc>
      </w:tr>
      <w:tr>
        <w:trPr>
          <w:trHeight w:val="216"/>
        </w:trPr>
        <w:tc>
          <w:tcPr>
            <w:tcW w:w="2800" w:type="dxa"/>
            <w:vAlign w:val="bottom"/>
            <w:tcBorders>
              <w:left w:val="single" w:sz="8" w:color="auto"/>
              <w:right w:val="single" w:sz="8" w:color="auto"/>
            </w:tcBorders>
          </w:tcPr>
          <w:p>
            <w:pPr>
              <w:spacing w:after="0"/>
              <w:rPr>
                <w:sz w:val="18"/>
                <w:szCs w:val="18"/>
                <w:color w:val="auto"/>
              </w:rPr>
            </w:pPr>
          </w:p>
        </w:tc>
        <w:tc>
          <w:tcPr>
            <w:tcW w:w="57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automatically on such date of appointment or election under the Plan, or any</w:t>
            </w:r>
          </w:p>
        </w:tc>
      </w:tr>
      <w:tr>
        <w:trPr>
          <w:trHeight w:val="216"/>
        </w:trPr>
        <w:tc>
          <w:tcPr>
            <w:tcW w:w="2800" w:type="dxa"/>
            <w:vAlign w:val="bottom"/>
            <w:tcBorders>
              <w:left w:val="single" w:sz="8" w:color="auto"/>
              <w:right w:val="single" w:sz="8" w:color="auto"/>
            </w:tcBorders>
          </w:tcPr>
          <w:p>
            <w:pPr>
              <w:spacing w:after="0"/>
              <w:rPr>
                <w:sz w:val="18"/>
                <w:szCs w:val="18"/>
                <w:color w:val="auto"/>
              </w:rPr>
            </w:pPr>
          </w:p>
        </w:tc>
        <w:tc>
          <w:tcPr>
            <w:tcW w:w="57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other applicable Company equity incentive plan then-maintained by the</w:t>
            </w:r>
          </w:p>
        </w:tc>
      </w:tr>
      <w:tr>
        <w:trPr>
          <w:trHeight w:val="216"/>
        </w:trPr>
        <w:tc>
          <w:tcPr>
            <w:tcW w:w="2800" w:type="dxa"/>
            <w:vAlign w:val="bottom"/>
            <w:tcBorders>
              <w:left w:val="single" w:sz="8" w:color="auto"/>
              <w:right w:val="single" w:sz="8" w:color="auto"/>
            </w:tcBorders>
          </w:tcPr>
          <w:p>
            <w:pPr>
              <w:spacing w:after="0"/>
              <w:rPr>
                <w:sz w:val="18"/>
                <w:szCs w:val="18"/>
                <w:color w:val="auto"/>
              </w:rPr>
            </w:pPr>
          </w:p>
        </w:tc>
        <w:tc>
          <w:tcPr>
            <w:tcW w:w="57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Company, an award of that number of RSUs calculated by dividing (i) the</w:t>
            </w:r>
          </w:p>
        </w:tc>
      </w:tr>
      <w:tr>
        <w:trPr>
          <w:trHeight w:val="216"/>
        </w:trPr>
        <w:tc>
          <w:tcPr>
            <w:tcW w:w="2800" w:type="dxa"/>
            <w:vAlign w:val="bottom"/>
            <w:tcBorders>
              <w:left w:val="single" w:sz="8" w:color="auto"/>
              <w:right w:val="single" w:sz="8" w:color="auto"/>
            </w:tcBorders>
          </w:tcPr>
          <w:p>
            <w:pPr>
              <w:spacing w:after="0"/>
              <w:rPr>
                <w:sz w:val="18"/>
                <w:szCs w:val="18"/>
                <w:color w:val="auto"/>
              </w:rPr>
            </w:pPr>
          </w:p>
        </w:tc>
        <w:tc>
          <w:tcPr>
            <w:tcW w:w="57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product of $100,000 multiplied by a fraction, the numerator of which is the</w:t>
            </w:r>
          </w:p>
        </w:tc>
      </w:tr>
      <w:tr>
        <w:trPr>
          <w:trHeight w:val="216"/>
        </w:trPr>
        <w:tc>
          <w:tcPr>
            <w:tcW w:w="2800" w:type="dxa"/>
            <w:vAlign w:val="bottom"/>
            <w:tcBorders>
              <w:left w:val="single" w:sz="8" w:color="auto"/>
              <w:right w:val="single" w:sz="8" w:color="auto"/>
            </w:tcBorders>
          </w:tcPr>
          <w:p>
            <w:pPr>
              <w:spacing w:after="0"/>
              <w:rPr>
                <w:sz w:val="18"/>
                <w:szCs w:val="18"/>
                <w:color w:val="auto"/>
              </w:rPr>
            </w:pPr>
          </w:p>
        </w:tc>
        <w:tc>
          <w:tcPr>
            <w:tcW w:w="57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number of days from the date of such appointment or election through the</w:t>
            </w:r>
          </w:p>
        </w:tc>
      </w:tr>
      <w:tr>
        <w:trPr>
          <w:trHeight w:val="216"/>
        </w:trPr>
        <w:tc>
          <w:tcPr>
            <w:tcW w:w="2800" w:type="dxa"/>
            <w:vAlign w:val="bottom"/>
            <w:tcBorders>
              <w:left w:val="single" w:sz="8" w:color="auto"/>
              <w:right w:val="single" w:sz="8" w:color="auto"/>
            </w:tcBorders>
          </w:tcPr>
          <w:p>
            <w:pPr>
              <w:spacing w:after="0"/>
              <w:rPr>
                <w:sz w:val="18"/>
                <w:szCs w:val="18"/>
                <w:color w:val="auto"/>
              </w:rPr>
            </w:pPr>
          </w:p>
        </w:tc>
        <w:tc>
          <w:tcPr>
            <w:tcW w:w="57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anticipated date of the first Annual Meeting following such appointment or</w:t>
            </w:r>
          </w:p>
        </w:tc>
      </w:tr>
      <w:tr>
        <w:trPr>
          <w:trHeight w:val="234"/>
        </w:trPr>
        <w:tc>
          <w:tcPr>
            <w:tcW w:w="2800" w:type="dxa"/>
            <w:vAlign w:val="bottom"/>
            <w:tcBorders>
              <w:left w:val="single" w:sz="8" w:color="auto"/>
              <w:right w:val="single" w:sz="8" w:color="auto"/>
            </w:tcBorders>
          </w:tcPr>
          <w:p>
            <w:pPr>
              <w:spacing w:after="0"/>
              <w:rPr>
                <w:sz w:val="20"/>
                <w:szCs w:val="20"/>
                <w:color w:val="auto"/>
              </w:rPr>
            </w:pPr>
          </w:p>
        </w:tc>
        <w:tc>
          <w:tcPr>
            <w:tcW w:w="57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election, and the denominator of which is 365, by (ii) the 10-Day VWAP.</w:t>
            </w:r>
          </w:p>
        </w:tc>
      </w:tr>
      <w:tr>
        <w:trPr>
          <w:trHeight w:val="414"/>
        </w:trPr>
        <w:tc>
          <w:tcPr>
            <w:tcW w:w="2800" w:type="dxa"/>
            <w:vAlign w:val="bottom"/>
            <w:tcBorders>
              <w:left w:val="single" w:sz="8" w:color="auto"/>
              <w:right w:val="single" w:sz="8" w:color="auto"/>
            </w:tcBorders>
          </w:tcPr>
          <w:p>
            <w:pPr>
              <w:spacing w:after="0"/>
              <w:rPr>
                <w:sz w:val="24"/>
                <w:szCs w:val="24"/>
                <w:color w:val="auto"/>
              </w:rPr>
            </w:pPr>
          </w:p>
        </w:tc>
        <w:tc>
          <w:tcPr>
            <w:tcW w:w="57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The award of RSUs will be automatically granted on the date of the</w:t>
            </w:r>
          </w:p>
        </w:tc>
      </w:tr>
      <w:tr>
        <w:trPr>
          <w:trHeight w:val="216"/>
        </w:trPr>
        <w:tc>
          <w:tcPr>
            <w:tcW w:w="2800" w:type="dxa"/>
            <w:vAlign w:val="bottom"/>
            <w:tcBorders>
              <w:left w:val="single" w:sz="8" w:color="auto"/>
              <w:right w:val="single" w:sz="8" w:color="auto"/>
            </w:tcBorders>
          </w:tcPr>
          <w:p>
            <w:pPr>
              <w:spacing w:after="0"/>
              <w:rPr>
                <w:sz w:val="18"/>
                <w:szCs w:val="18"/>
                <w:color w:val="auto"/>
              </w:rPr>
            </w:pPr>
          </w:p>
        </w:tc>
        <w:tc>
          <w:tcPr>
            <w:tcW w:w="57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applicable Annual Meeting, appointment or election, and will vest in full on</w:t>
            </w:r>
          </w:p>
        </w:tc>
      </w:tr>
      <w:tr>
        <w:trPr>
          <w:trHeight w:val="216"/>
        </w:trPr>
        <w:tc>
          <w:tcPr>
            <w:tcW w:w="2800" w:type="dxa"/>
            <w:vAlign w:val="bottom"/>
            <w:tcBorders>
              <w:left w:val="single" w:sz="8" w:color="auto"/>
              <w:right w:val="single" w:sz="8" w:color="auto"/>
            </w:tcBorders>
          </w:tcPr>
          <w:p>
            <w:pPr>
              <w:spacing w:after="0"/>
              <w:rPr>
                <w:sz w:val="18"/>
                <w:szCs w:val="18"/>
                <w:color w:val="auto"/>
              </w:rPr>
            </w:pPr>
          </w:p>
        </w:tc>
        <w:tc>
          <w:tcPr>
            <w:tcW w:w="57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the earlier of (i) the first anniversary of the grant date or (ii) immediately</w:t>
            </w:r>
          </w:p>
        </w:tc>
      </w:tr>
      <w:tr>
        <w:trPr>
          <w:trHeight w:val="216"/>
        </w:trPr>
        <w:tc>
          <w:tcPr>
            <w:tcW w:w="2800" w:type="dxa"/>
            <w:vAlign w:val="bottom"/>
            <w:tcBorders>
              <w:left w:val="single" w:sz="8" w:color="auto"/>
              <w:right w:val="single" w:sz="8" w:color="auto"/>
            </w:tcBorders>
          </w:tcPr>
          <w:p>
            <w:pPr>
              <w:spacing w:after="0"/>
              <w:rPr>
                <w:sz w:val="18"/>
                <w:szCs w:val="18"/>
                <w:color w:val="auto"/>
              </w:rPr>
            </w:pPr>
          </w:p>
        </w:tc>
        <w:tc>
          <w:tcPr>
            <w:tcW w:w="57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before the next Annual Meeting immediately following the grant date,</w:t>
            </w:r>
          </w:p>
        </w:tc>
      </w:tr>
      <w:tr>
        <w:trPr>
          <w:trHeight w:val="216"/>
        </w:trPr>
        <w:tc>
          <w:tcPr>
            <w:tcW w:w="2800" w:type="dxa"/>
            <w:vAlign w:val="bottom"/>
            <w:tcBorders>
              <w:left w:val="single" w:sz="8" w:color="auto"/>
              <w:right w:val="single" w:sz="8" w:color="auto"/>
            </w:tcBorders>
          </w:tcPr>
          <w:p>
            <w:pPr>
              <w:spacing w:after="0"/>
              <w:rPr>
                <w:sz w:val="18"/>
                <w:szCs w:val="18"/>
                <w:color w:val="auto"/>
              </w:rPr>
            </w:pPr>
          </w:p>
        </w:tc>
        <w:tc>
          <w:tcPr>
            <w:tcW w:w="57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subject to the Non-Employee Director continuing in service on the Board</w:t>
            </w:r>
          </w:p>
        </w:tc>
      </w:tr>
      <w:tr>
        <w:trPr>
          <w:trHeight w:val="234"/>
        </w:trPr>
        <w:tc>
          <w:tcPr>
            <w:tcW w:w="2800" w:type="dxa"/>
            <w:vAlign w:val="bottom"/>
            <w:tcBorders>
              <w:left w:val="single" w:sz="8" w:color="auto"/>
              <w:right w:val="single" w:sz="8" w:color="auto"/>
            </w:tcBorders>
          </w:tcPr>
          <w:p>
            <w:pPr>
              <w:spacing w:after="0"/>
              <w:rPr>
                <w:sz w:val="20"/>
                <w:szCs w:val="20"/>
                <w:color w:val="auto"/>
              </w:rPr>
            </w:pPr>
          </w:p>
        </w:tc>
        <w:tc>
          <w:tcPr>
            <w:tcW w:w="57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through such vesting date.</w:t>
            </w:r>
          </w:p>
        </w:tc>
      </w:tr>
      <w:tr>
        <w:trPr>
          <w:trHeight w:val="27"/>
        </w:trPr>
        <w:tc>
          <w:tcPr>
            <w:tcW w:w="2800" w:type="dxa"/>
            <w:vAlign w:val="bottom"/>
            <w:tcBorders>
              <w:left w:val="single" w:sz="8" w:color="auto"/>
              <w:bottom w:val="single" w:sz="8" w:color="auto"/>
              <w:right w:val="single" w:sz="8" w:color="auto"/>
            </w:tcBorders>
          </w:tcPr>
          <w:p>
            <w:pPr>
              <w:spacing w:after="0"/>
              <w:rPr>
                <w:sz w:val="2"/>
                <w:szCs w:val="2"/>
                <w:color w:val="auto"/>
              </w:rPr>
            </w:pPr>
          </w:p>
        </w:tc>
        <w:tc>
          <w:tcPr>
            <w:tcW w:w="5760" w:type="dxa"/>
            <w:vAlign w:val="bottom"/>
            <w:tcBorders>
              <w:bottom w:val="single" w:sz="8" w:color="auto"/>
              <w:right w:val="single" w:sz="8" w:color="auto"/>
            </w:tcBorders>
          </w:tcPr>
          <w:p>
            <w:pPr>
              <w:spacing w:after="0"/>
              <w:rPr>
                <w:sz w:val="2"/>
                <w:szCs w:val="2"/>
                <w:color w:val="auto"/>
              </w:rPr>
            </w:pPr>
          </w:p>
        </w:tc>
      </w:tr>
      <w:tr>
        <w:trPr>
          <w:trHeight w:val="218"/>
        </w:trPr>
        <w:tc>
          <w:tcPr>
            <w:tcW w:w="28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Additional Annual RSU Award for</w:t>
            </w:r>
          </w:p>
        </w:tc>
        <w:tc>
          <w:tcPr>
            <w:tcW w:w="57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 Non-Employee Board Chair who will continue to serve as a Non-</w:t>
            </w:r>
          </w:p>
        </w:tc>
      </w:tr>
      <w:tr>
        <w:trPr>
          <w:trHeight w:val="234"/>
        </w:trPr>
        <w:tc>
          <w:tcPr>
            <w:tcW w:w="28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Non-Employee Board Chair:</w:t>
            </w:r>
          </w:p>
        </w:tc>
        <w:tc>
          <w:tcPr>
            <w:tcW w:w="57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Employee Board Chair immediately following an Annual Meeting shall</w:t>
            </w:r>
          </w:p>
        </w:tc>
      </w:tr>
      <w:tr>
        <w:trPr>
          <w:trHeight w:val="27"/>
        </w:trPr>
        <w:tc>
          <w:tcPr>
            <w:tcW w:w="2800" w:type="dxa"/>
            <w:vAlign w:val="bottom"/>
            <w:tcBorders>
              <w:left w:val="single" w:sz="8" w:color="auto"/>
              <w:bottom w:val="single" w:sz="8" w:color="auto"/>
              <w:right w:val="single" w:sz="8" w:color="auto"/>
            </w:tcBorders>
          </w:tcPr>
          <w:p>
            <w:pPr>
              <w:spacing w:after="0"/>
              <w:rPr>
                <w:sz w:val="2"/>
                <w:szCs w:val="2"/>
                <w:color w:val="auto"/>
              </w:rPr>
            </w:pPr>
          </w:p>
        </w:tc>
        <w:tc>
          <w:tcPr>
            <w:tcW w:w="576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3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60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01">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283" w:right="1440" w:bottom="1440" w:gutter="0" w:footer="0" w:header="0"/>
        </w:sectPr>
      </w:pPr>
    </w:p>
    <w:bookmarkStart w:id="133" w:name="page134"/>
    <w:bookmarkEnd w:id="133"/>
    <w:p>
      <w:pPr>
        <w:jc w:val="both"/>
        <w:ind w:left="3100" w:right="359"/>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1048385</wp:posOffset>
            </wp:positionH>
            <wp:positionV relativeFrom="page">
              <wp:posOffset>88900</wp:posOffset>
            </wp:positionV>
            <wp:extent cx="5443220" cy="320611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02">
                      <a:extLst>
                        <a:ext uri="{28A0092B-C50C-407E-A947-70E740481C1C}"/>
                      </a:extLst>
                    </a:blip>
                    <a:srcRect/>
                    <a:stretch>
                      <a:fillRect/>
                    </a:stretch>
                  </pic:blipFill>
                  <pic:spPr bwMode="auto">
                    <a:xfrm>
                      <a:off x="0" y="0"/>
                      <a:ext cx="5443220" cy="3206115"/>
                    </a:xfrm>
                    <a:prstGeom prst="rect">
                      <a:avLst/>
                    </a:prstGeom>
                    <a:noFill/>
                  </pic:spPr>
                </pic:pic>
              </a:graphicData>
            </a:graphic>
          </wp:anchor>
        </w:drawing>
        <w:t>be granted on the date of such Annual Meeting an additional award of RSUs under the Plan, or any other applicable Company equity incentive plan then-maintained by the Company, covering a number of shares of Common Stock calculated by dividing (i) $50,000 by (ii) the 10-Day VWAP, provided that if the 10-day VWAP is less than $2.20, then the share price for purposes of calculating the number of RSUs shall be $2.20 (the “</w:t>
      </w:r>
      <w:r>
        <w:rPr>
          <w:rFonts w:ascii="Times New Roman" w:cs="Times New Roman" w:eastAsia="Times New Roman" w:hAnsi="Times New Roman"/>
          <w:sz w:val="18"/>
          <w:szCs w:val="18"/>
          <w:b w:val="1"/>
          <w:bCs w:val="1"/>
          <w:i w:val="1"/>
          <w:iCs w:val="1"/>
          <w:color w:val="auto"/>
        </w:rPr>
        <w:t>Annual Board Chair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RSU Award</w:t>
      </w:r>
      <w:r>
        <w:rPr>
          <w:rFonts w:ascii="Times New Roman" w:cs="Times New Roman" w:eastAsia="Times New Roman" w:hAnsi="Times New Roman"/>
          <w:sz w:val="18"/>
          <w:szCs w:val="18"/>
          <w:color w:val="auto"/>
        </w:rPr>
        <w:t>”). If a Non-Employee Board Chair is first appointed or elected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 a date other than the date of an Annual Meeting, then such Non-Employee Board Chair shall be granted automatically on such date of appointment or election under the Plan, or any other applicable Company equity incentive plan then-maintained by the Company, an award of that number of RSUs calculated by dividing (i) the product of $50,000 multiplied by a fraction, the numerator of which is the number of days from the date of such appointment or election through the anticipated date of the first Annual Meeting following such appointment or election, and the denominator of which is 365, by (ii) the 10-day VWAP.</w:t>
      </w:r>
    </w:p>
    <w:p>
      <w:pPr>
        <w:spacing w:after="0" w:line="195" w:lineRule="exact"/>
        <w:rPr>
          <w:sz w:val="20"/>
          <w:szCs w:val="20"/>
          <w:color w:val="auto"/>
        </w:rPr>
      </w:pPr>
    </w:p>
    <w:p>
      <w:pPr>
        <w:jc w:val="both"/>
        <w:ind w:left="3100" w:right="359"/>
        <w:spacing w:after="0" w:line="256" w:lineRule="auto"/>
        <w:rPr>
          <w:sz w:val="20"/>
          <w:szCs w:val="20"/>
          <w:color w:val="auto"/>
        </w:rPr>
      </w:pPr>
      <w:r>
        <w:rPr>
          <w:rFonts w:ascii="Times New Roman" w:cs="Times New Roman" w:eastAsia="Times New Roman" w:hAnsi="Times New Roman"/>
          <w:sz w:val="18"/>
          <w:szCs w:val="18"/>
          <w:color w:val="auto"/>
        </w:rPr>
        <w:t>The Annual Board Chair RSU Award will be automatically granted on the date of the applicable Annual Meeting, appointment or election, and will vest in full on the earlier of (i) the first anniversary of the grant date or (ii) immediately before the next Annual Meeting immediately following the grant date, subject to the Non-Employee Board Chair continuing in service on the Board through such vesting date.</w:t>
      </w:r>
    </w:p>
    <w:p>
      <w:pPr>
        <w:spacing w:after="0" w:line="200" w:lineRule="exact"/>
        <w:rPr>
          <w:sz w:val="20"/>
          <w:szCs w:val="20"/>
          <w:color w:val="auto"/>
        </w:rPr>
      </w:pPr>
    </w:p>
    <w:p>
      <w:pPr>
        <w:spacing w:after="0" w:line="24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Termination of Service</w:t>
      </w:r>
    </w:p>
    <w:p>
      <w:pPr>
        <w:spacing w:after="0" w:line="229" w:lineRule="exact"/>
        <w:rPr>
          <w:sz w:val="20"/>
          <w:szCs w:val="20"/>
          <w:color w:val="auto"/>
        </w:rPr>
      </w:pPr>
    </w:p>
    <w:p>
      <w:pPr>
        <w:jc w:val="both"/>
        <w:ind w:left="200" w:right="239"/>
        <w:spacing w:after="0" w:line="282" w:lineRule="auto"/>
        <w:rPr>
          <w:sz w:val="20"/>
          <w:szCs w:val="20"/>
          <w:color w:val="auto"/>
        </w:rPr>
      </w:pPr>
      <w:r>
        <w:rPr>
          <w:rFonts w:ascii="Times New Roman" w:cs="Times New Roman" w:eastAsia="Times New Roman" w:hAnsi="Times New Roman"/>
          <w:sz w:val="18"/>
          <w:szCs w:val="18"/>
          <w:color w:val="auto"/>
        </w:rPr>
        <w:t>No portion of an award of RSUs that is unvested at the time of a Non-Employee Director’s termination of service on the Board shall vest thereafter.</w:t>
      </w:r>
    </w:p>
    <w:p>
      <w:pPr>
        <w:spacing w:after="0" w:line="15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Change in Control</w:t>
      </w:r>
    </w:p>
    <w:p>
      <w:pPr>
        <w:spacing w:after="0" w:line="229" w:lineRule="exact"/>
        <w:rPr>
          <w:sz w:val="20"/>
          <w:szCs w:val="20"/>
          <w:color w:val="auto"/>
        </w:rPr>
      </w:pPr>
    </w:p>
    <w:p>
      <w:pPr>
        <w:jc w:val="both"/>
        <w:ind w:left="200" w:right="219"/>
        <w:spacing w:after="0" w:line="289" w:lineRule="auto"/>
        <w:rPr>
          <w:sz w:val="20"/>
          <w:szCs w:val="20"/>
          <w:color w:val="auto"/>
        </w:rPr>
      </w:pPr>
      <w:r>
        <w:rPr>
          <w:rFonts w:ascii="Times New Roman" w:cs="Times New Roman" w:eastAsia="Times New Roman" w:hAnsi="Times New Roman"/>
          <w:sz w:val="17"/>
          <w:szCs w:val="17"/>
          <w:color w:val="auto"/>
        </w:rPr>
        <w:t>Immediately before a Change in Control of the Company, all outstanding equity awards granted under the Plan and any other equity incentive plan maintained by the Company that are held by a Non-Employee Director shall become fully vested and/or exercisable, irrespective of any other provisions of the Non-Employee Director’s Award Agreement.</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Reimbursements</w:t>
      </w:r>
    </w:p>
    <w:p>
      <w:pPr>
        <w:spacing w:after="0" w:line="229" w:lineRule="exact"/>
        <w:rPr>
          <w:sz w:val="20"/>
          <w:szCs w:val="20"/>
          <w:color w:val="auto"/>
        </w:rPr>
      </w:pPr>
    </w:p>
    <w:p>
      <w:pPr>
        <w:jc w:val="both"/>
        <w:ind w:left="200" w:right="219"/>
        <w:spacing w:after="0" w:line="261" w:lineRule="auto"/>
        <w:rPr>
          <w:sz w:val="20"/>
          <w:szCs w:val="20"/>
          <w:color w:val="auto"/>
        </w:rPr>
      </w:pPr>
      <w:r>
        <w:rPr>
          <w:rFonts w:ascii="Times New Roman" w:cs="Times New Roman" w:eastAsia="Times New Roman" w:hAnsi="Times New Roman"/>
          <w:sz w:val="18"/>
          <w:szCs w:val="18"/>
          <w:color w:val="auto"/>
        </w:rPr>
        <w:t>The Company shall reimburse each Non-Employee Director for all reasonable, documented, out-of-pocket travel and other business expenses incurred by such Non-Employee Director in the performance of his or her duties to the Company in accordance with the Company’s applicable expense reimbursement policies and procedures as in effect from time to time.</w:t>
      </w:r>
    </w:p>
    <w:p>
      <w:pPr>
        <w:spacing w:after="0" w:line="17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Declining Compensation</w:t>
      </w:r>
    </w:p>
    <w:p>
      <w:pPr>
        <w:spacing w:after="0" w:line="229" w:lineRule="exact"/>
        <w:rPr>
          <w:sz w:val="20"/>
          <w:szCs w:val="20"/>
          <w:color w:val="auto"/>
        </w:rPr>
      </w:pPr>
    </w:p>
    <w:p>
      <w:pPr>
        <w:jc w:val="both"/>
        <w:ind w:left="200" w:right="219"/>
        <w:spacing w:after="0" w:line="266" w:lineRule="auto"/>
        <w:rPr>
          <w:sz w:val="20"/>
          <w:szCs w:val="20"/>
          <w:color w:val="auto"/>
        </w:rPr>
      </w:pPr>
      <w:r>
        <w:rPr>
          <w:rFonts w:ascii="Times New Roman" w:cs="Times New Roman" w:eastAsia="Times New Roman" w:hAnsi="Times New Roman"/>
          <w:sz w:val="18"/>
          <w:szCs w:val="18"/>
          <w:color w:val="auto"/>
        </w:rPr>
        <w:t>Notwithstanding anything to the contrary in this Program, any Non-Employee Director who indicates to the Board that they are waiving their right to receive compensation under this Program shall not receive any compensation under this Program.</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4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60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0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62" w:right="1440" w:bottom="1440" w:gutter="0" w:footer="0" w:header="0"/>
        </w:sectPr>
      </w:pPr>
    </w:p>
    <w:bookmarkStart w:id="134" w:name="page135"/>
    <w:bookmarkEnd w:id="134"/>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Miscellaneous</w:t>
      </w:r>
    </w:p>
    <w:p>
      <w:pPr>
        <w:spacing w:after="0" w:line="229" w:lineRule="exact"/>
        <w:rPr>
          <w:sz w:val="20"/>
          <w:szCs w:val="20"/>
          <w:color w:val="auto"/>
        </w:rPr>
      </w:pPr>
    </w:p>
    <w:p>
      <w:pPr>
        <w:jc w:val="both"/>
        <w:ind w:left="200" w:right="219"/>
        <w:spacing w:after="0" w:line="258" w:lineRule="auto"/>
        <w:rPr>
          <w:sz w:val="20"/>
          <w:szCs w:val="20"/>
          <w:color w:val="auto"/>
        </w:rPr>
      </w:pPr>
      <w:r>
        <w:rPr>
          <w:rFonts w:ascii="Times New Roman" w:cs="Times New Roman" w:eastAsia="Times New Roman" w:hAnsi="Times New Roman"/>
          <w:sz w:val="18"/>
          <w:szCs w:val="18"/>
          <w:color w:val="auto"/>
        </w:rPr>
        <w:t>The other provisions of the Plan shall apply to the RSUs granted automatically under this Program, except to the extent such other provisions are inconsistent with this Program. All applicable terms of the Plan apply to this Program as if fully set forth herein, and all grants of RSUs hereby are subject in all respects to the terms of the Plan. The grant of RSUs under this Program shall be made solely by and subject to the terms set forth in an Award Agreement in a form approved by the Board and duly executed by an executive officer of the Company.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Last Updated: March 1, 2024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 * *</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5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60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0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35" w:name="page136"/>
    <w:bookmarkEnd w:id="135"/>
    <w:p>
      <w:pPr>
        <w:ind w:left="7340"/>
        <w:spacing w:after="0"/>
        <w:rPr>
          <w:sz w:val="20"/>
          <w:szCs w:val="20"/>
          <w:color w:val="auto"/>
        </w:rPr>
      </w:pPr>
      <w:r>
        <w:rPr>
          <w:rFonts w:ascii="Times New Roman" w:cs="Times New Roman" w:eastAsia="Times New Roman" w:hAnsi="Times New Roman"/>
          <w:sz w:val="18"/>
          <w:szCs w:val="18"/>
          <w:b w:val="1"/>
          <w:bCs w:val="1"/>
          <w:u w:val="single" w:color="auto"/>
          <w:color w:val="auto"/>
        </w:rPr>
        <w:t>EXHIBIT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311150</wp:posOffset>
            </wp:positionV>
            <wp:extent cx="1491615" cy="56578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05">
                      <a:extLst>
                        <a:ext uri="{28A0092B-C50C-407E-A947-70E740481C1C}"/>
                      </a:extLst>
                    </a:blip>
                    <a:srcRect/>
                    <a:stretch>
                      <a:fillRect/>
                    </a:stretch>
                  </pic:blipFill>
                  <pic:spPr bwMode="auto">
                    <a:xfrm>
                      <a:off x="0" y="0"/>
                      <a:ext cx="149161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5"/>
          <w:szCs w:val="25"/>
          <w:b w:val="1"/>
          <w:bCs w:val="1"/>
          <w:color w:val="auto"/>
        </w:rPr>
        <w:t>Insider Trading Compliance Policy</w:t>
      </w:r>
    </w:p>
    <w:p>
      <w:pPr>
        <w:spacing w:after="0" w:line="3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___________________________________________________________</w:t>
      </w:r>
    </w:p>
    <w:p>
      <w:pPr>
        <w:spacing w:after="0" w:line="182" w:lineRule="exact"/>
        <w:rPr>
          <w:sz w:val="20"/>
          <w:szCs w:val="20"/>
          <w:color w:val="auto"/>
        </w:rPr>
      </w:pPr>
    </w:p>
    <w:p>
      <w:pPr>
        <w:ind w:left="860" w:hanging="651"/>
        <w:spacing w:after="0"/>
        <w:tabs>
          <w:tab w:leader="none" w:pos="860"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Summary</w:t>
      </w:r>
    </w:p>
    <w:p>
      <w:pPr>
        <w:spacing w:after="0" w:line="242" w:lineRule="exact"/>
        <w:rPr>
          <w:sz w:val="20"/>
          <w:szCs w:val="20"/>
          <w:color w:val="auto"/>
        </w:rPr>
      </w:pPr>
    </w:p>
    <w:p>
      <w:pPr>
        <w:jc w:val="both"/>
        <w:ind w:left="200" w:right="219" w:firstLine="648"/>
        <w:spacing w:after="0" w:line="254" w:lineRule="auto"/>
        <w:rPr>
          <w:sz w:val="20"/>
          <w:szCs w:val="20"/>
          <w:color w:val="auto"/>
        </w:rPr>
      </w:pPr>
      <w:r>
        <w:rPr>
          <w:rFonts w:ascii="Times New Roman" w:cs="Times New Roman" w:eastAsia="Times New Roman" w:hAnsi="Times New Roman"/>
          <w:sz w:val="18"/>
          <w:szCs w:val="18"/>
          <w:color w:val="auto"/>
        </w:rPr>
        <w:t>Preventing insider trading is necessary to comply with securities laws and to preserve the reputation and integrity of Lulu’s Fashion Lounge Holdings, Inc. (together with its subsidiaries, the “Company”) as well as that of all persons affiliated with the Company. “Insider trading” occurs when any person purchases or sells a security while in possession of inside information relating to the security. As explained in Section III below, “inside information” is information that is both “material” and “non-public.” Insider trading is a crime. The penalties for violating insider trading laws include imprisonment, disgorgement of profits, civil fines, and significant criminal fines. Insider trading is also prohibited by this Insider Trading Compliance Policy (this “Policy”), and violation of this Policy may result in Company-imposed sanctions, up to and including termination of employment for cause.</w:t>
      </w:r>
    </w:p>
    <w:p>
      <w:pPr>
        <w:spacing w:after="0" w:line="192" w:lineRule="exact"/>
        <w:rPr>
          <w:sz w:val="20"/>
          <w:szCs w:val="20"/>
          <w:color w:val="auto"/>
        </w:rPr>
      </w:pPr>
    </w:p>
    <w:p>
      <w:pPr>
        <w:jc w:val="both"/>
        <w:ind w:left="200" w:right="219" w:firstLine="648"/>
        <w:spacing w:after="0" w:line="254" w:lineRule="auto"/>
        <w:rPr>
          <w:sz w:val="20"/>
          <w:szCs w:val="20"/>
          <w:color w:val="auto"/>
        </w:rPr>
      </w:pPr>
      <w:r>
        <w:rPr>
          <w:rFonts w:ascii="Times New Roman" w:cs="Times New Roman" w:eastAsia="Times New Roman" w:hAnsi="Times New Roman"/>
          <w:sz w:val="18"/>
          <w:szCs w:val="18"/>
          <w:color w:val="auto"/>
        </w:rPr>
        <w:t>This Policy applies to all officers, directors and employees of the Company. Individuals subject to this Policy are responsible for ensuring that members of their households also comply with this Policy. This Policy also applies to any entities controlled by individuals subject to the Policy, including any corporations, partnerships or trusts (such entities, together with all officers, directors and employees of the Company, are referred to as the “Covered Persons”), and transactions by these entities should be treated for the purposes of this Policy and applicable securities laws as if they were for the individual’s own account. This Policy extends to all activities within and outside an individual’s Company duties. Every officer, director and employee must review this Policy. Questions regarding the Policy should be directed to the Company’s General Counsel.</w:t>
      </w:r>
    </w:p>
    <w:p>
      <w:pPr>
        <w:spacing w:after="0" w:line="209" w:lineRule="exact"/>
        <w:rPr>
          <w:sz w:val="20"/>
          <w:szCs w:val="20"/>
          <w:color w:val="auto"/>
        </w:rPr>
      </w:pPr>
    </w:p>
    <w:p>
      <w:pPr>
        <w:ind w:left="860" w:hanging="651"/>
        <w:spacing w:after="0"/>
        <w:tabs>
          <w:tab w:leader="none" w:pos="860"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Statement of Policies Prohibiting Insider Trading and Permitted Transactions</w:t>
      </w:r>
    </w:p>
    <w:p>
      <w:pPr>
        <w:spacing w:after="0" w:line="215" w:lineRule="exact"/>
        <w:rPr>
          <w:sz w:val="20"/>
          <w:szCs w:val="20"/>
          <w:color w:val="auto"/>
        </w:rPr>
      </w:pPr>
    </w:p>
    <w:p>
      <w:pPr>
        <w:jc w:val="both"/>
        <w:ind w:left="200" w:right="219" w:firstLine="648"/>
        <w:spacing w:after="0" w:line="266" w:lineRule="auto"/>
        <w:rPr>
          <w:sz w:val="20"/>
          <w:szCs w:val="20"/>
          <w:color w:val="auto"/>
        </w:rPr>
      </w:pPr>
      <w:r>
        <w:rPr>
          <w:rFonts w:ascii="Times New Roman" w:cs="Times New Roman" w:eastAsia="Times New Roman" w:hAnsi="Times New Roman"/>
          <w:sz w:val="18"/>
          <w:szCs w:val="18"/>
          <w:color w:val="auto"/>
        </w:rPr>
        <w:t>No officer, director or employee shall purchase or sell any type of security while in possession of material, non-public information relating to the security or its issuer, whether the issuer of such security is the Company or any other company.</w:t>
      </w:r>
    </w:p>
    <w:p>
      <w:pPr>
        <w:spacing w:after="0" w:line="17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These prohibitions do not apply to the following “Permitted Transactions”:</w:t>
      </w:r>
    </w:p>
    <w:p>
      <w:pPr>
        <w:spacing w:after="0" w:line="225" w:lineRule="exact"/>
        <w:rPr>
          <w:sz w:val="20"/>
          <w:szCs w:val="20"/>
          <w:color w:val="auto"/>
        </w:rPr>
      </w:pPr>
    </w:p>
    <w:p>
      <w:pPr>
        <w:ind w:left="1500" w:right="239" w:hanging="319"/>
        <w:spacing w:after="0" w:line="282" w:lineRule="auto"/>
        <w:tabs>
          <w:tab w:leader="none" w:pos="15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of the Company’s securities from the Company by a Covered Person or sales of the Company’s securities by a Covered Person to the Company;</w:t>
      </w:r>
    </w:p>
    <w:p>
      <w:pPr>
        <w:spacing w:after="0" w:line="161" w:lineRule="exact"/>
        <w:rPr>
          <w:rFonts w:ascii="Times New Roman" w:cs="Times New Roman" w:eastAsia="Times New Roman" w:hAnsi="Times New Roman"/>
          <w:sz w:val="18"/>
          <w:szCs w:val="18"/>
          <w:color w:val="auto"/>
        </w:rPr>
      </w:pPr>
    </w:p>
    <w:p>
      <w:pPr>
        <w:jc w:val="both"/>
        <w:ind w:left="1500" w:right="239" w:hanging="319"/>
        <w:spacing w:after="0" w:line="258" w:lineRule="auto"/>
        <w:tabs>
          <w:tab w:leader="none" w:pos="15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exercises of stock options or other equity awards or the surrender of shares to the Company in payment of the exercise price or in satisfaction of any tax withholding obligations in a manner permitted by the applicable equity award agreement, or vesting of equity-based awards, that in each case do not involve a market sale of the Company’s securities (the “cashless exercise” of a Company stock option through a broker </w:t>
      </w:r>
      <w:r>
        <w:rPr>
          <w:rFonts w:ascii="Times New Roman" w:cs="Times New Roman" w:eastAsia="Times New Roman" w:hAnsi="Times New Roman"/>
          <w:sz w:val="18"/>
          <w:szCs w:val="18"/>
          <w:u w:val="single" w:color="auto"/>
          <w:color w:val="auto"/>
        </w:rPr>
        <w:t>does</w:t>
      </w:r>
      <w:r>
        <w:rPr>
          <w:rFonts w:ascii="Times New Roman" w:cs="Times New Roman" w:eastAsia="Times New Roman" w:hAnsi="Times New Roman"/>
          <w:sz w:val="18"/>
          <w:szCs w:val="18"/>
          <w:color w:val="auto"/>
        </w:rPr>
        <w:t xml:space="preserve"> involve</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 of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54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0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36" w:name="page137"/>
    <w:bookmarkEnd w:id="136"/>
    <w:p>
      <w:pPr>
        <w:ind w:left="1500"/>
        <w:spacing w:after="0"/>
        <w:rPr>
          <w:sz w:val="20"/>
          <w:szCs w:val="20"/>
          <w:color w:val="auto"/>
        </w:rPr>
      </w:pPr>
      <w:r>
        <w:rPr>
          <w:rFonts w:ascii="Times New Roman" w:cs="Times New Roman" w:eastAsia="Times New Roman" w:hAnsi="Times New Roman"/>
          <w:sz w:val="18"/>
          <w:szCs w:val="18"/>
          <w:color w:val="auto"/>
        </w:rPr>
        <w:t>a market sale of the Company’s securities, and therefore would not qualify under this exception);</w:t>
      </w:r>
    </w:p>
    <w:p>
      <w:pPr>
        <w:spacing w:after="0" w:line="225" w:lineRule="exact"/>
        <w:rPr>
          <w:sz w:val="20"/>
          <w:szCs w:val="20"/>
          <w:color w:val="auto"/>
        </w:rPr>
      </w:pPr>
    </w:p>
    <w:p>
      <w:pPr>
        <w:jc w:val="both"/>
        <w:ind w:left="1500" w:right="219" w:hanging="319"/>
        <w:spacing w:after="0" w:line="261" w:lineRule="auto"/>
        <w:tabs>
          <w:tab w:leader="none" w:pos="15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of the Company’s securities under the Company’s 2021 Employee Stock Purchase Plan (the “Employee Stock Purchase Plan”) on the applicable Exercise Date (as defined in the Employee Stock Purchase Plan). For more information about the Employee Stock Purchase Plan, see Section VII below;</w:t>
      </w:r>
    </w:p>
    <w:p>
      <w:pPr>
        <w:spacing w:after="0" w:line="177" w:lineRule="exact"/>
        <w:rPr>
          <w:rFonts w:ascii="Times New Roman" w:cs="Times New Roman" w:eastAsia="Times New Roman" w:hAnsi="Times New Roman"/>
          <w:sz w:val="18"/>
          <w:szCs w:val="18"/>
          <w:color w:val="auto"/>
        </w:rPr>
      </w:pPr>
    </w:p>
    <w:p>
      <w:pPr>
        <w:jc w:val="both"/>
        <w:ind w:left="1500" w:right="219" w:hanging="319"/>
        <w:spacing w:after="0" w:line="267" w:lineRule="auto"/>
        <w:tabs>
          <w:tab w:leader="none" w:pos="15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bona fide </w:t>
      </w:r>
      <w:r>
        <w:rPr>
          <w:rFonts w:ascii="Times New Roman" w:cs="Times New Roman" w:eastAsia="Times New Roman" w:hAnsi="Times New Roman"/>
          <w:sz w:val="18"/>
          <w:szCs w:val="18"/>
          <w:color w:val="auto"/>
        </w:rPr>
        <w:t>gifts of the Company’s securities, unless the person making the gift has reason to believe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the recipient intends to sell the securities while the donor is in possession of material, non-public information about the Company; or</w:t>
      </w:r>
    </w:p>
    <w:p>
      <w:pPr>
        <w:spacing w:after="0" w:line="175" w:lineRule="exact"/>
        <w:rPr>
          <w:rFonts w:ascii="Times New Roman" w:cs="Times New Roman" w:eastAsia="Times New Roman" w:hAnsi="Times New Roman"/>
          <w:sz w:val="18"/>
          <w:szCs w:val="18"/>
          <w:color w:val="auto"/>
        </w:rPr>
      </w:pPr>
    </w:p>
    <w:p>
      <w:pPr>
        <w:jc w:val="both"/>
        <w:ind w:left="1500" w:right="219" w:hanging="319"/>
        <w:spacing w:after="0" w:line="254" w:lineRule="auto"/>
        <w:tabs>
          <w:tab w:leader="none" w:pos="15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or sales of the Company’s securities made pursuant to any binding contract, specific instruction or written plan entered into outside of a black-out period and while the purchaser or seller, as applicable, was unaware of any material, non-public information and which contract, instruction or plan (i) meets all requirements of the affirmative defense provided by Rule 10b5-1 (“Rule 10b5-1”) promulgated under the Securities Exchange Act of 1934, as amended (the “1934 Act”), (ii) was pre-cleared in advance pursuant to this Policy and (iii) has not been amended or modified in any respect after such initial pre-clearance without such amendment or modification being pre-cleared in advance pursuant to this Policy. For more information about Rule 10b5-1 trading plans, see Section VI below.</w:t>
      </w:r>
    </w:p>
    <w:p>
      <w:pPr>
        <w:spacing w:after="0" w:line="188" w:lineRule="exact"/>
        <w:rPr>
          <w:sz w:val="20"/>
          <w:szCs w:val="20"/>
          <w:color w:val="auto"/>
        </w:rPr>
      </w:pPr>
    </w:p>
    <w:p>
      <w:pPr>
        <w:jc w:val="both"/>
        <w:ind w:left="200" w:right="219" w:firstLine="648"/>
        <w:spacing w:after="0" w:line="261" w:lineRule="auto"/>
        <w:rPr>
          <w:sz w:val="20"/>
          <w:szCs w:val="20"/>
          <w:color w:val="auto"/>
        </w:rPr>
      </w:pPr>
      <w:r>
        <w:rPr>
          <w:rFonts w:ascii="Times New Roman" w:cs="Times New Roman" w:eastAsia="Times New Roman" w:hAnsi="Times New Roman"/>
          <w:sz w:val="18"/>
          <w:szCs w:val="18"/>
          <w:color w:val="auto"/>
        </w:rPr>
        <w:t>In addition, no officer, director or employee shall directly or indirectly communicate (or “tip”) material, non-public information to anyone outside of the Company (except in accordance with the Company’s policies regarding the protection or authorized external disclosure of Company information) or to anyone within the Company other than on a need-to-know basis.</w:t>
      </w:r>
    </w:p>
    <w:p>
      <w:pPr>
        <w:spacing w:after="0" w:line="171" w:lineRule="exact"/>
        <w:rPr>
          <w:sz w:val="20"/>
          <w:szCs w:val="20"/>
          <w:color w:val="auto"/>
        </w:rPr>
      </w:pPr>
    </w:p>
    <w:p>
      <w:pPr>
        <w:ind w:left="860" w:hanging="651"/>
        <w:spacing w:after="0"/>
        <w:tabs>
          <w:tab w:leader="none" w:pos="860"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Explanation of Insider Trader</w:t>
      </w:r>
    </w:p>
    <w:p>
      <w:pPr>
        <w:spacing w:after="0" w:line="240" w:lineRule="exact"/>
        <w:rPr>
          <w:sz w:val="20"/>
          <w:szCs w:val="20"/>
          <w:color w:val="auto"/>
        </w:rPr>
      </w:pPr>
    </w:p>
    <w:p>
      <w:pPr>
        <w:jc w:val="both"/>
        <w:ind w:left="200" w:right="219"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“Insider trading” </w:t>
      </w:r>
      <w:r>
        <w:rPr>
          <w:rFonts w:ascii="Times New Roman" w:cs="Times New Roman" w:eastAsia="Times New Roman" w:hAnsi="Times New Roman"/>
          <w:sz w:val="18"/>
          <w:szCs w:val="18"/>
          <w:color w:val="auto"/>
        </w:rPr>
        <w:t>refers to the purchase or sale of a security while in possession of “material,” “non-public”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relating to the security or its issuer.</w:t>
      </w:r>
    </w:p>
    <w:p>
      <w:pPr>
        <w:spacing w:after="0" w:line="158" w:lineRule="exact"/>
        <w:rPr>
          <w:sz w:val="20"/>
          <w:szCs w:val="20"/>
          <w:color w:val="auto"/>
        </w:rPr>
      </w:pPr>
    </w:p>
    <w:p>
      <w:pPr>
        <w:jc w:val="both"/>
        <w:ind w:left="200" w:right="219"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“Securities” </w:t>
      </w:r>
      <w:r>
        <w:rPr>
          <w:rFonts w:ascii="Times New Roman" w:cs="Times New Roman" w:eastAsia="Times New Roman" w:hAnsi="Times New Roman"/>
          <w:sz w:val="18"/>
          <w:szCs w:val="18"/>
          <w:color w:val="auto"/>
        </w:rPr>
        <w:t>include stocks, bonds, notes, debentures, options, warrants and other convertible securities,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well as derivative instruments.</w:t>
      </w:r>
    </w:p>
    <w:p>
      <w:pPr>
        <w:spacing w:after="0" w:line="15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i w:val="1"/>
          <w:iCs w:val="1"/>
          <w:color w:val="auto"/>
        </w:rPr>
        <w:t xml:space="preserve">“Purchase”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“sale” </w:t>
      </w:r>
      <w:r>
        <w:rPr>
          <w:rFonts w:ascii="Times New Roman" w:cs="Times New Roman" w:eastAsia="Times New Roman" w:hAnsi="Times New Roman"/>
          <w:sz w:val="18"/>
          <w:szCs w:val="18"/>
          <w:color w:val="auto"/>
        </w:rPr>
        <w:t>are defined broadly under the federal securities law.</w:t>
      </w:r>
    </w:p>
    <w:p>
      <w:pPr>
        <w:spacing w:after="0" w:line="225" w:lineRule="exact"/>
        <w:rPr>
          <w:sz w:val="20"/>
          <w:szCs w:val="20"/>
          <w:color w:val="auto"/>
        </w:rPr>
      </w:pPr>
    </w:p>
    <w:p>
      <w:pPr>
        <w:jc w:val="both"/>
        <w:ind w:left="200" w:right="219"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“Purchase” </w:t>
      </w:r>
      <w:r>
        <w:rPr>
          <w:rFonts w:ascii="Times New Roman" w:cs="Times New Roman" w:eastAsia="Times New Roman" w:hAnsi="Times New Roman"/>
          <w:sz w:val="18"/>
          <w:szCs w:val="18"/>
          <w:color w:val="auto"/>
        </w:rPr>
        <w:t>includes not only the actual purchase of a security, but any contract to purchase or otherwise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acquire a security. </w:t>
      </w:r>
      <w:r>
        <w:rPr>
          <w:rFonts w:ascii="Times New Roman" w:cs="Times New Roman" w:eastAsia="Times New Roman" w:hAnsi="Times New Roman"/>
          <w:sz w:val="18"/>
          <w:szCs w:val="18"/>
          <w:i w:val="1"/>
          <w:iCs w:val="1"/>
          <w:color w:val="auto"/>
        </w:rPr>
        <w:t>“Sale”</w:t>
      </w:r>
      <w:r>
        <w:rPr>
          <w:rFonts w:ascii="Times New Roman" w:cs="Times New Roman" w:eastAsia="Times New Roman" w:hAnsi="Times New Roman"/>
          <w:sz w:val="18"/>
          <w:szCs w:val="18"/>
          <w:color w:val="auto"/>
        </w:rPr>
        <w:t xml:space="preserve"> includes not only the actual sale of a security, but any contract to sell or otherwise dispose of a security. These definitions extend to a broad range of transactions, including conventional cash-for-stock transactions, conversions, the exercise of stock options, and acquisitions and exercises of warrants or puts, calls or other derivative securities.</w:t>
      </w:r>
    </w:p>
    <w:p>
      <w:pPr>
        <w:spacing w:after="0" w:line="18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It is generally understood that insider trading includes the following:</w:t>
      </w:r>
    </w:p>
    <w:p>
      <w:pPr>
        <w:spacing w:after="0" w:line="225" w:lineRule="exact"/>
        <w:rPr>
          <w:sz w:val="20"/>
          <w:szCs w:val="20"/>
          <w:color w:val="auto"/>
        </w:rPr>
      </w:pPr>
    </w:p>
    <w:p>
      <w:pPr>
        <w:ind w:left="1500" w:hanging="643"/>
        <w:spacing w:after="0"/>
        <w:tabs>
          <w:tab w:leader="none" w:pos="15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by insiders while in possession of material, non-public information;</w:t>
      </w:r>
    </w:p>
    <w:p>
      <w:pPr>
        <w:spacing w:after="0" w:line="225" w:lineRule="exact"/>
        <w:rPr>
          <w:rFonts w:ascii="Times New Roman" w:cs="Times New Roman" w:eastAsia="Times New Roman" w:hAnsi="Times New Roman"/>
          <w:sz w:val="18"/>
          <w:szCs w:val="18"/>
          <w:color w:val="auto"/>
        </w:rPr>
      </w:pPr>
    </w:p>
    <w:p>
      <w:pPr>
        <w:jc w:val="both"/>
        <w:ind w:left="1500" w:right="219" w:hanging="643"/>
        <w:spacing w:after="0" w:line="266" w:lineRule="auto"/>
        <w:tabs>
          <w:tab w:leader="none" w:pos="15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by persons other than insiders while in possession of material, non-public information, if the information either was given in breach of an insider’s fiduciary duty to keep it confidential or was misappropriated; and</w:t>
      </w:r>
    </w:p>
    <w:p>
      <w:pPr>
        <w:spacing w:after="0" w:line="175" w:lineRule="exact"/>
        <w:rPr>
          <w:rFonts w:ascii="Times New Roman" w:cs="Times New Roman" w:eastAsia="Times New Roman" w:hAnsi="Times New Roman"/>
          <w:sz w:val="18"/>
          <w:szCs w:val="18"/>
          <w:color w:val="auto"/>
        </w:rPr>
      </w:pPr>
    </w:p>
    <w:p>
      <w:pPr>
        <w:ind w:left="1500" w:right="239" w:hanging="643"/>
        <w:spacing w:after="0" w:line="282" w:lineRule="auto"/>
        <w:tabs>
          <w:tab w:leader="none" w:pos="15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Communicating or tipping material, non-public information to others, including recommending the purchase or sale of a security while in possession of such information.</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 of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60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07">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37" w:name="page138"/>
    <w:bookmarkEnd w:id="137"/>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What Facts are Material?</w:t>
      </w:r>
    </w:p>
    <w:p>
      <w:pPr>
        <w:spacing w:after="0" w:line="252" w:lineRule="exact"/>
        <w:rPr>
          <w:sz w:val="20"/>
          <w:szCs w:val="20"/>
          <w:color w:val="auto"/>
        </w:rPr>
      </w:pPr>
    </w:p>
    <w:p>
      <w:pPr>
        <w:jc w:val="both"/>
        <w:ind w:left="200" w:right="219" w:firstLine="648"/>
        <w:spacing w:after="0" w:line="258" w:lineRule="auto"/>
        <w:rPr>
          <w:sz w:val="20"/>
          <w:szCs w:val="20"/>
          <w:color w:val="auto"/>
        </w:rPr>
      </w:pPr>
      <w:r>
        <w:rPr>
          <w:rFonts w:ascii="Times New Roman" w:cs="Times New Roman" w:eastAsia="Times New Roman" w:hAnsi="Times New Roman"/>
          <w:sz w:val="18"/>
          <w:szCs w:val="18"/>
          <w:color w:val="auto"/>
        </w:rPr>
        <w:t>The materiality of a fact depends upon the circumstances. A fact is considered “material” if there is a substantial likelihood that a reasonable investor would consider it important in making a decision to buy, sell or hold a security, or if the fact is likely to have a significant effect on the market price of the security. Material information can be positive or negative and can relate to virtually any aspect of a company’s business or to any type of security, debt or equity.</w:t>
      </w:r>
    </w:p>
    <w:p>
      <w:pPr>
        <w:spacing w:after="0" w:line="183" w:lineRule="exact"/>
        <w:rPr>
          <w:sz w:val="20"/>
          <w:szCs w:val="20"/>
          <w:color w:val="auto"/>
        </w:rPr>
      </w:pPr>
    </w:p>
    <w:p>
      <w:pPr>
        <w:jc w:val="both"/>
        <w:ind w:left="200" w:right="219" w:firstLine="648"/>
        <w:spacing w:after="0" w:line="254" w:lineRule="auto"/>
        <w:rPr>
          <w:sz w:val="20"/>
          <w:szCs w:val="20"/>
          <w:color w:val="auto"/>
        </w:rPr>
      </w:pPr>
      <w:r>
        <w:rPr>
          <w:rFonts w:ascii="Times New Roman" w:cs="Times New Roman" w:eastAsia="Times New Roman" w:hAnsi="Times New Roman"/>
          <w:sz w:val="18"/>
          <w:szCs w:val="18"/>
          <w:color w:val="auto"/>
        </w:rPr>
        <w:t>Examples of material information include (but are not limited to) information about: dividends; corporate earnings or earnings forecasts; possible mergers, acquisitions, tender offers or dispositions; major new products or product developments; important business developments such as developments regarding strategic collaborations or developments with major customers and suppliers; development regarding the Company’s intellectual property portfolio; significant incidents involving cybersecurity or data protection; management or control changes; significant borrowing or financing developments including pending public sales or offerings of debt or equity securities; defaults on borrowings; bankruptcies; and significant litigation or regulatory actions. Moreover, material information does not have to be related to a company’s business. For example, the contents of a forthcoming newspaper column that is expected to affect the market price of a security can be material.</w:t>
      </w:r>
    </w:p>
    <w:p>
      <w:pPr>
        <w:spacing w:after="0" w:line="184" w:lineRule="exact"/>
        <w:rPr>
          <w:sz w:val="20"/>
          <w:szCs w:val="20"/>
          <w:color w:val="auto"/>
        </w:rPr>
      </w:pPr>
    </w:p>
    <w:p>
      <w:pPr>
        <w:jc w:val="both"/>
        <w:ind w:left="200" w:right="219" w:firstLine="648"/>
        <w:spacing w:after="0" w:line="286" w:lineRule="auto"/>
        <w:rPr>
          <w:sz w:val="20"/>
          <w:szCs w:val="20"/>
          <w:color w:val="auto"/>
        </w:rPr>
      </w:pPr>
      <w:r>
        <w:rPr>
          <w:rFonts w:ascii="Times New Roman" w:cs="Times New Roman" w:eastAsia="Times New Roman" w:hAnsi="Times New Roman"/>
          <w:sz w:val="18"/>
          <w:szCs w:val="18"/>
          <w:color w:val="auto"/>
        </w:rPr>
        <w:t xml:space="preserve">A good general rule of thumb: </w:t>
      </w:r>
      <w:r>
        <w:rPr>
          <w:rFonts w:ascii="Times New Roman" w:cs="Times New Roman" w:eastAsia="Times New Roman" w:hAnsi="Times New Roman"/>
          <w:sz w:val="18"/>
          <w:szCs w:val="18"/>
          <w:b w:val="1"/>
          <w:bCs w:val="1"/>
          <w:color w:val="auto"/>
        </w:rPr>
        <w:t>When in doubt, do not trade.</w:t>
      </w:r>
      <w:r>
        <w:rPr>
          <w:rFonts w:ascii="Times New Roman" w:cs="Times New Roman" w:eastAsia="Times New Roman" w:hAnsi="Times New Roman"/>
          <w:sz w:val="18"/>
          <w:szCs w:val="18"/>
          <w:color w:val="auto"/>
        </w:rPr>
        <w:t xml:space="preserve"> Please contact the General Counsel if you have any questions about whether information is material.</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What is Non-Public?</w:t>
      </w:r>
    </w:p>
    <w:p>
      <w:pPr>
        <w:spacing w:after="0" w:line="225" w:lineRule="exact"/>
        <w:rPr>
          <w:sz w:val="20"/>
          <w:szCs w:val="20"/>
          <w:color w:val="auto"/>
        </w:rPr>
      </w:pPr>
    </w:p>
    <w:p>
      <w:pPr>
        <w:jc w:val="both"/>
        <w:ind w:left="200" w:right="219" w:firstLine="648"/>
        <w:spacing w:after="0" w:line="256" w:lineRule="auto"/>
        <w:rPr>
          <w:sz w:val="20"/>
          <w:szCs w:val="20"/>
          <w:color w:val="auto"/>
        </w:rPr>
      </w:pPr>
      <w:r>
        <w:rPr>
          <w:rFonts w:ascii="Times New Roman" w:cs="Times New Roman" w:eastAsia="Times New Roman" w:hAnsi="Times New Roman"/>
          <w:sz w:val="18"/>
          <w:szCs w:val="18"/>
          <w:color w:val="auto"/>
        </w:rPr>
        <w:t xml:space="preserve">Information is “non-public” if it is not available to the general public. In order for information to be considered public, it must be widely disseminated in a manner making it generally available to investors through such media as </w:t>
      </w:r>
      <w:r>
        <w:rPr>
          <w:rFonts w:ascii="Times New Roman" w:cs="Times New Roman" w:eastAsia="Times New Roman" w:hAnsi="Times New Roman"/>
          <w:sz w:val="18"/>
          <w:szCs w:val="18"/>
          <w:u w:val="single" w:color="auto"/>
          <w:color w:val="auto"/>
        </w:rPr>
        <w:t>Dow Jones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Business Wire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Reuters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The Wall Street Journal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Associated Press</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United Press International</w:t>
      </w:r>
      <w:r>
        <w:rPr>
          <w:rFonts w:ascii="Times New Roman" w:cs="Times New Roman" w:eastAsia="Times New Roman" w:hAnsi="Times New Roman"/>
          <w:sz w:val="18"/>
          <w:szCs w:val="18"/>
          <w:color w:val="auto"/>
        </w:rPr>
        <w:t>, a broadcast on widely available radio or television programs, publication in a widely available newspaper, magazine or news web site, a Regulation FD-compliant conference call, or public disclosure documents filed with the Securities and Exchange Commission (“SEC”) that are available on the SEC’s website.</w:t>
      </w:r>
    </w:p>
    <w:p>
      <w:pPr>
        <w:spacing w:after="0" w:line="187" w:lineRule="exact"/>
        <w:rPr>
          <w:sz w:val="20"/>
          <w:szCs w:val="20"/>
          <w:color w:val="auto"/>
        </w:rPr>
      </w:pPr>
    </w:p>
    <w:p>
      <w:pPr>
        <w:jc w:val="both"/>
        <w:ind w:left="200" w:right="219" w:firstLine="648"/>
        <w:spacing w:after="0" w:line="254" w:lineRule="auto"/>
        <w:rPr>
          <w:sz w:val="20"/>
          <w:szCs w:val="20"/>
          <w:color w:val="auto"/>
        </w:rPr>
      </w:pPr>
      <w:r>
        <w:rPr>
          <w:rFonts w:ascii="Times New Roman" w:cs="Times New Roman" w:eastAsia="Times New Roman" w:hAnsi="Times New Roman"/>
          <w:sz w:val="18"/>
          <w:szCs w:val="18"/>
          <w:color w:val="auto"/>
        </w:rPr>
        <w:t>The circulation of rumors, even if accurate and reported in the media, does not constitute effective public dissemination. In addition, even after a public announcement, a reasonable period of time must lapse in order for the market to react to the information. Generally, one should allow two full trading days following publication as a reasonable waiting period before such information is deemed to be public. If, for example, the Company were to make an announcement on a Monday prior to 9:30 a.m. Eastern time, the information would be deemed public after the close of trading on Tuesday. If an announcement were made on a Monday after 9:30 a.m. Eastern time, the information would be deemed public after the close of trading on Wednesday. If you have any question as to whether information is publicly available, please direct an inquiry to the General Counsel.</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Who is an Insider?</w:t>
      </w:r>
    </w:p>
    <w:p>
      <w:pPr>
        <w:spacing w:after="0" w:line="252" w:lineRule="exact"/>
        <w:rPr>
          <w:sz w:val="20"/>
          <w:szCs w:val="20"/>
          <w:color w:val="auto"/>
        </w:rPr>
      </w:pPr>
    </w:p>
    <w:p>
      <w:pPr>
        <w:jc w:val="both"/>
        <w:ind w:left="200" w:right="219" w:firstLine="648"/>
        <w:spacing w:after="0" w:line="255" w:lineRule="auto"/>
        <w:rPr>
          <w:sz w:val="20"/>
          <w:szCs w:val="20"/>
          <w:color w:val="auto"/>
        </w:rPr>
      </w:pPr>
      <w:r>
        <w:rPr>
          <w:rFonts w:ascii="Times New Roman" w:cs="Times New Roman" w:eastAsia="Times New Roman" w:hAnsi="Times New Roman"/>
          <w:sz w:val="18"/>
          <w:szCs w:val="18"/>
          <w:color w:val="auto"/>
        </w:rPr>
        <w:t>“Insiders” include officers, directors and employees of a company and anyone else who has material non-public information about a company. Insiders have independent fiduciary duties to their company and its stockholders not to trade on material, non-public information relating to the company’s securities. All officers, directors and employees of the Company should consider themselves insiders with respect to material, non-public information about the Company’s business, activities and securities. Individuals subject to this Policy are responsible for ensuring that members of their households also comply with this Policy. This Policy also applies to any entities controlled by individuals subject to the Policy,</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 of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0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364" w:right="1440" w:bottom="1440" w:gutter="0" w:footer="0" w:header="0"/>
        </w:sectPr>
      </w:pPr>
    </w:p>
    <w:bookmarkStart w:id="138" w:name="page139"/>
    <w:bookmarkEnd w:id="138"/>
    <w:p>
      <w:pPr>
        <w:jc w:val="both"/>
        <w:ind w:left="200" w:right="219"/>
        <w:spacing w:after="0" w:line="282" w:lineRule="auto"/>
        <w:rPr>
          <w:sz w:val="20"/>
          <w:szCs w:val="20"/>
          <w:color w:val="auto"/>
        </w:rPr>
      </w:pPr>
      <w:r>
        <w:rPr>
          <w:rFonts w:ascii="Times New Roman" w:cs="Times New Roman" w:eastAsia="Times New Roman" w:hAnsi="Times New Roman"/>
          <w:sz w:val="18"/>
          <w:szCs w:val="18"/>
          <w:color w:val="auto"/>
        </w:rPr>
        <w:t>including any corporations, partnerships or trusts, and transactions by these entities should be treated for the purposes of this Policy and applicable securities laws as if they were for the individual’s own account.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Trading by Persons Other than Insiders</w:t>
      </w:r>
    </w:p>
    <w:p>
      <w:pPr>
        <w:spacing w:after="0" w:line="225" w:lineRule="exact"/>
        <w:rPr>
          <w:sz w:val="20"/>
          <w:szCs w:val="20"/>
          <w:color w:val="auto"/>
        </w:rPr>
      </w:pPr>
    </w:p>
    <w:p>
      <w:pPr>
        <w:jc w:val="both"/>
        <w:ind w:left="200" w:right="219" w:firstLine="648"/>
        <w:spacing w:after="0" w:line="261" w:lineRule="auto"/>
        <w:rPr>
          <w:sz w:val="20"/>
          <w:szCs w:val="20"/>
          <w:color w:val="auto"/>
        </w:rPr>
      </w:pPr>
      <w:r>
        <w:rPr>
          <w:rFonts w:ascii="Times New Roman" w:cs="Times New Roman" w:eastAsia="Times New Roman" w:hAnsi="Times New Roman"/>
          <w:sz w:val="18"/>
          <w:szCs w:val="18"/>
          <w:color w:val="auto"/>
        </w:rPr>
        <w:t>Insiders may be liable for communicating or tipping material, non-public information to a third party (“tippee”), and insider trading violations are not limited to trading or tipping by insiders. Persons other than insiders also can be liable for insider trading, including tippees who trade on material, non-public information tipped to them or individuals who trade on material, non-public information that has been misappropriated.</w:t>
      </w:r>
    </w:p>
    <w:p>
      <w:pPr>
        <w:spacing w:after="0" w:line="180" w:lineRule="exact"/>
        <w:rPr>
          <w:sz w:val="20"/>
          <w:szCs w:val="20"/>
          <w:color w:val="auto"/>
        </w:rPr>
      </w:pPr>
    </w:p>
    <w:p>
      <w:pPr>
        <w:jc w:val="both"/>
        <w:ind w:left="200" w:right="219" w:firstLine="648"/>
        <w:spacing w:after="0" w:line="258" w:lineRule="auto"/>
        <w:rPr>
          <w:sz w:val="20"/>
          <w:szCs w:val="20"/>
          <w:color w:val="auto"/>
        </w:rPr>
      </w:pPr>
      <w:r>
        <w:rPr>
          <w:rFonts w:ascii="Times New Roman" w:cs="Times New Roman" w:eastAsia="Times New Roman" w:hAnsi="Times New Roman"/>
          <w:sz w:val="18"/>
          <w:szCs w:val="18"/>
          <w:color w:val="auto"/>
        </w:rPr>
        <w:t>Tippees inherit an insider’s duties and are liable for trading on material, non-public information illegally tipped to them by an insider. Similarly, just as insiders are liable for the insider trading of their tippees, so are tippees who pass the information along to others who trade. In other words, a tippee’s liability for insider trading is no different from that of an insider. Tippees can obtain material, non-public information by receiving overt tips from others or through, among other things, conversations at social, business, or other gatherings.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Penalties for Engaging in Insider Trading</w:t>
      </w:r>
    </w:p>
    <w:p>
      <w:pPr>
        <w:spacing w:after="0" w:line="225" w:lineRule="exact"/>
        <w:rPr>
          <w:sz w:val="20"/>
          <w:szCs w:val="20"/>
          <w:color w:val="auto"/>
        </w:rPr>
      </w:pPr>
    </w:p>
    <w:p>
      <w:pPr>
        <w:jc w:val="both"/>
        <w:ind w:left="200" w:right="219" w:firstLine="648"/>
        <w:spacing w:after="0" w:line="261" w:lineRule="auto"/>
        <w:rPr>
          <w:sz w:val="20"/>
          <w:szCs w:val="20"/>
          <w:color w:val="auto"/>
        </w:rPr>
      </w:pPr>
      <w:r>
        <w:rPr>
          <w:rFonts w:ascii="Times New Roman" w:cs="Times New Roman" w:eastAsia="Times New Roman" w:hAnsi="Times New Roman"/>
          <w:sz w:val="18"/>
          <w:szCs w:val="18"/>
          <w:color w:val="auto"/>
        </w:rPr>
        <w:t>Penalties for trading on or tipping material, non-public information can extend significantly beyond any profits made or losses avoided, both for individuals engaging in such unlawful conduct and their employers. The SEC and Department of Justice have made the civil and criminal prosecution of insider trading violations a top priority. Enforcement remedies available to the government or private plaintiffs under the federal securities laws include:</w:t>
      </w:r>
    </w:p>
    <w:p>
      <w:pPr>
        <w:spacing w:after="0" w:line="180" w:lineRule="exact"/>
        <w:rPr>
          <w:sz w:val="20"/>
          <w:szCs w:val="20"/>
          <w:color w:val="auto"/>
        </w:rPr>
      </w:pPr>
    </w:p>
    <w:p>
      <w:pPr>
        <w:ind w:left="1500" w:hanging="643"/>
        <w:spacing w:after="0"/>
        <w:tabs>
          <w:tab w:leader="none" w:pos="15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administrative sanctions;</w:t>
      </w:r>
    </w:p>
    <w:p>
      <w:pPr>
        <w:spacing w:after="0" w:line="225" w:lineRule="exact"/>
        <w:rPr>
          <w:rFonts w:ascii="Times New Roman" w:cs="Times New Roman" w:eastAsia="Times New Roman" w:hAnsi="Times New Roman"/>
          <w:sz w:val="18"/>
          <w:szCs w:val="18"/>
          <w:color w:val="auto"/>
        </w:rPr>
      </w:pPr>
    </w:p>
    <w:p>
      <w:pPr>
        <w:ind w:left="1500" w:hanging="643"/>
        <w:spacing w:after="0"/>
        <w:tabs>
          <w:tab w:leader="none" w:pos="15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industry self-regulatory organization sanctions;</w:t>
      </w:r>
    </w:p>
    <w:p>
      <w:pPr>
        <w:spacing w:after="0" w:line="225" w:lineRule="exact"/>
        <w:rPr>
          <w:rFonts w:ascii="Times New Roman" w:cs="Times New Roman" w:eastAsia="Times New Roman" w:hAnsi="Times New Roman"/>
          <w:sz w:val="18"/>
          <w:szCs w:val="18"/>
          <w:color w:val="auto"/>
        </w:rPr>
      </w:pPr>
    </w:p>
    <w:p>
      <w:pPr>
        <w:ind w:left="1500" w:hanging="643"/>
        <w:spacing w:after="0"/>
        <w:tabs>
          <w:tab w:leader="none" w:pos="15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Civil injunctions;</w:t>
      </w:r>
    </w:p>
    <w:p>
      <w:pPr>
        <w:spacing w:after="0" w:line="225" w:lineRule="exact"/>
        <w:rPr>
          <w:rFonts w:ascii="Times New Roman" w:cs="Times New Roman" w:eastAsia="Times New Roman" w:hAnsi="Times New Roman"/>
          <w:sz w:val="18"/>
          <w:szCs w:val="18"/>
          <w:color w:val="auto"/>
        </w:rPr>
      </w:pPr>
    </w:p>
    <w:p>
      <w:pPr>
        <w:ind w:left="1500" w:hanging="643"/>
        <w:spacing w:after="0"/>
        <w:tabs>
          <w:tab w:leader="none" w:pos="15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awards to private plaintiffs;</w:t>
      </w:r>
    </w:p>
    <w:p>
      <w:pPr>
        <w:spacing w:after="0" w:line="225" w:lineRule="exact"/>
        <w:rPr>
          <w:rFonts w:ascii="Times New Roman" w:cs="Times New Roman" w:eastAsia="Times New Roman" w:hAnsi="Times New Roman"/>
          <w:sz w:val="18"/>
          <w:szCs w:val="18"/>
          <w:color w:val="auto"/>
        </w:rPr>
      </w:pPr>
    </w:p>
    <w:p>
      <w:pPr>
        <w:ind w:left="1500" w:hanging="643"/>
        <w:spacing w:after="0"/>
        <w:tabs>
          <w:tab w:leader="none" w:pos="15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Disgorgement of all profits;</w:t>
      </w:r>
    </w:p>
    <w:p>
      <w:pPr>
        <w:spacing w:after="0" w:line="225" w:lineRule="exact"/>
        <w:rPr>
          <w:rFonts w:ascii="Times New Roman" w:cs="Times New Roman" w:eastAsia="Times New Roman" w:hAnsi="Times New Roman"/>
          <w:sz w:val="18"/>
          <w:szCs w:val="18"/>
          <w:color w:val="auto"/>
        </w:rPr>
      </w:pPr>
    </w:p>
    <w:p>
      <w:pPr>
        <w:ind w:left="1500" w:hanging="643"/>
        <w:spacing w:after="0"/>
        <w:tabs>
          <w:tab w:leader="none" w:pos="15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Civil fines for the violator of up to three times the amount of profit gained or loss avoided;</w:t>
      </w:r>
    </w:p>
    <w:p>
      <w:pPr>
        <w:spacing w:after="0" w:line="225" w:lineRule="exact"/>
        <w:rPr>
          <w:rFonts w:ascii="Times New Roman" w:cs="Times New Roman" w:eastAsia="Times New Roman" w:hAnsi="Times New Roman"/>
          <w:sz w:val="18"/>
          <w:szCs w:val="18"/>
          <w:color w:val="auto"/>
        </w:rPr>
      </w:pPr>
    </w:p>
    <w:p>
      <w:pPr>
        <w:ind w:left="1500" w:right="239" w:hanging="643"/>
        <w:spacing w:after="0" w:line="282" w:lineRule="auto"/>
        <w:tabs>
          <w:tab w:leader="none" w:pos="15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Civil fines for the employer or other controlling person of a violator (i.e., where the violator is an employee or other controlled person);</w:t>
      </w:r>
    </w:p>
    <w:p>
      <w:pPr>
        <w:spacing w:after="0" w:line="161" w:lineRule="exact"/>
        <w:rPr>
          <w:rFonts w:ascii="Times New Roman" w:cs="Times New Roman" w:eastAsia="Times New Roman" w:hAnsi="Times New Roman"/>
          <w:sz w:val="18"/>
          <w:szCs w:val="18"/>
          <w:color w:val="auto"/>
        </w:rPr>
      </w:pPr>
    </w:p>
    <w:p>
      <w:pPr>
        <w:ind w:left="1500" w:hanging="643"/>
        <w:spacing w:after="0"/>
        <w:tabs>
          <w:tab w:leader="none" w:pos="15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Criminal fines for individual violators; and</w:t>
      </w:r>
    </w:p>
    <w:p>
      <w:pPr>
        <w:spacing w:after="0" w:line="225" w:lineRule="exact"/>
        <w:rPr>
          <w:rFonts w:ascii="Times New Roman" w:cs="Times New Roman" w:eastAsia="Times New Roman" w:hAnsi="Times New Roman"/>
          <w:sz w:val="18"/>
          <w:szCs w:val="18"/>
          <w:color w:val="auto"/>
        </w:rPr>
      </w:pPr>
    </w:p>
    <w:p>
      <w:pPr>
        <w:ind w:left="1500" w:hanging="643"/>
        <w:spacing w:after="0"/>
        <w:tabs>
          <w:tab w:leader="none" w:pos="15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Jail sentences of up to 20 years.</w:t>
      </w:r>
    </w:p>
    <w:p>
      <w:pPr>
        <w:spacing w:after="0" w:line="225" w:lineRule="exact"/>
        <w:rPr>
          <w:sz w:val="20"/>
          <w:szCs w:val="20"/>
          <w:color w:val="auto"/>
        </w:rPr>
      </w:pPr>
    </w:p>
    <w:p>
      <w:pPr>
        <w:jc w:val="both"/>
        <w:ind w:left="200" w:right="219" w:firstLine="648"/>
        <w:spacing w:after="0" w:line="261" w:lineRule="auto"/>
        <w:rPr>
          <w:sz w:val="20"/>
          <w:szCs w:val="20"/>
          <w:color w:val="auto"/>
        </w:rPr>
      </w:pPr>
      <w:r>
        <w:rPr>
          <w:rFonts w:ascii="Times New Roman" w:cs="Times New Roman" w:eastAsia="Times New Roman" w:hAnsi="Times New Roman"/>
          <w:sz w:val="18"/>
          <w:szCs w:val="18"/>
          <w:color w:val="auto"/>
        </w:rPr>
        <w:t>In addition, insider trading could result in serious sanctions by the Company, including dismissal. Insider trading violations are not limited to violations of the federal securities laws. Other federal and state civil or criminal laws, such as the laws prohibiting mail and wire fraud and the Racketeer Influenced and Corrupt Organizations Act (RICO), also may be violated in connection with insider trading.</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Size of Transaction and Reason for Transaction Do Not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 of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60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09">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39" w:name="page140"/>
    <w:bookmarkEnd w:id="139"/>
    <w:p>
      <w:pPr>
        <w:jc w:val="both"/>
        <w:ind w:left="200" w:right="219" w:firstLine="648"/>
        <w:spacing w:after="0" w:line="261" w:lineRule="auto"/>
        <w:rPr>
          <w:sz w:val="20"/>
          <w:szCs w:val="20"/>
          <w:color w:val="auto"/>
        </w:rPr>
      </w:pPr>
      <w:r>
        <w:rPr>
          <w:rFonts w:ascii="Times New Roman" w:cs="Times New Roman" w:eastAsia="Times New Roman" w:hAnsi="Times New Roman"/>
          <w:sz w:val="18"/>
          <w:szCs w:val="18"/>
          <w:color w:val="auto"/>
        </w:rPr>
        <w:t>The size of the transaction or the amount of profit received does not have to be significant to result in prosecution. The SEC has the ability to monitor even the smallest trades, and the SEC performs routine market surveillance. Brokers and dealers are required by law to inform the SEC of any possible violations by people who may have material, non-public information. The SEC aggressively investigates even small insider trading violations.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Examples of Insider Trading</w:t>
      </w:r>
    </w:p>
    <w:p>
      <w:pPr>
        <w:spacing w:after="0" w:line="225" w:lineRule="exact"/>
        <w:rPr>
          <w:sz w:val="20"/>
          <w:szCs w:val="20"/>
          <w:color w:val="auto"/>
        </w:rPr>
      </w:pPr>
    </w:p>
    <w:p>
      <w:pPr>
        <w:jc w:val="both"/>
        <w:ind w:left="200" w:right="219" w:firstLine="648"/>
        <w:spacing w:after="0" w:line="256" w:lineRule="auto"/>
        <w:rPr>
          <w:sz w:val="20"/>
          <w:szCs w:val="20"/>
          <w:color w:val="auto"/>
        </w:rPr>
      </w:pPr>
      <w:r>
        <w:rPr>
          <w:rFonts w:ascii="Times New Roman" w:cs="Times New Roman" w:eastAsia="Times New Roman" w:hAnsi="Times New Roman"/>
          <w:sz w:val="18"/>
          <w:szCs w:val="18"/>
          <w:color w:val="auto"/>
        </w:rPr>
        <w:t>Examples of insider trading cases include actions brought against corporate officers, directors, and employees who traded in a company’s securities after learning of significant confidential corporate developments; friends, business associates, family members and other tippees of such officers, directors, and employees who traded in the securities after receiving such information; government employees who learned of such information in the course of their employment; and other persons who misappropriated, and took advantage of, confidential information from their employers.</w:t>
      </w:r>
    </w:p>
    <w:p>
      <w:pPr>
        <w:spacing w:after="0" w:line="187" w:lineRule="exact"/>
        <w:rPr>
          <w:sz w:val="20"/>
          <w:szCs w:val="20"/>
          <w:color w:val="auto"/>
        </w:rPr>
      </w:pPr>
    </w:p>
    <w:p>
      <w:pPr>
        <w:jc w:val="both"/>
        <w:ind w:left="200" w:right="219" w:firstLine="648"/>
        <w:spacing w:after="0" w:line="282" w:lineRule="auto"/>
        <w:rPr>
          <w:sz w:val="20"/>
          <w:szCs w:val="20"/>
          <w:color w:val="auto"/>
        </w:rPr>
      </w:pPr>
      <w:r>
        <w:rPr>
          <w:rFonts w:ascii="Times New Roman" w:cs="Times New Roman" w:eastAsia="Times New Roman" w:hAnsi="Times New Roman"/>
          <w:sz w:val="18"/>
          <w:szCs w:val="18"/>
          <w:color w:val="auto"/>
        </w:rPr>
        <w:t>The following are illustrations of insider trading violations. These illustrations are hypothetical and, consequently, not intended to reflect on the actual activities or business of the Company or any other entity.</w:t>
      </w:r>
    </w:p>
    <w:p>
      <w:pPr>
        <w:spacing w:after="0" w:line="16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u w:val="single" w:color="auto"/>
          <w:color w:val="auto"/>
        </w:rPr>
        <w:t>Trading by Insider</w:t>
      </w:r>
    </w:p>
    <w:p>
      <w:pPr>
        <w:spacing w:after="0" w:line="225" w:lineRule="exact"/>
        <w:rPr>
          <w:sz w:val="20"/>
          <w:szCs w:val="20"/>
          <w:color w:val="auto"/>
        </w:rPr>
      </w:pPr>
    </w:p>
    <w:p>
      <w:pPr>
        <w:jc w:val="both"/>
        <w:ind w:left="860" w:right="219"/>
        <w:spacing w:after="0" w:line="256" w:lineRule="auto"/>
        <w:rPr>
          <w:sz w:val="20"/>
          <w:szCs w:val="20"/>
          <w:color w:val="auto"/>
        </w:rPr>
      </w:pPr>
      <w:r>
        <w:rPr>
          <w:rFonts w:ascii="Times New Roman" w:cs="Times New Roman" w:eastAsia="Times New Roman" w:hAnsi="Times New Roman"/>
          <w:sz w:val="18"/>
          <w:szCs w:val="18"/>
          <w:color w:val="auto"/>
        </w:rPr>
        <w:t>An officer of X Corporation learns that earnings to be reported by X Corporation will increase dramatically. Prior to the public announcement of such earnings, the officer purchases X Corporation’s stock. The officer, an insider, is liable for all profits as well as penalties of up to three times the amount of all profits. The officer also is subject to, among other things, criminal prosecution, including up to $5,000,000 in additional fines and 20 years in jail. Depending upon the circumstances, X Corporation and the individual to whom the officer reports also could be liable as controlling persons.</w:t>
      </w:r>
    </w:p>
    <w:p>
      <w:pPr>
        <w:spacing w:after="0" w:line="18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u w:val="single" w:color="auto"/>
          <w:color w:val="auto"/>
        </w:rPr>
        <w:t>Trading by Tippee</w:t>
      </w:r>
    </w:p>
    <w:p>
      <w:pPr>
        <w:spacing w:after="0" w:line="225" w:lineRule="exact"/>
        <w:rPr>
          <w:sz w:val="20"/>
          <w:szCs w:val="20"/>
          <w:color w:val="auto"/>
        </w:rPr>
      </w:pPr>
    </w:p>
    <w:p>
      <w:pPr>
        <w:jc w:val="both"/>
        <w:ind w:left="860" w:right="219"/>
        <w:spacing w:after="0" w:line="258" w:lineRule="auto"/>
        <w:rPr>
          <w:sz w:val="20"/>
          <w:szCs w:val="20"/>
          <w:color w:val="auto"/>
        </w:rPr>
      </w:pPr>
      <w:r>
        <w:rPr>
          <w:rFonts w:ascii="Times New Roman" w:cs="Times New Roman" w:eastAsia="Times New Roman" w:hAnsi="Times New Roman"/>
          <w:sz w:val="18"/>
          <w:szCs w:val="18"/>
          <w:color w:val="auto"/>
        </w:rPr>
        <w:t>An officer of X Corporation tells a friend that X Corporation is about to publicly announce that it has signed an agreement for a major acquisition. This tip causes the friend to purchase X Corporation’s stock in advance of the announcement. The officer is jointly liable with his friend for all of the friend’s profits, and each is liable for all civil penalties of up to three times the amount of the friend’s profits. The officer and his friend are also subject to criminal prosecution and other remedies and sanctions, as described above.</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Prohibition of Records Falsification and False Statements</w:t>
      </w:r>
    </w:p>
    <w:p>
      <w:pPr>
        <w:spacing w:after="0" w:line="225" w:lineRule="exact"/>
        <w:rPr>
          <w:sz w:val="20"/>
          <w:szCs w:val="20"/>
          <w:color w:val="auto"/>
        </w:rPr>
      </w:pPr>
    </w:p>
    <w:p>
      <w:pPr>
        <w:jc w:val="both"/>
        <w:ind w:left="200" w:right="219" w:firstLine="648"/>
        <w:spacing w:after="0" w:line="255" w:lineRule="auto"/>
        <w:rPr>
          <w:sz w:val="20"/>
          <w:szCs w:val="20"/>
          <w:color w:val="auto"/>
        </w:rPr>
      </w:pPr>
      <w:r>
        <w:rPr>
          <w:rFonts w:ascii="Times New Roman" w:cs="Times New Roman" w:eastAsia="Times New Roman" w:hAnsi="Times New Roman"/>
          <w:sz w:val="18"/>
          <w:szCs w:val="18"/>
          <w:color w:val="auto"/>
        </w:rPr>
        <w:t>Section 13(b)(2) of the 1934 Act requires companies subject to the Act to maintain proper internal books and records and to devise and maintain an adequate system of internal accounting controls. The SEC has supplemented the statutory requirements by adopting rules that prohibit (1) any person from falsifying records or accounts subject to the above requirements and (2) officers or directors from making any materially false, misleading, or incomplete statement to any accountant in connection with any audit or filing with the SEC. These provisions reflect the SEC’s intent to discourage officers, directors and other persons with access to the Company’s books and records from taking action that might result in the communication of materially misleading financial information to the investing public.</w:t>
      </w:r>
    </w:p>
    <w:p>
      <w:pPr>
        <w:spacing w:after="0" w:line="206" w:lineRule="exact"/>
        <w:rPr>
          <w:sz w:val="20"/>
          <w:szCs w:val="20"/>
          <w:color w:val="auto"/>
        </w:rPr>
      </w:pPr>
    </w:p>
    <w:p>
      <w:pPr>
        <w:ind w:left="200"/>
        <w:spacing w:after="0"/>
        <w:tabs>
          <w:tab w:leader="none" w:pos="840" w:val="left"/>
        </w:tabs>
        <w:rPr>
          <w:sz w:val="20"/>
          <w:szCs w:val="20"/>
          <w:color w:val="auto"/>
        </w:rPr>
      </w:pPr>
      <w:r>
        <w:rPr>
          <w:rFonts w:ascii="Times New Roman" w:cs="Times New Roman" w:eastAsia="Times New Roman" w:hAnsi="Times New Roman"/>
          <w:sz w:val="22"/>
          <w:szCs w:val="22"/>
          <w:color w:val="auto"/>
        </w:rPr>
        <w:t>IV.</w:t>
      </w:r>
      <w:r>
        <w:rPr>
          <w:sz w:val="20"/>
          <w:szCs w:val="20"/>
          <w:color w:val="auto"/>
        </w:rPr>
        <w:tab/>
      </w:r>
      <w:r>
        <w:rPr>
          <w:rFonts w:ascii="Times New Roman" w:cs="Times New Roman" w:eastAsia="Times New Roman" w:hAnsi="Times New Roman"/>
          <w:sz w:val="22"/>
          <w:szCs w:val="22"/>
          <w:color w:val="auto"/>
        </w:rPr>
        <w:t>Statement of Procedures Preventing Insider Trading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 of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54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1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40" w:name="page141"/>
    <w:bookmarkEnd w:id="140"/>
    <w:p>
      <w:pPr>
        <w:jc w:val="both"/>
        <w:ind w:left="200" w:right="239" w:firstLine="648"/>
        <w:spacing w:after="0" w:line="282" w:lineRule="auto"/>
        <w:rPr>
          <w:sz w:val="20"/>
          <w:szCs w:val="20"/>
          <w:color w:val="auto"/>
        </w:rPr>
      </w:pPr>
      <w:r>
        <w:rPr>
          <w:rFonts w:ascii="Times New Roman" w:cs="Times New Roman" w:eastAsia="Times New Roman" w:hAnsi="Times New Roman"/>
          <w:sz w:val="18"/>
          <w:szCs w:val="18"/>
          <w:color w:val="auto"/>
        </w:rPr>
        <w:t>The following procedures have been established, and will be maintained and enforced, by the Company to prevent insider trading. Every officer, director and designated employee is required to follow these procedures.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Pre-Clearance of All Trades by All Officers, Directors and Certain Employees</w:t>
      </w:r>
    </w:p>
    <w:p>
      <w:pPr>
        <w:spacing w:after="0" w:line="225" w:lineRule="exact"/>
        <w:rPr>
          <w:sz w:val="20"/>
          <w:szCs w:val="20"/>
          <w:color w:val="auto"/>
        </w:rPr>
      </w:pPr>
    </w:p>
    <w:p>
      <w:pPr>
        <w:jc w:val="both"/>
        <w:ind w:left="200" w:right="219" w:firstLine="648"/>
        <w:spacing w:after="0" w:line="276" w:lineRule="auto"/>
        <w:rPr>
          <w:sz w:val="20"/>
          <w:szCs w:val="20"/>
          <w:color w:val="auto"/>
        </w:rPr>
      </w:pPr>
      <w:r>
        <w:rPr>
          <w:rFonts w:ascii="Times New Roman" w:cs="Times New Roman" w:eastAsia="Times New Roman" w:hAnsi="Times New Roman"/>
          <w:sz w:val="17"/>
          <w:szCs w:val="17"/>
          <w:color w:val="auto"/>
        </w:rPr>
        <w:t xml:space="preserve">To provide assistance in preventing inadvertent violations of applicable securities laws and to avoid the appearance of impropriety in connection with the purchase and sale of the Company’s securities, </w:t>
      </w:r>
      <w:r>
        <w:rPr>
          <w:rFonts w:ascii="Times New Roman" w:cs="Times New Roman" w:eastAsia="Times New Roman" w:hAnsi="Times New Roman"/>
          <w:sz w:val="17"/>
          <w:szCs w:val="17"/>
          <w:b w:val="1"/>
          <w:bCs w:val="1"/>
          <w:color w:val="auto"/>
        </w:rPr>
        <w:t>all transactions in the</w:t>
      </w:r>
    </w:p>
    <w:p>
      <w:pPr>
        <w:spacing w:after="0" w:line="1" w:lineRule="exact"/>
        <w:rPr>
          <w:sz w:val="20"/>
          <w:szCs w:val="20"/>
          <w:color w:val="auto"/>
        </w:rPr>
      </w:pPr>
    </w:p>
    <w:p>
      <w:pPr>
        <w:jc w:val="both"/>
        <w:ind w:left="200" w:right="219"/>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Company’s securities (including without limitation, acquisitions and dispositions of Company stock (including by gift), the exercise of stock options and the sale of Company stock issued upon exercise of stock options) by officers, directors and such other employees as are designated from time to time by the Board of Directors, Chief Executive Officer, the Chief Financial Officer or General Counsel as being subject to this pre-clearance process (each, a “Pre-Clearance Person”) must be pre-cleared </w:t>
      </w:r>
      <w:r>
        <w:rPr>
          <w:rFonts w:ascii="Times New Roman" w:cs="Times New Roman" w:eastAsia="Times New Roman" w:hAnsi="Times New Roman"/>
          <w:sz w:val="18"/>
          <w:szCs w:val="18"/>
          <w:color w:val="auto"/>
        </w:rPr>
        <w:t>by the Company’s Chief Financial Officer, or in her absence, the General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Counsel. The foregoing pre-clearance requirements do not apply to purchases of the Company’s securities under the Employee Stock Purchase Plan on the applicable Exercise Date (as defined in the Employee Stock Purchase Plan). Pre-clearance does not relieve anyone of his or her responsibility under SEC rules. For the avoidance of doubt, any designation by the Board of Directors of the employees who are subject to pre-clearance may be updated from time to time by the Chief Executive Officer, the Chief Financial Officer or the General Counsel.</w:t>
      </w:r>
    </w:p>
    <w:p>
      <w:pPr>
        <w:spacing w:after="0" w:line="193" w:lineRule="exact"/>
        <w:rPr>
          <w:sz w:val="20"/>
          <w:szCs w:val="20"/>
          <w:color w:val="auto"/>
        </w:rPr>
      </w:pPr>
    </w:p>
    <w:p>
      <w:pPr>
        <w:jc w:val="both"/>
        <w:ind w:left="200" w:right="219" w:firstLine="648"/>
        <w:spacing w:after="0" w:line="252" w:lineRule="auto"/>
        <w:rPr>
          <w:sz w:val="20"/>
          <w:szCs w:val="20"/>
          <w:color w:val="auto"/>
        </w:rPr>
      </w:pPr>
      <w:r>
        <w:rPr>
          <w:rFonts w:ascii="Times New Roman" w:cs="Times New Roman" w:eastAsia="Times New Roman" w:hAnsi="Times New Roman"/>
          <w:sz w:val="18"/>
          <w:szCs w:val="18"/>
          <w:color w:val="auto"/>
        </w:rPr>
        <w:t>A request for pre-clearance may be oral or in writing (including without limitation by e-mail), should be made at least two (2) business days in advance of the proposed transaction and should include the identity of the Pre-Clearance Person, the type of proposed transaction (for example, an open market purchase, a privately negotiated sale, an option exercise, etc.), the proposed date of the transaction and the number of shares, options or other securities to be involved. In addition, unless otherwise determined by the Chief Financial Officer (or in her absence, the General Counsel), the Pre-Clearance Person must execute a certification (in the form approved by the General Counsel) that he, she or it is not aware of material, non-public information about the Company. The Chief Financial Officer (or in her absence, the General Counsel) shall have sole discretion to decide whether to clear any contemplated transaction, provided that the Chief Executive Officer shall have sole discretion to decide whether to clear transactions by the Chief Financial Officer or persons or entities subject to this policy as a result of their relationship with the Chief Financial Officer. In the Chief Financial Officer’s absence, the Chief Executive Officer shall also have sole discretion to decide to clear transactions by the General Counsel or persons or entities subject to this policy as a result of their relationship with the General Counsel. All trades that are pre-cleared must be effected within five business days of receipt of the pre-clearance unless a specific exception has been granted by the Chief Financial Officer or in her absence, the General Counsel (or the Chief Executive Officer, in the case of the Chief Financial Officer or persons or entities subject to this policy as a result of a their relationship with the Chief Financial Officer as well as in the case of the General Counsel or persons subject to this policy as a result of their relationship with the General Counsel, if the Chief Financial Officer is absent). A pre-cleared trade (or any portion of a pre-cleared trade) that has not been effected during the five business day period must be pre-cleared again prior to execution. Notwithstanding receipt of pre-clearance, if the Pre-Clearance Person becomes aware of material, non-public information or becomes subject to a black-out period before the transaction is effected, the transaction may not be completed.</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Black-Out Periods</w:t>
      </w:r>
    </w:p>
    <w:p>
      <w:pPr>
        <w:spacing w:after="0" w:line="221" w:lineRule="exact"/>
        <w:rPr>
          <w:sz w:val="20"/>
          <w:szCs w:val="20"/>
          <w:color w:val="auto"/>
        </w:rPr>
      </w:pPr>
    </w:p>
    <w:p>
      <w:pPr>
        <w:jc w:val="both"/>
        <w:ind w:left="200" w:right="219"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No officer, director or other employee designated from time to time by the Board of Directors, the Chief Executive Officer, the Chief Financial Officer or the General Counsel as being subject to quarterly blackout periods shall purchase or sell any security of the Company during the period beginning at 11:59 p.m., Eastern time, on the 14th calendar before the end of any fiscal quarter of the Company and ending upon the completion of the second full trading</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 of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60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11">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41" w:name="page142"/>
    <w:bookmarkEnd w:id="141"/>
    <w:p>
      <w:pPr>
        <w:jc w:val="both"/>
        <w:ind w:left="200" w:right="21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day after the public release of earnings data for such fiscal quarter or during any other trading suspension period declared by the Company, </w:t>
      </w:r>
      <w:r>
        <w:rPr>
          <w:rFonts w:ascii="Times New Roman" w:cs="Times New Roman" w:eastAsia="Times New Roman" w:hAnsi="Times New Roman"/>
          <w:sz w:val="18"/>
          <w:szCs w:val="18"/>
          <w:color w:val="auto"/>
        </w:rPr>
        <w:t>except for purchases and sales made pursuant to the permitted transactions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described in Section II.</w:t>
      </w:r>
    </w:p>
    <w:p>
      <w:pPr>
        <w:spacing w:after="0" w:line="175" w:lineRule="exact"/>
        <w:rPr>
          <w:sz w:val="20"/>
          <w:szCs w:val="20"/>
          <w:color w:val="auto"/>
        </w:rPr>
      </w:pPr>
    </w:p>
    <w:p>
      <w:pPr>
        <w:jc w:val="both"/>
        <w:ind w:left="200" w:right="219" w:firstLine="648"/>
        <w:spacing w:after="0" w:line="266" w:lineRule="auto"/>
        <w:rPr>
          <w:sz w:val="20"/>
          <w:szCs w:val="20"/>
          <w:color w:val="auto"/>
        </w:rPr>
      </w:pPr>
      <w:r>
        <w:rPr>
          <w:rFonts w:ascii="Times New Roman" w:cs="Times New Roman" w:eastAsia="Times New Roman" w:hAnsi="Times New Roman"/>
          <w:sz w:val="18"/>
          <w:szCs w:val="18"/>
          <w:color w:val="auto"/>
        </w:rPr>
        <w:t>For the avoidance of doubt, any designation by the Board of Directors of the employees who are subject to quarterly black-out periods may be updated from time to time by the Chief Executive Officer, Chief Financial Officer or General Counsel.</w:t>
      </w:r>
    </w:p>
    <w:p>
      <w:pPr>
        <w:spacing w:after="0" w:line="176" w:lineRule="exact"/>
        <w:rPr>
          <w:sz w:val="20"/>
          <w:szCs w:val="20"/>
          <w:color w:val="auto"/>
        </w:rPr>
      </w:pPr>
    </w:p>
    <w:p>
      <w:pPr>
        <w:jc w:val="both"/>
        <w:ind w:left="200" w:right="219" w:firstLine="648"/>
        <w:spacing w:after="0" w:line="258" w:lineRule="auto"/>
        <w:rPr>
          <w:sz w:val="20"/>
          <w:szCs w:val="20"/>
          <w:color w:val="auto"/>
        </w:rPr>
      </w:pPr>
      <w:r>
        <w:rPr>
          <w:rFonts w:ascii="Times New Roman" w:cs="Times New Roman" w:eastAsia="Times New Roman" w:hAnsi="Times New Roman"/>
          <w:sz w:val="18"/>
          <w:szCs w:val="18"/>
          <w:color w:val="auto"/>
        </w:rPr>
        <w:t>Exceptions to the black-out period policy may be approved only by the General Counsel (or, in the case of an exception for the General Counsel or persons or entities subject to this policy as a result of their relationship with the General Counsel, the Chief Financial Officer or, in the case of exceptions for directors or persons or entities subject to this policy as a result of their relationship with a director, the Board of Directors or the Audit Committee of the Board of Directors).</w:t>
      </w:r>
    </w:p>
    <w:p>
      <w:pPr>
        <w:spacing w:after="0" w:line="183" w:lineRule="exact"/>
        <w:rPr>
          <w:sz w:val="20"/>
          <w:szCs w:val="20"/>
          <w:color w:val="auto"/>
        </w:rPr>
      </w:pPr>
    </w:p>
    <w:p>
      <w:pPr>
        <w:jc w:val="both"/>
        <w:ind w:left="200" w:right="219" w:firstLine="648"/>
        <w:spacing w:after="0" w:line="256" w:lineRule="auto"/>
        <w:rPr>
          <w:sz w:val="20"/>
          <w:szCs w:val="20"/>
          <w:color w:val="auto"/>
        </w:rPr>
      </w:pPr>
      <w:r>
        <w:rPr>
          <w:rFonts w:ascii="Times New Roman" w:cs="Times New Roman" w:eastAsia="Times New Roman" w:hAnsi="Times New Roman"/>
          <w:sz w:val="18"/>
          <w:szCs w:val="18"/>
          <w:color w:val="auto"/>
        </w:rPr>
        <w:t>From time to time, the Company, through the Board of Directors, the Company’s disclosure committee, General Counsel or Chief Financial Officer, may recommend that officers, directors, employees or others suspend trading in the Company’s securities because of developments that have not yet been disclosed to the public. Subject to the exceptions noted above, all of those affected should not trade in the Company’s securities while the suspension is in effect, and should not disclose to others that we have suspended trading. Any trading suspension will remain effective until revoked by the General Counsel.</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Post-Termination Transactions</w:t>
      </w:r>
    </w:p>
    <w:p>
      <w:pPr>
        <w:spacing w:after="0" w:line="225" w:lineRule="exact"/>
        <w:rPr>
          <w:sz w:val="20"/>
          <w:szCs w:val="20"/>
          <w:color w:val="auto"/>
        </w:rPr>
      </w:pPr>
    </w:p>
    <w:p>
      <w:pPr>
        <w:jc w:val="both"/>
        <w:ind w:left="200" w:right="219" w:firstLine="648"/>
        <w:spacing w:after="0" w:line="282" w:lineRule="auto"/>
        <w:rPr>
          <w:sz w:val="20"/>
          <w:szCs w:val="20"/>
          <w:color w:val="auto"/>
        </w:rPr>
      </w:pPr>
      <w:r>
        <w:rPr>
          <w:rFonts w:ascii="Times New Roman" w:cs="Times New Roman" w:eastAsia="Times New Roman" w:hAnsi="Times New Roman"/>
          <w:sz w:val="18"/>
          <w:szCs w:val="18"/>
          <w:color w:val="auto"/>
        </w:rPr>
        <w:t>If an individual is in possession of material, non-public information when his or her service terminates, that individual may not trade in the Company’s securities until that information has become public or is no longer material.</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Information Relating to the Company</w:t>
      </w:r>
    </w:p>
    <w:p>
      <w:pPr>
        <w:spacing w:after="0" w:line="248" w:lineRule="exact"/>
        <w:rPr>
          <w:sz w:val="20"/>
          <w:szCs w:val="20"/>
          <w:color w:val="auto"/>
        </w:rPr>
      </w:pPr>
    </w:p>
    <w:p>
      <w:pPr>
        <w:ind w:left="2160" w:hanging="655"/>
        <w:spacing w:after="0"/>
        <w:tabs>
          <w:tab w:leader="none" w:pos="2160"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Access to Information</w:t>
      </w:r>
    </w:p>
    <w:p>
      <w:pPr>
        <w:spacing w:after="0" w:line="229" w:lineRule="exact"/>
        <w:rPr>
          <w:sz w:val="20"/>
          <w:szCs w:val="20"/>
          <w:color w:val="auto"/>
        </w:rPr>
      </w:pPr>
    </w:p>
    <w:p>
      <w:pPr>
        <w:jc w:val="both"/>
        <w:ind w:left="200" w:right="219" w:firstLine="648"/>
        <w:spacing w:after="0" w:line="258" w:lineRule="auto"/>
        <w:rPr>
          <w:sz w:val="20"/>
          <w:szCs w:val="20"/>
          <w:color w:val="auto"/>
        </w:rPr>
      </w:pPr>
      <w:r>
        <w:rPr>
          <w:rFonts w:ascii="Times New Roman" w:cs="Times New Roman" w:eastAsia="Times New Roman" w:hAnsi="Times New Roman"/>
          <w:sz w:val="18"/>
          <w:szCs w:val="18"/>
          <w:color w:val="auto"/>
        </w:rPr>
        <w:t>Access to material, non-public information about the Company, including the Company’s business, earnings or prospects, should be limited to officers, directors and employees of the Company on a need-to-know basis. In addition, such information should not be communicated to anyone outside the Company under any circumstances (except in accordance with the Company’s policies regarding the protection or authorized external disclosure of Company information) or to anyone within the Company on an other than need-to-know basis.</w:t>
      </w:r>
    </w:p>
    <w:p>
      <w:pPr>
        <w:spacing w:after="0" w:line="183" w:lineRule="exact"/>
        <w:rPr>
          <w:sz w:val="20"/>
          <w:szCs w:val="20"/>
          <w:color w:val="auto"/>
        </w:rPr>
      </w:pPr>
    </w:p>
    <w:p>
      <w:pPr>
        <w:jc w:val="both"/>
        <w:ind w:left="200" w:right="219" w:firstLine="648"/>
        <w:spacing w:after="0" w:line="266" w:lineRule="auto"/>
        <w:rPr>
          <w:sz w:val="20"/>
          <w:szCs w:val="20"/>
          <w:color w:val="auto"/>
        </w:rPr>
      </w:pPr>
      <w:r>
        <w:rPr>
          <w:rFonts w:ascii="Times New Roman" w:cs="Times New Roman" w:eastAsia="Times New Roman" w:hAnsi="Times New Roman"/>
          <w:sz w:val="18"/>
          <w:szCs w:val="18"/>
          <w:color w:val="auto"/>
        </w:rPr>
        <w:t>In communicating material, non-public information to employees of the Company, all officers, directors and employees must take care to emphasize the need for confidential treatment of such information and adherence to the Company’s policies with regard to confidential information.</w:t>
      </w:r>
    </w:p>
    <w:p>
      <w:pPr>
        <w:spacing w:after="0" w:line="172" w:lineRule="exact"/>
        <w:rPr>
          <w:sz w:val="20"/>
          <w:szCs w:val="20"/>
          <w:color w:val="auto"/>
        </w:rPr>
      </w:pPr>
    </w:p>
    <w:p>
      <w:pPr>
        <w:ind w:left="2160" w:hanging="655"/>
        <w:spacing w:after="0"/>
        <w:tabs>
          <w:tab w:leader="none" w:pos="2160" w:val="left"/>
        </w:tabs>
        <w:numPr>
          <w:ilvl w:val="0"/>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Inquiries From Third Parties</w:t>
      </w:r>
    </w:p>
    <w:p>
      <w:pPr>
        <w:spacing w:after="0" w:line="229" w:lineRule="exact"/>
        <w:rPr>
          <w:sz w:val="20"/>
          <w:szCs w:val="20"/>
          <w:color w:val="auto"/>
        </w:rPr>
      </w:pPr>
    </w:p>
    <w:p>
      <w:pPr>
        <w:ind w:left="200" w:right="219" w:firstLine="648"/>
        <w:spacing w:after="0" w:line="282" w:lineRule="auto"/>
        <w:rPr>
          <w:sz w:val="20"/>
          <w:szCs w:val="20"/>
          <w:color w:val="auto"/>
        </w:rPr>
      </w:pPr>
      <w:r>
        <w:rPr>
          <w:rFonts w:ascii="Times New Roman" w:cs="Times New Roman" w:eastAsia="Times New Roman" w:hAnsi="Times New Roman"/>
          <w:sz w:val="18"/>
          <w:szCs w:val="18"/>
          <w:color w:val="auto"/>
        </w:rPr>
        <w:t>Inquiries from third parties, such as industry analysts or members of the media, about the Company should be directed to the Chief Financial Officer or the General Counsel.</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Limitations on Access to Company Information</w:t>
      </w:r>
    </w:p>
    <w:p>
      <w:pPr>
        <w:spacing w:after="0" w:line="225" w:lineRule="exact"/>
        <w:rPr>
          <w:sz w:val="20"/>
          <w:szCs w:val="20"/>
          <w:color w:val="auto"/>
        </w:rPr>
      </w:pPr>
    </w:p>
    <w:p>
      <w:pPr>
        <w:ind w:left="200" w:right="219" w:firstLine="648"/>
        <w:spacing w:after="0" w:line="282" w:lineRule="auto"/>
        <w:rPr>
          <w:sz w:val="20"/>
          <w:szCs w:val="20"/>
          <w:color w:val="auto"/>
        </w:rPr>
      </w:pPr>
      <w:r>
        <w:rPr>
          <w:rFonts w:ascii="Times New Roman" w:cs="Times New Roman" w:eastAsia="Times New Roman" w:hAnsi="Times New Roman"/>
          <w:sz w:val="18"/>
          <w:szCs w:val="18"/>
          <w:color w:val="auto"/>
        </w:rPr>
        <w:t>The following procedures are designed to maintain confidentiality with respect to the Company’s business operations and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 of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54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1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42" w:name="page143"/>
    <w:bookmarkEnd w:id="142"/>
    <w:p>
      <w:pPr>
        <w:ind w:left="200" w:right="239" w:firstLine="648"/>
        <w:spacing w:after="0" w:line="282" w:lineRule="auto"/>
        <w:rPr>
          <w:sz w:val="20"/>
          <w:szCs w:val="20"/>
          <w:color w:val="auto"/>
        </w:rPr>
      </w:pPr>
      <w:r>
        <w:rPr>
          <w:rFonts w:ascii="Times New Roman" w:cs="Times New Roman" w:eastAsia="Times New Roman" w:hAnsi="Times New Roman"/>
          <w:sz w:val="18"/>
          <w:szCs w:val="18"/>
          <w:color w:val="auto"/>
        </w:rPr>
        <w:t>All officers, directors and employees should take all steps and precautions necessary to restrict access to, and secure, material, non-public information by, among other things:</w:t>
      </w:r>
    </w:p>
    <w:p>
      <w:pPr>
        <w:spacing w:after="0" w:line="162" w:lineRule="exact"/>
        <w:rPr>
          <w:sz w:val="20"/>
          <w:szCs w:val="20"/>
          <w:color w:val="auto"/>
        </w:rPr>
      </w:pPr>
    </w:p>
    <w:p>
      <w:pPr>
        <w:ind w:left="1500" w:hanging="643"/>
        <w:spacing w:after="0"/>
        <w:tabs>
          <w:tab w:leader="none" w:pos="15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the confidentiality of Company-related transactions;</w:t>
      </w:r>
    </w:p>
    <w:p>
      <w:pPr>
        <w:spacing w:after="0" w:line="225" w:lineRule="exact"/>
        <w:rPr>
          <w:rFonts w:ascii="Times New Roman" w:cs="Times New Roman" w:eastAsia="Times New Roman" w:hAnsi="Times New Roman"/>
          <w:sz w:val="18"/>
          <w:szCs w:val="18"/>
          <w:color w:val="auto"/>
        </w:rPr>
      </w:pPr>
    </w:p>
    <w:p>
      <w:pPr>
        <w:jc w:val="both"/>
        <w:ind w:left="1500" w:right="219" w:hanging="643"/>
        <w:spacing w:after="0" w:line="266" w:lineRule="auto"/>
        <w:tabs>
          <w:tab w:leader="none" w:pos="15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their business and social activities so as not to risk inadvertent disclosure of confidential information. Review of confidential documents in public places should be conducted so as to prevent access by unauthorized persons;</w:t>
      </w:r>
    </w:p>
    <w:p>
      <w:pPr>
        <w:spacing w:after="0" w:line="175" w:lineRule="exact"/>
        <w:rPr>
          <w:rFonts w:ascii="Times New Roman" w:cs="Times New Roman" w:eastAsia="Times New Roman" w:hAnsi="Times New Roman"/>
          <w:sz w:val="18"/>
          <w:szCs w:val="18"/>
          <w:color w:val="auto"/>
        </w:rPr>
      </w:pPr>
    </w:p>
    <w:p>
      <w:pPr>
        <w:jc w:val="both"/>
        <w:ind w:left="1500" w:right="219" w:hanging="643"/>
        <w:spacing w:after="0" w:line="266" w:lineRule="auto"/>
        <w:tabs>
          <w:tab w:leader="none" w:pos="15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Restricting access to documents and files (including computer files) containing material, non-public information to individuals on a need-to-know basis (including maintaining control over the distribution of documents and drafts of documents);</w:t>
      </w:r>
    </w:p>
    <w:p>
      <w:pPr>
        <w:spacing w:after="0" w:line="175" w:lineRule="exact"/>
        <w:rPr>
          <w:rFonts w:ascii="Times New Roman" w:cs="Times New Roman" w:eastAsia="Times New Roman" w:hAnsi="Times New Roman"/>
          <w:sz w:val="18"/>
          <w:szCs w:val="18"/>
          <w:color w:val="auto"/>
        </w:rPr>
      </w:pPr>
    </w:p>
    <w:p>
      <w:pPr>
        <w:ind w:left="1500" w:right="219" w:hanging="643"/>
        <w:spacing w:after="0" w:line="282" w:lineRule="auto"/>
        <w:tabs>
          <w:tab w:leader="none" w:pos="15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removing and cleaning up all confidential documents and other materials from conference rooms following the conclusion of any meetings;</w:t>
      </w:r>
    </w:p>
    <w:p>
      <w:pPr>
        <w:spacing w:after="0" w:line="161" w:lineRule="exact"/>
        <w:rPr>
          <w:rFonts w:ascii="Times New Roman" w:cs="Times New Roman" w:eastAsia="Times New Roman" w:hAnsi="Times New Roman"/>
          <w:sz w:val="18"/>
          <w:szCs w:val="18"/>
          <w:color w:val="auto"/>
        </w:rPr>
      </w:pPr>
    </w:p>
    <w:p>
      <w:pPr>
        <w:ind w:left="1500" w:right="239" w:hanging="643"/>
        <w:spacing w:after="0" w:line="282" w:lineRule="auto"/>
        <w:tabs>
          <w:tab w:leader="none" w:pos="15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Disposing of all confidential documents and other papers, after there is no longer any business or other legally required need, through shredders when appropriate;</w:t>
      </w:r>
    </w:p>
    <w:p>
      <w:pPr>
        <w:spacing w:after="0" w:line="161" w:lineRule="exact"/>
        <w:rPr>
          <w:rFonts w:ascii="Times New Roman" w:cs="Times New Roman" w:eastAsia="Times New Roman" w:hAnsi="Times New Roman"/>
          <w:sz w:val="18"/>
          <w:szCs w:val="18"/>
          <w:color w:val="auto"/>
        </w:rPr>
      </w:pPr>
    </w:p>
    <w:p>
      <w:pPr>
        <w:ind w:left="1500" w:right="239" w:hanging="643"/>
        <w:spacing w:after="0" w:line="282" w:lineRule="auto"/>
        <w:tabs>
          <w:tab w:leader="none" w:pos="15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Restricting access to areas likely to contain confidential documents or material, non-public information;</w:t>
      </w:r>
    </w:p>
    <w:p>
      <w:pPr>
        <w:spacing w:after="0" w:line="161" w:lineRule="exact"/>
        <w:rPr>
          <w:rFonts w:ascii="Times New Roman" w:cs="Times New Roman" w:eastAsia="Times New Roman" w:hAnsi="Times New Roman"/>
          <w:sz w:val="18"/>
          <w:szCs w:val="18"/>
          <w:color w:val="auto"/>
        </w:rPr>
      </w:pPr>
    </w:p>
    <w:p>
      <w:pPr>
        <w:ind w:left="1500" w:right="219" w:hanging="643"/>
        <w:spacing w:after="0" w:line="282" w:lineRule="auto"/>
        <w:tabs>
          <w:tab w:leader="none" w:pos="15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Safeguarding laptop computers, mobile devices, tablets, memory sticks, CDs and other items that contain confidential information; and</w:t>
      </w:r>
    </w:p>
    <w:p>
      <w:pPr>
        <w:spacing w:after="0" w:line="161" w:lineRule="exact"/>
        <w:rPr>
          <w:rFonts w:ascii="Times New Roman" w:cs="Times New Roman" w:eastAsia="Times New Roman" w:hAnsi="Times New Roman"/>
          <w:sz w:val="18"/>
          <w:szCs w:val="18"/>
          <w:color w:val="auto"/>
        </w:rPr>
      </w:pPr>
    </w:p>
    <w:p>
      <w:pPr>
        <w:ind w:left="1500" w:right="219" w:hanging="643"/>
        <w:spacing w:after="0" w:line="282" w:lineRule="auto"/>
        <w:tabs>
          <w:tab w:leader="none" w:pos="15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Avoiding the discussion of material, non-public information in places where the information could be overheard by others such as in elevators, restrooms, hallways, restaurants, airplanes or taxicabs.</w:t>
      </w:r>
    </w:p>
    <w:p>
      <w:pPr>
        <w:spacing w:after="0" w:line="162" w:lineRule="exact"/>
        <w:rPr>
          <w:sz w:val="20"/>
          <w:szCs w:val="20"/>
          <w:color w:val="auto"/>
        </w:rPr>
      </w:pPr>
    </w:p>
    <w:p>
      <w:pPr>
        <w:ind w:left="200" w:right="219" w:firstLine="648"/>
        <w:spacing w:after="0" w:line="282" w:lineRule="auto"/>
        <w:rPr>
          <w:sz w:val="20"/>
          <w:szCs w:val="20"/>
          <w:color w:val="auto"/>
        </w:rPr>
      </w:pPr>
      <w:r>
        <w:rPr>
          <w:rFonts w:ascii="Times New Roman" w:cs="Times New Roman" w:eastAsia="Times New Roman" w:hAnsi="Times New Roman"/>
          <w:sz w:val="18"/>
          <w:szCs w:val="18"/>
          <w:color w:val="auto"/>
        </w:rPr>
        <w:t>Personnel involved with material, non-public information, to the extent feasible, should conduct their business and activities in areas separate from other Company activities.</w:t>
      </w:r>
    </w:p>
    <w:p>
      <w:pPr>
        <w:spacing w:after="0" w:line="179" w:lineRule="exact"/>
        <w:rPr>
          <w:sz w:val="20"/>
          <w:szCs w:val="20"/>
          <w:color w:val="auto"/>
        </w:rPr>
      </w:pPr>
    </w:p>
    <w:p>
      <w:pPr>
        <w:ind w:left="860" w:hanging="651"/>
        <w:spacing w:after="0"/>
        <w:tabs>
          <w:tab w:leader="none" w:pos="860"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Additional Prohibited Transactions</w:t>
      </w:r>
    </w:p>
    <w:p>
      <w:pPr>
        <w:spacing w:after="0" w:line="242" w:lineRule="exact"/>
        <w:rPr>
          <w:sz w:val="20"/>
          <w:szCs w:val="20"/>
          <w:color w:val="auto"/>
        </w:rPr>
      </w:pPr>
    </w:p>
    <w:p>
      <w:pPr>
        <w:jc w:val="both"/>
        <w:ind w:left="200" w:right="219" w:firstLine="648"/>
        <w:spacing w:after="0" w:line="261" w:lineRule="auto"/>
        <w:rPr>
          <w:sz w:val="20"/>
          <w:szCs w:val="20"/>
          <w:color w:val="auto"/>
        </w:rPr>
      </w:pPr>
      <w:r>
        <w:rPr>
          <w:rFonts w:ascii="Times New Roman" w:cs="Times New Roman" w:eastAsia="Times New Roman" w:hAnsi="Times New Roman"/>
          <w:sz w:val="18"/>
          <w:szCs w:val="18"/>
          <w:color w:val="auto"/>
        </w:rPr>
        <w:t>The Company has determined that there is a heightened legal risk and/or the appearance of improper or inappropriate conduct if the persons subject to this Policy engage in certain types of transactions. Therefore, officers, directors and employees shall comply with the following policies with respect to certain transactions in the Company securities: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Short Sales</w:t>
      </w:r>
    </w:p>
    <w:p>
      <w:pPr>
        <w:spacing w:after="0" w:line="225" w:lineRule="exact"/>
        <w:rPr>
          <w:sz w:val="20"/>
          <w:szCs w:val="20"/>
          <w:color w:val="auto"/>
        </w:rPr>
      </w:pPr>
    </w:p>
    <w:p>
      <w:pPr>
        <w:jc w:val="both"/>
        <w:ind w:left="200" w:right="219" w:firstLine="648"/>
        <w:spacing w:after="0" w:line="273" w:lineRule="auto"/>
        <w:rPr>
          <w:sz w:val="20"/>
          <w:szCs w:val="20"/>
          <w:color w:val="auto"/>
        </w:rPr>
      </w:pPr>
      <w:r>
        <w:rPr>
          <w:rFonts w:ascii="Times New Roman" w:cs="Times New Roman" w:eastAsia="Times New Roman" w:hAnsi="Times New Roman"/>
          <w:sz w:val="17"/>
          <w:szCs w:val="17"/>
          <w:color w:val="auto"/>
        </w:rPr>
        <w:t xml:space="preserve">Short sales of the Company’s securities evidence an expectation on the part of the seller that the securities will decline in value, and therefore signal to the market that the seller has no confidence in the Company or its short-term prospects. In addition, short sales may reduce the seller’s incentive to improve the Company’s performance. For these reasons, short sales of the Company’s securities are prohibited by this Policy. In addition, as noted below, Section 16(c) of the 1934 Act absolutely prohibits Section 16 reporting persons (i.e., directors, certain officers and the Company’s 10% stockholders) from making short sales of the Company’s equity securities, </w:t>
      </w:r>
      <w:r>
        <w:rPr>
          <w:rFonts w:ascii="Times New Roman" w:cs="Times New Roman" w:eastAsia="Times New Roman" w:hAnsi="Times New Roman"/>
          <w:sz w:val="17"/>
          <w:szCs w:val="17"/>
          <w:i w:val="1"/>
          <w:iCs w:val="1"/>
          <w:color w:val="auto"/>
        </w:rPr>
        <w:t>i.e.</w:t>
      </w:r>
      <w:r>
        <w:rPr>
          <w:rFonts w:ascii="Times New Roman" w:cs="Times New Roman" w:eastAsia="Times New Roman" w:hAnsi="Times New Roman"/>
          <w:sz w:val="17"/>
          <w:szCs w:val="17"/>
          <w:color w:val="auto"/>
        </w:rPr>
        <w:t>, sales of shares that the insider does not own at the time of sale, or sales of shares against which the insider does not deliver the shares within 20 days after the sale.</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Options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 of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60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1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43" w:name="page144"/>
    <w:bookmarkEnd w:id="143"/>
    <w:p>
      <w:pPr>
        <w:jc w:val="both"/>
        <w:ind w:left="200" w:right="219" w:firstLine="648"/>
        <w:spacing w:after="0" w:line="274" w:lineRule="auto"/>
        <w:rPr>
          <w:sz w:val="20"/>
          <w:szCs w:val="20"/>
          <w:color w:val="auto"/>
        </w:rPr>
      </w:pPr>
      <w:r>
        <w:rPr>
          <w:rFonts w:ascii="Times New Roman" w:cs="Times New Roman" w:eastAsia="Times New Roman" w:hAnsi="Times New Roman"/>
          <w:sz w:val="17"/>
          <w:szCs w:val="17"/>
          <w:color w:val="auto"/>
        </w:rPr>
        <w:t>A transaction in options is, in effect, a bet on the short-term movement of the Company’s stock and therefore creates the appearance that an officer, director or employee is trading based on inside information. Transactions in options, whether traded on an exchange, on any other organized market or on an over-the-counter market, also may focus an officer’s, director’s or employee’s attention on short-term performance at the expense of the Company’s long-term objectives. Accordingly, transactions in puts, calls or other derivative securities involving the Company’s equity securities, on an exchange, on any other organized market or on an over-the-counter market, are prohibited by this Policy.</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Hedging Transactions</w:t>
      </w:r>
    </w:p>
    <w:p>
      <w:pPr>
        <w:spacing w:after="0" w:line="225" w:lineRule="exact"/>
        <w:rPr>
          <w:sz w:val="20"/>
          <w:szCs w:val="20"/>
          <w:color w:val="auto"/>
        </w:rPr>
      </w:pPr>
    </w:p>
    <w:p>
      <w:pPr>
        <w:jc w:val="both"/>
        <w:ind w:left="200" w:right="219" w:firstLine="648"/>
        <w:spacing w:after="0" w:line="256" w:lineRule="auto"/>
        <w:rPr>
          <w:sz w:val="20"/>
          <w:szCs w:val="20"/>
          <w:color w:val="auto"/>
        </w:rPr>
      </w:pPr>
      <w:r>
        <w:rPr>
          <w:rFonts w:ascii="Times New Roman" w:cs="Times New Roman" w:eastAsia="Times New Roman" w:hAnsi="Times New Roman"/>
          <w:sz w:val="18"/>
          <w:szCs w:val="18"/>
          <w:color w:val="auto"/>
        </w:rPr>
        <w:t>Purchasing financial instruments, such as prepaid variable forward contracts, equity swaps, collars, and exchange funds, or otherwise engaging in transactions that hedge or offset, or are designed to hedge or offset, any decrease in the market value of the Company’s equity securities, may cause an officer, director, or employee to no longer have the same objectives as the Company’s other stockholders. Therefore, all such transactions involving the Company’s equity securities, whether such securities were granted as compensation or are otherwise held, directly or indirectly, are prohibited by this Policy.</w:t>
      </w:r>
    </w:p>
    <w:p>
      <w:pPr>
        <w:spacing w:after="0" w:line="187" w:lineRule="exact"/>
        <w:rPr>
          <w:sz w:val="20"/>
          <w:szCs w:val="20"/>
          <w:color w:val="auto"/>
        </w:rPr>
      </w:pPr>
    </w:p>
    <w:p>
      <w:pPr>
        <w:jc w:val="center"/>
        <w:ind w:left="200" w:right="219"/>
        <w:spacing w:after="0" w:line="282" w:lineRule="auto"/>
        <w:rPr>
          <w:sz w:val="20"/>
          <w:szCs w:val="20"/>
          <w:color w:val="auto"/>
        </w:rPr>
      </w:pPr>
      <w:r>
        <w:rPr>
          <w:rFonts w:ascii="Times New Roman" w:cs="Times New Roman" w:eastAsia="Times New Roman" w:hAnsi="Times New Roman"/>
          <w:sz w:val="18"/>
          <w:szCs w:val="18"/>
          <w:u w:val="single" w:color="auto"/>
          <w:color w:val="auto"/>
        </w:rPr>
        <w:t>Purchases of the Company’s Securities on Margin; Pledging the Company’s Securities to Secure Margin or Other Loans</w:t>
      </w:r>
    </w:p>
    <w:p>
      <w:pPr>
        <w:spacing w:after="0" w:line="162" w:lineRule="exact"/>
        <w:rPr>
          <w:sz w:val="20"/>
          <w:szCs w:val="20"/>
          <w:color w:val="auto"/>
        </w:rPr>
      </w:pPr>
    </w:p>
    <w:p>
      <w:pPr>
        <w:jc w:val="both"/>
        <w:ind w:left="200" w:right="219" w:firstLine="648"/>
        <w:spacing w:after="0" w:line="256" w:lineRule="auto"/>
        <w:rPr>
          <w:sz w:val="20"/>
          <w:szCs w:val="20"/>
          <w:color w:val="auto"/>
        </w:rPr>
      </w:pPr>
      <w:r>
        <w:rPr>
          <w:rFonts w:ascii="Times New Roman" w:cs="Times New Roman" w:eastAsia="Times New Roman" w:hAnsi="Times New Roman"/>
          <w:sz w:val="18"/>
          <w:szCs w:val="18"/>
          <w:color w:val="auto"/>
        </w:rPr>
        <w:t>Purchasing on margin means borrowing from a brokerage firm, bank or other entity in order to purchase the Company’s securities (other than in connection with a cashless exercise of stock options through a broker under the Company’s equity plans). Margin purchases of the Company’s securities are prohibited by this Policy. Pledging the Company’s securities as collateral to secure loans is also prohibited. This prohibition means, among other things, that you cannot hold the Company’s securities in a “margin account” (which would allow you to borrow against your holdings to buy securities).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Partnership Distributions</w:t>
      </w:r>
    </w:p>
    <w:p>
      <w:pPr>
        <w:spacing w:after="0" w:line="225" w:lineRule="exact"/>
        <w:rPr>
          <w:sz w:val="20"/>
          <w:szCs w:val="20"/>
          <w:color w:val="auto"/>
        </w:rPr>
      </w:pPr>
    </w:p>
    <w:p>
      <w:pPr>
        <w:jc w:val="both"/>
        <w:ind w:left="200" w:right="219" w:firstLine="648"/>
        <w:spacing w:after="0" w:line="258" w:lineRule="auto"/>
        <w:rPr>
          <w:sz w:val="20"/>
          <w:szCs w:val="20"/>
          <w:color w:val="auto"/>
        </w:rPr>
      </w:pPr>
      <w:r>
        <w:rPr>
          <w:rFonts w:ascii="Times New Roman" w:cs="Times New Roman" w:eastAsia="Times New Roman" w:hAnsi="Times New Roman"/>
          <w:sz w:val="18"/>
          <w:szCs w:val="18"/>
          <w:color w:val="auto"/>
        </w:rPr>
        <w:t>Nothing in this Policy is intended to limit the ability of a venture capital partnership or other similar entity with which a director is affiliated to distribute Company securities to its partners, members or other similar persons. It is the responsibility of each affected director and the affiliated entity, in consultation with their own counsel (as appropriate), to determine the timing of any distributions, based on all relevant facts and circumstances and applicable securities laws.</w:t>
      </w:r>
    </w:p>
    <w:p>
      <w:pPr>
        <w:spacing w:after="0" w:line="201" w:lineRule="exact"/>
        <w:rPr>
          <w:sz w:val="20"/>
          <w:szCs w:val="20"/>
          <w:color w:val="auto"/>
        </w:rPr>
      </w:pPr>
    </w:p>
    <w:p>
      <w:pPr>
        <w:ind w:left="200"/>
        <w:spacing w:after="0"/>
        <w:tabs>
          <w:tab w:leader="none" w:pos="840" w:val="left"/>
        </w:tabs>
        <w:rPr>
          <w:sz w:val="20"/>
          <w:szCs w:val="20"/>
          <w:color w:val="auto"/>
        </w:rPr>
      </w:pPr>
      <w:r>
        <w:rPr>
          <w:rFonts w:ascii="Times New Roman" w:cs="Times New Roman" w:eastAsia="Times New Roman" w:hAnsi="Times New Roman"/>
          <w:sz w:val="22"/>
          <w:szCs w:val="22"/>
          <w:color w:val="auto"/>
        </w:rPr>
        <w:t>VI.</w:t>
      </w:r>
      <w:r>
        <w:rPr>
          <w:sz w:val="20"/>
          <w:szCs w:val="20"/>
          <w:color w:val="auto"/>
        </w:rPr>
        <w:tab/>
      </w:r>
      <w:r>
        <w:rPr>
          <w:rFonts w:ascii="Times New Roman" w:cs="Times New Roman" w:eastAsia="Times New Roman" w:hAnsi="Times New Roman"/>
          <w:sz w:val="22"/>
          <w:szCs w:val="22"/>
          <w:color w:val="auto"/>
        </w:rPr>
        <w:t>Rule 10b5-1 Trading Plans, Sections 16 and Rule 144</w:t>
      </w: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Rule 10b5-1 Trading Plans</w:t>
      </w:r>
    </w:p>
    <w:p>
      <w:pPr>
        <w:spacing w:after="0" w:line="248" w:lineRule="exact"/>
        <w:rPr>
          <w:sz w:val="20"/>
          <w:szCs w:val="20"/>
          <w:color w:val="auto"/>
        </w:rPr>
      </w:pPr>
    </w:p>
    <w:p>
      <w:pPr>
        <w:ind w:left="2160" w:hanging="655"/>
        <w:spacing w:after="0"/>
        <w:tabs>
          <w:tab w:leader="none" w:pos="2160"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Overview</w:t>
      </w:r>
    </w:p>
    <w:p>
      <w:pPr>
        <w:spacing w:after="0" w:line="256" w:lineRule="exact"/>
        <w:rPr>
          <w:sz w:val="20"/>
          <w:szCs w:val="20"/>
          <w:color w:val="auto"/>
        </w:rPr>
      </w:pPr>
    </w:p>
    <w:p>
      <w:pPr>
        <w:jc w:val="both"/>
        <w:ind w:left="200" w:right="219" w:firstLine="648"/>
        <w:spacing w:after="0" w:line="270" w:lineRule="auto"/>
        <w:rPr>
          <w:sz w:val="20"/>
          <w:szCs w:val="20"/>
          <w:color w:val="auto"/>
        </w:rPr>
      </w:pPr>
      <w:r>
        <w:rPr>
          <w:rFonts w:ascii="Times New Roman" w:cs="Times New Roman" w:eastAsia="Times New Roman" w:hAnsi="Times New Roman"/>
          <w:sz w:val="17"/>
          <w:szCs w:val="17"/>
          <w:color w:val="auto"/>
        </w:rPr>
        <w:t>Rule 10b5-1 presents an opportunity for insiders to establish arrangements to sell (or purchase) Company stock without the restrictions of trading windows and black-out periods, even when there is undisclosed material information. Rule 10b5-1 will protect directors, officers and employees from insider trading liability under Rule 10b5-1 for transactions under a previously established contract, plan or instruction to trade in the Company’s stock (a “Trading Plan”) entered into in good faith and in accordance with the terms of Rule 10b5-1 and all applicable state laws and will be exempt from the trading restrictions set forth in this Policy. The initiation of, and any modification to, any such Trading Plan will be deemed to be a transaction in the Company’s securities, and such initiation or modification is subject to all limitations and prohibitions relating to transactions in the Company’s securities. Each such Trading Plan, and any modification thereof, must be submitted to and pre-approved by the Company’s General Counsel or Chief Financial Officer, or such other person as the Board of Directors may designate from time to time (the</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 of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54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1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44" w:name="page145"/>
    <w:bookmarkEnd w:id="144"/>
    <w:p>
      <w:pPr>
        <w:jc w:val="both"/>
        <w:ind w:left="200" w:right="219"/>
        <w:spacing w:after="0" w:line="261" w:lineRule="auto"/>
        <w:rPr>
          <w:sz w:val="20"/>
          <w:szCs w:val="20"/>
          <w:color w:val="auto"/>
        </w:rPr>
      </w:pPr>
      <w:r>
        <w:rPr>
          <w:rFonts w:ascii="Times New Roman" w:cs="Times New Roman" w:eastAsia="Times New Roman" w:hAnsi="Times New Roman"/>
          <w:sz w:val="18"/>
          <w:szCs w:val="18"/>
          <w:color w:val="auto"/>
        </w:rPr>
        <w:t>“Authorizing Officer”), who may impose such conditions on the implementation and operation of the Trading Plan as the Authorizing Officer deems necessary or advisable. However, compliance of the Trading Plan to the terms of Rule 10b5-1 and the execution of transactions pursuant to the Trading Plan are the sole responsibility of the person initiating the Trading Plan, not the Company or the Authorizing Officer.</w:t>
      </w:r>
    </w:p>
    <w:p>
      <w:pPr>
        <w:spacing w:after="0" w:line="176" w:lineRule="exact"/>
        <w:rPr>
          <w:sz w:val="20"/>
          <w:szCs w:val="20"/>
          <w:color w:val="auto"/>
        </w:rPr>
      </w:pPr>
    </w:p>
    <w:p>
      <w:pPr>
        <w:jc w:val="both"/>
        <w:ind w:left="200" w:right="219"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Trading Plans do not exempt individuals from complying with Section 16 short-swing profit rules or liability. Furthermore, Trading Plans only provide an “affirmative defense” in the event there is an insider trading lawsuit. It does not prevent someone from bringing a lawsuit.</w:t>
      </w:r>
    </w:p>
    <w:p>
      <w:pPr>
        <w:spacing w:after="0" w:line="175" w:lineRule="exact"/>
        <w:rPr>
          <w:sz w:val="20"/>
          <w:szCs w:val="20"/>
          <w:color w:val="auto"/>
        </w:rPr>
      </w:pPr>
    </w:p>
    <w:p>
      <w:pPr>
        <w:jc w:val="both"/>
        <w:ind w:left="200" w:right="219" w:firstLine="648"/>
        <w:spacing w:after="0" w:line="256" w:lineRule="auto"/>
        <w:rPr>
          <w:sz w:val="20"/>
          <w:szCs w:val="20"/>
          <w:color w:val="auto"/>
        </w:rPr>
      </w:pPr>
      <w:r>
        <w:rPr>
          <w:rFonts w:ascii="Times New Roman" w:cs="Times New Roman" w:eastAsia="Times New Roman" w:hAnsi="Times New Roman"/>
          <w:sz w:val="18"/>
          <w:szCs w:val="18"/>
          <w:color w:val="auto"/>
        </w:rPr>
        <w:t>A director, officer or employee may enter into a Trading Plan only when he or she is not in possession of material, non-public information, and only during a trading window period outside of the trading black-out period. Although transactions effected under a Trading Plan will not require further pre-clearance at the time of the trade, any transaction (including the quantity and price) made pursuant to a Trading Plan of a Section 16 reporting person must be reported to the Company promptly on the day of each trade to permit the Company’s filing coordinator to assist in the preparation and filing of a required Form 4.</w:t>
      </w:r>
    </w:p>
    <w:p>
      <w:pPr>
        <w:spacing w:after="0" w:line="187" w:lineRule="exact"/>
        <w:rPr>
          <w:sz w:val="20"/>
          <w:szCs w:val="20"/>
          <w:color w:val="auto"/>
        </w:rPr>
      </w:pPr>
    </w:p>
    <w:p>
      <w:pPr>
        <w:jc w:val="both"/>
        <w:ind w:left="200" w:right="219" w:firstLine="648"/>
        <w:spacing w:after="0" w:line="254" w:lineRule="auto"/>
        <w:rPr>
          <w:sz w:val="20"/>
          <w:szCs w:val="20"/>
          <w:color w:val="auto"/>
        </w:rPr>
      </w:pPr>
      <w:r>
        <w:rPr>
          <w:rFonts w:ascii="Times New Roman" w:cs="Times New Roman" w:eastAsia="Times New Roman" w:hAnsi="Times New Roman"/>
          <w:sz w:val="18"/>
          <w:szCs w:val="18"/>
          <w:color w:val="auto"/>
        </w:rPr>
        <w:t>However, the ultimate responsibility, and liability, for timely filing remains with the Section 16 reporting person. The Company reserves the right from time to time to suspend, discontinue or otherwise prohibit any transaction in the Company’s securities, even pursuant to a previously approved Trading Plan, if the Authorizing Officer or the Board of Directors, in its discretion, determines that such suspension, discontinuation or other prohibition is in the best interests of the Company. Any Trading Plan submitted for approval hereunder should explicitly acknowledge the Company’s right to prohibit transactions in the Company’s securities. Failure to discontinue purchases and sales as directed shall constitute a violation of the terms of this Section VI and result in a loss of the exemption set forth herein.</w:t>
      </w:r>
    </w:p>
    <w:p>
      <w:pPr>
        <w:spacing w:after="0" w:line="192" w:lineRule="exact"/>
        <w:rPr>
          <w:sz w:val="20"/>
          <w:szCs w:val="20"/>
          <w:color w:val="auto"/>
        </w:rPr>
      </w:pPr>
    </w:p>
    <w:p>
      <w:pPr>
        <w:jc w:val="both"/>
        <w:ind w:left="200" w:right="219" w:firstLine="648"/>
        <w:spacing w:after="0" w:line="255" w:lineRule="auto"/>
        <w:rPr>
          <w:sz w:val="20"/>
          <w:szCs w:val="20"/>
          <w:color w:val="auto"/>
        </w:rPr>
      </w:pPr>
      <w:r>
        <w:rPr>
          <w:rFonts w:ascii="Times New Roman" w:cs="Times New Roman" w:eastAsia="Times New Roman" w:hAnsi="Times New Roman"/>
          <w:sz w:val="18"/>
          <w:szCs w:val="18"/>
          <w:color w:val="auto"/>
        </w:rPr>
        <w:t>Officers, directors and employees may adopt Trading Plans with brokers that outline a pre-set plan for trading of the Company’s stock, including the exercise of options. Trades pursuant to a Trading Plan generally may occur at any time subject to the applicable cooling-off period between the establishment of a Trading Plan and commencement of any transactions under such plan. Trades by officers and directors pursuant to a Trading Plan may occur the later of</w:t>
      </w:r>
    </w:p>
    <w:p>
      <w:pPr>
        <w:spacing w:after="0" w:line="3" w:lineRule="exact"/>
        <w:rPr>
          <w:sz w:val="20"/>
          <w:szCs w:val="20"/>
          <w:color w:val="auto"/>
        </w:rPr>
      </w:pPr>
    </w:p>
    <w:p>
      <w:pPr>
        <w:jc w:val="both"/>
        <w:ind w:left="200" w:right="219" w:firstLine="9"/>
        <w:spacing w:after="0" w:line="251" w:lineRule="auto"/>
        <w:tabs>
          <w:tab w:leader="none" w:pos="456"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90 days following the Trading Plan’s adoption or modification; or (2) two business days following the disclosure in a periodic report of the Company’s financial results for the fiscal quarter in which the Trading Plan was adopted or modified (but not to exceed 120 days following plan adoption or modification). Trades by employees (who are not officers or directors) pursuant to a Trading Plan may occur 30 days following the Trading Plan's adoption or modification. An individual may not adopt more than one Trading Plan unless permitted under Rule 10b5-1. A modification or change to the amount, price, or timing of the purchase or sale of the securities (or a modification or change to a written formula or algorithm, or computer program that affects the amount, price, or timing of the purchase or sale of the securities) underlying a Trading Plan is deemed a termination of such Trading Plan, and the adoption of a new Trading Plan, and such new adoption will trigger a new cooling-off period. Please review the following description of how a Trading Plan works.</w:t>
      </w:r>
    </w:p>
    <w:p>
      <w:pPr>
        <w:spacing w:after="0" w:line="193" w:lineRule="exact"/>
        <w:rPr>
          <w:sz w:val="20"/>
          <w:szCs w:val="20"/>
          <w:color w:val="auto"/>
        </w:rPr>
      </w:pPr>
    </w:p>
    <w:p>
      <w:pPr>
        <w:ind w:left="200" w:right="219" w:firstLine="648"/>
        <w:spacing w:after="0" w:line="282" w:lineRule="auto"/>
        <w:rPr>
          <w:sz w:val="20"/>
          <w:szCs w:val="20"/>
          <w:color w:val="auto"/>
        </w:rPr>
      </w:pPr>
      <w:r>
        <w:rPr>
          <w:rFonts w:ascii="Times New Roman" w:cs="Times New Roman" w:eastAsia="Times New Roman" w:hAnsi="Times New Roman"/>
          <w:sz w:val="18"/>
          <w:szCs w:val="18"/>
          <w:color w:val="auto"/>
        </w:rPr>
        <w:t>Pursuant to Rule 10b5-1, an individual’s purchase or sale of securities will not be “on the basis of” material, non-public information if:</w:t>
      </w:r>
    </w:p>
    <w:p>
      <w:pPr>
        <w:spacing w:after="0" w:line="162" w:lineRule="exact"/>
        <w:rPr>
          <w:sz w:val="20"/>
          <w:szCs w:val="20"/>
          <w:color w:val="auto"/>
        </w:rPr>
      </w:pPr>
    </w:p>
    <w:p>
      <w:pPr>
        <w:jc w:val="both"/>
        <w:ind w:left="1500" w:right="239" w:hanging="643"/>
        <w:spacing w:after="0" w:line="266" w:lineRule="auto"/>
        <w:tabs>
          <w:tab w:leader="none" w:pos="15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before becoming aware of the information, the individual enters into a binding contract to purchase or sell the securities, provides instructions to another person to sell the securities or adopts a written plan for trading the securities (i.e., the Trading Plan).</w:t>
      </w:r>
    </w:p>
    <w:p>
      <w:pPr>
        <w:spacing w:after="0" w:line="175" w:lineRule="exact"/>
        <w:rPr>
          <w:rFonts w:ascii="Times New Roman" w:cs="Times New Roman" w:eastAsia="Times New Roman" w:hAnsi="Times New Roman"/>
          <w:sz w:val="18"/>
          <w:szCs w:val="18"/>
          <w:color w:val="auto"/>
        </w:rPr>
      </w:pPr>
    </w:p>
    <w:p>
      <w:pPr>
        <w:jc w:val="both"/>
        <w:ind w:left="1500" w:right="219" w:hanging="643"/>
        <w:spacing w:after="0" w:line="266" w:lineRule="auto"/>
        <w:tabs>
          <w:tab w:leader="none" w:pos="15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 if the person who entered into a Trading Plan is a director or officer of the Company, such director or officer included a representation in the Trading Plan certifying that, on the date of adoption of the Trading Plan:</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 of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54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1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45" w:name="page146"/>
    <w:bookmarkEnd w:id="145"/>
    <w:p>
      <w:pPr>
        <w:ind w:left="1500" w:right="219" w:firstLine="329"/>
        <w:spacing w:after="0" w:line="282" w:lineRule="auto"/>
        <w:tabs>
          <w:tab w:leader="none" w:pos="2089" w:val="left"/>
        </w:tabs>
        <w:numPr>
          <w:ilvl w:val="2"/>
          <w:numId w:val="8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individual director or officer is not aware of any material nonpublic information about the security or issuer; and</w:t>
      </w:r>
    </w:p>
    <w:p>
      <w:pPr>
        <w:spacing w:after="0" w:line="161" w:lineRule="exact"/>
        <w:rPr>
          <w:rFonts w:ascii="Times New Roman" w:cs="Times New Roman" w:eastAsia="Times New Roman" w:hAnsi="Times New Roman"/>
          <w:sz w:val="18"/>
          <w:szCs w:val="18"/>
          <w:b w:val="1"/>
          <w:bCs w:val="1"/>
          <w:i w:val="1"/>
          <w:iCs w:val="1"/>
          <w:color w:val="auto"/>
        </w:rPr>
      </w:pPr>
    </w:p>
    <w:p>
      <w:pPr>
        <w:ind w:left="1500" w:right="239" w:firstLine="329"/>
        <w:spacing w:after="0" w:line="282" w:lineRule="auto"/>
        <w:tabs>
          <w:tab w:leader="none" w:pos="2075" w:val="left"/>
        </w:tabs>
        <w:numPr>
          <w:ilvl w:val="2"/>
          <w:numId w:val="8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individual director or officer is adopting the Trading Plan in good faith and not as part of a plan or scheme to evade the prohibitions of Rule 10b5-1.</w:t>
      </w:r>
    </w:p>
    <w:p>
      <w:pPr>
        <w:spacing w:after="0" w:line="377" w:lineRule="exact"/>
        <w:rPr>
          <w:rFonts w:ascii="Times New Roman" w:cs="Times New Roman" w:eastAsia="Times New Roman" w:hAnsi="Times New Roman"/>
          <w:sz w:val="18"/>
          <w:szCs w:val="18"/>
          <w:b w:val="1"/>
          <w:bCs w:val="1"/>
          <w:i w:val="1"/>
          <w:iCs w:val="1"/>
          <w:color w:val="auto"/>
        </w:rPr>
      </w:pPr>
    </w:p>
    <w:p>
      <w:pPr>
        <w:ind w:left="1500" w:hanging="643"/>
        <w:spacing w:after="0"/>
        <w:tabs>
          <w:tab w:leader="none" w:pos="15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the Trading Plan must either:</w:t>
      </w:r>
    </w:p>
    <w:p>
      <w:pPr>
        <w:spacing w:after="0" w:line="225" w:lineRule="exact"/>
        <w:rPr>
          <w:rFonts w:ascii="Times New Roman" w:cs="Times New Roman" w:eastAsia="Times New Roman" w:hAnsi="Times New Roman"/>
          <w:sz w:val="18"/>
          <w:szCs w:val="18"/>
          <w:color w:val="auto"/>
        </w:rPr>
      </w:pPr>
    </w:p>
    <w:p>
      <w:pPr>
        <w:ind w:left="2160" w:right="239" w:hanging="655"/>
        <w:spacing w:after="0" w:line="282" w:lineRule="auto"/>
        <w:tabs>
          <w:tab w:leader="none" w:pos="216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the amount of securities to be purchased or sold, the price at which the securities are to be purchased or sold and the date on which the securities are to be purchased or sold;</w:t>
      </w:r>
    </w:p>
    <w:p>
      <w:pPr>
        <w:spacing w:after="0" w:line="161" w:lineRule="exact"/>
        <w:rPr>
          <w:rFonts w:ascii="Times New Roman" w:cs="Times New Roman" w:eastAsia="Times New Roman" w:hAnsi="Times New Roman"/>
          <w:sz w:val="18"/>
          <w:szCs w:val="18"/>
          <w:color w:val="auto"/>
        </w:rPr>
      </w:pPr>
    </w:p>
    <w:p>
      <w:pPr>
        <w:ind w:left="2160" w:right="239" w:hanging="655"/>
        <w:spacing w:after="0" w:line="282" w:lineRule="auto"/>
        <w:tabs>
          <w:tab w:leader="none" w:pos="216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 a written formula or computer program for determining the amount, price and date of the transactions; or</w:t>
      </w:r>
    </w:p>
    <w:p>
      <w:pPr>
        <w:spacing w:after="0" w:line="161" w:lineRule="exact"/>
        <w:rPr>
          <w:rFonts w:ascii="Times New Roman" w:cs="Times New Roman" w:eastAsia="Times New Roman" w:hAnsi="Times New Roman"/>
          <w:sz w:val="18"/>
          <w:szCs w:val="18"/>
          <w:color w:val="auto"/>
        </w:rPr>
      </w:pPr>
    </w:p>
    <w:p>
      <w:pPr>
        <w:ind w:left="2160" w:right="239" w:hanging="655"/>
        <w:spacing w:after="0" w:line="282" w:lineRule="auto"/>
        <w:tabs>
          <w:tab w:leader="none" w:pos="216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the individual from exercising any subsequent influence over the purchase or sale of the Company’s stock under the Trading Plan in question.</w:t>
      </w:r>
    </w:p>
    <w:p>
      <w:pPr>
        <w:spacing w:after="0" w:line="161" w:lineRule="exact"/>
        <w:rPr>
          <w:rFonts w:ascii="Times New Roman" w:cs="Times New Roman" w:eastAsia="Times New Roman" w:hAnsi="Times New Roman"/>
          <w:sz w:val="18"/>
          <w:szCs w:val="18"/>
          <w:color w:val="auto"/>
        </w:rPr>
      </w:pPr>
    </w:p>
    <w:p>
      <w:pPr>
        <w:ind w:left="1500" w:right="219" w:hanging="643"/>
        <w:spacing w:after="0" w:line="282" w:lineRule="auto"/>
        <w:tabs>
          <w:tab w:leader="none" w:pos="15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Fourth, the purchase or sale must occur pursuant to the Trading Plan and the individual must not enter into a corresponding hedging transaction or alter or deviate from the Trading Plan.</w:t>
      </w:r>
    </w:p>
    <w:p>
      <w:pPr>
        <w:spacing w:after="0" w:line="162" w:lineRule="exact"/>
        <w:rPr>
          <w:sz w:val="20"/>
          <w:szCs w:val="20"/>
          <w:color w:val="auto"/>
        </w:rPr>
      </w:pPr>
    </w:p>
    <w:p>
      <w:pPr>
        <w:jc w:val="both"/>
        <w:ind w:left="200" w:right="219" w:firstLine="648"/>
        <w:spacing w:after="0" w:line="261" w:lineRule="auto"/>
        <w:rPr>
          <w:sz w:val="20"/>
          <w:szCs w:val="20"/>
          <w:color w:val="auto"/>
        </w:rPr>
      </w:pPr>
      <w:r>
        <w:rPr>
          <w:rFonts w:ascii="Times New Roman" w:cs="Times New Roman" w:eastAsia="Times New Roman" w:hAnsi="Times New Roman"/>
          <w:sz w:val="18"/>
          <w:szCs w:val="18"/>
          <w:color w:val="auto"/>
        </w:rPr>
        <w:t>For clarity, the requirements of this Section VI.A do not apply to any Trading Plan entered into by a venture capital partnership or other similar entity with which a director is affiliated. It is the responsibility of each such venture capital partnership or other entity, in consultation with their own counsel (as appropriate), to comply with applicable securities laws in connection with any Trading Plan.</w:t>
      </w:r>
    </w:p>
    <w:p>
      <w:pPr>
        <w:spacing w:after="0" w:line="176" w:lineRule="exact"/>
        <w:rPr>
          <w:sz w:val="20"/>
          <w:szCs w:val="20"/>
          <w:color w:val="auto"/>
        </w:rPr>
      </w:pPr>
    </w:p>
    <w:p>
      <w:pPr>
        <w:ind w:left="2160" w:hanging="655"/>
        <w:spacing w:after="0"/>
        <w:tabs>
          <w:tab w:leader="none" w:pos="2160"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Revocation of and Amendments to Trading Plans</w:t>
      </w:r>
    </w:p>
    <w:p>
      <w:pPr>
        <w:spacing w:after="0" w:line="229" w:lineRule="exact"/>
        <w:rPr>
          <w:sz w:val="20"/>
          <w:szCs w:val="20"/>
          <w:color w:val="auto"/>
        </w:rPr>
      </w:pPr>
    </w:p>
    <w:p>
      <w:pPr>
        <w:jc w:val="both"/>
        <w:ind w:left="200" w:right="219" w:firstLine="648"/>
        <w:spacing w:after="0" w:line="261" w:lineRule="auto"/>
        <w:rPr>
          <w:sz w:val="20"/>
          <w:szCs w:val="20"/>
          <w:color w:val="auto"/>
        </w:rPr>
      </w:pPr>
      <w:r>
        <w:rPr>
          <w:rFonts w:ascii="Times New Roman" w:cs="Times New Roman" w:eastAsia="Times New Roman" w:hAnsi="Times New Roman"/>
          <w:sz w:val="18"/>
          <w:szCs w:val="18"/>
          <w:color w:val="auto"/>
        </w:rPr>
        <w:t>Revocation of Trading Plans should occur only in unusual circumstances. Effectiveness of any revocation or amendment of a Trading Plan will be subject to the prior review and approval of the Authorizing Officer. Revocation is effected upon written notice to the broker. Once a Trading Plan has been revoked, the participant should wait at least 30 calendar days before trading outside of a Trading Plan and 90 days before establishing a new Trading Plan.</w:t>
      </w:r>
    </w:p>
    <w:p>
      <w:pPr>
        <w:spacing w:after="0" w:line="180" w:lineRule="exact"/>
        <w:rPr>
          <w:sz w:val="20"/>
          <w:szCs w:val="20"/>
          <w:color w:val="auto"/>
        </w:rPr>
      </w:pPr>
    </w:p>
    <w:p>
      <w:pPr>
        <w:jc w:val="both"/>
        <w:ind w:left="200" w:right="219" w:firstLine="648"/>
        <w:spacing w:after="0" w:line="261" w:lineRule="auto"/>
        <w:rPr>
          <w:sz w:val="20"/>
          <w:szCs w:val="20"/>
          <w:color w:val="auto"/>
        </w:rPr>
      </w:pPr>
      <w:r>
        <w:rPr>
          <w:rFonts w:ascii="Times New Roman" w:cs="Times New Roman" w:eastAsia="Times New Roman" w:hAnsi="Times New Roman"/>
          <w:sz w:val="18"/>
          <w:szCs w:val="18"/>
          <w:color w:val="auto"/>
        </w:rPr>
        <w:t>A person acting in good faith may amend a prior Trading Plan so long as such amendments are made outside of a quarterly trading black-out period and at a time when the Trading Plan participant does not possess material, non-public information. Plan amendments not subject to a new cooling off period as described in Section 1. above must not take effect for at least 30 calendar days after the plan amendments are made.</w:t>
      </w:r>
    </w:p>
    <w:p>
      <w:pPr>
        <w:spacing w:after="0" w:line="178" w:lineRule="exact"/>
        <w:rPr>
          <w:sz w:val="20"/>
          <w:szCs w:val="20"/>
          <w:color w:val="auto"/>
        </w:rPr>
      </w:pPr>
    </w:p>
    <w:p>
      <w:pPr>
        <w:jc w:val="both"/>
        <w:ind w:left="200" w:right="219" w:firstLine="648"/>
        <w:spacing w:after="0" w:line="261" w:lineRule="auto"/>
        <w:rPr>
          <w:sz w:val="20"/>
          <w:szCs w:val="20"/>
          <w:color w:val="auto"/>
        </w:rPr>
      </w:pPr>
      <w:r>
        <w:rPr>
          <w:rFonts w:ascii="Times New Roman" w:cs="Times New Roman" w:eastAsia="Times New Roman" w:hAnsi="Times New Roman"/>
          <w:sz w:val="18"/>
          <w:szCs w:val="18"/>
          <w:color w:val="auto"/>
        </w:rPr>
        <w:t xml:space="preserve">Under certain circumstances, a Trading Plan </w:t>
      </w:r>
      <w:r>
        <w:rPr>
          <w:rFonts w:ascii="Times New Roman" w:cs="Times New Roman" w:eastAsia="Times New Roman" w:hAnsi="Times New Roman"/>
          <w:sz w:val="18"/>
          <w:szCs w:val="18"/>
          <w:i w:val="1"/>
          <w:iCs w:val="1"/>
          <w:color w:val="auto"/>
        </w:rPr>
        <w:t>must</w:t>
      </w:r>
      <w:r>
        <w:rPr>
          <w:rFonts w:ascii="Times New Roman" w:cs="Times New Roman" w:eastAsia="Times New Roman" w:hAnsi="Times New Roman"/>
          <w:sz w:val="18"/>
          <w:szCs w:val="18"/>
          <w:color w:val="auto"/>
        </w:rPr>
        <w:t xml:space="preserve"> be revoked. This may include circumstances such as the announcement of a merger or the occurrence of an event that would cause the transaction either to violate the law or to have an adverse effect on the Company. The Authorizing Officer or administrator of the Company’s stock plans is authorized to notify the broker in such circumstances, thereby insulating the insider in the event of revocation.</w:t>
      </w:r>
    </w:p>
    <w:p>
      <w:pPr>
        <w:spacing w:after="0" w:line="178" w:lineRule="exact"/>
        <w:rPr>
          <w:sz w:val="20"/>
          <w:szCs w:val="20"/>
          <w:color w:val="auto"/>
        </w:rPr>
      </w:pPr>
    </w:p>
    <w:p>
      <w:pPr>
        <w:ind w:left="2160" w:hanging="655"/>
        <w:spacing w:after="0"/>
        <w:tabs>
          <w:tab w:leader="none" w:pos="2160"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Discretionary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 of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54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1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46" w:name="page147"/>
    <w:bookmarkEnd w:id="146"/>
    <w:p>
      <w:pPr>
        <w:jc w:val="both"/>
        <w:ind w:left="200" w:right="239" w:firstLine="648"/>
        <w:spacing w:after="0" w:line="282" w:lineRule="auto"/>
        <w:rPr>
          <w:sz w:val="20"/>
          <w:szCs w:val="20"/>
          <w:color w:val="auto"/>
        </w:rPr>
      </w:pPr>
      <w:r>
        <w:rPr>
          <w:rFonts w:ascii="Times New Roman" w:cs="Times New Roman" w:eastAsia="Times New Roman" w:hAnsi="Times New Roman"/>
          <w:sz w:val="18"/>
          <w:szCs w:val="18"/>
          <w:color w:val="auto"/>
        </w:rPr>
        <w:t>Although non-discretionary Trading Plans are preferred, discretionary Trading Plans, where the discretion or control over trading is transferred to a broker, are permitted if pre-approved by the Authorizing Officer.</w:t>
      </w:r>
    </w:p>
    <w:p>
      <w:pPr>
        <w:spacing w:after="0" w:line="162" w:lineRule="exact"/>
        <w:rPr>
          <w:sz w:val="20"/>
          <w:szCs w:val="20"/>
          <w:color w:val="auto"/>
        </w:rPr>
      </w:pPr>
    </w:p>
    <w:p>
      <w:pPr>
        <w:jc w:val="both"/>
        <w:ind w:left="200" w:right="219" w:firstLine="648"/>
        <w:spacing w:after="0" w:line="258" w:lineRule="auto"/>
        <w:rPr>
          <w:sz w:val="20"/>
          <w:szCs w:val="20"/>
          <w:color w:val="auto"/>
        </w:rPr>
      </w:pPr>
      <w:r>
        <w:rPr>
          <w:rFonts w:ascii="Times New Roman" w:cs="Times New Roman" w:eastAsia="Times New Roman" w:hAnsi="Times New Roman"/>
          <w:sz w:val="18"/>
          <w:szCs w:val="18"/>
          <w:color w:val="auto"/>
        </w:rPr>
        <w:t>The Authorizing Officer of the Company must pre-approve any Trading Plan, arrangement or trading instructions, etc., involving potential sales or purchases of the Company’s stock or option exercises, including but not limited to, blind trusts, discretionary accounts with banks or brokers, or limit orders. The actual transactions effected pursuant to a pre-approved Trading Plan will not be subject to further pre-clearance for transactions in the Company’s stock once the Trading Plan or other arrangement has been pre-approved.</w:t>
      </w:r>
    </w:p>
    <w:p>
      <w:pPr>
        <w:spacing w:after="0" w:line="179" w:lineRule="exact"/>
        <w:rPr>
          <w:sz w:val="20"/>
          <w:szCs w:val="20"/>
          <w:color w:val="auto"/>
        </w:rPr>
      </w:pPr>
    </w:p>
    <w:p>
      <w:pPr>
        <w:ind w:left="2160" w:hanging="655"/>
        <w:spacing w:after="0"/>
        <w:tabs>
          <w:tab w:leader="none" w:pos="2160" w:val="left"/>
        </w:tabs>
        <w:numPr>
          <w:ilvl w:val="0"/>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Reporting (if Required)</w:t>
      </w:r>
    </w:p>
    <w:p>
      <w:pPr>
        <w:spacing w:after="0" w:line="229" w:lineRule="exact"/>
        <w:rPr>
          <w:sz w:val="20"/>
          <w:szCs w:val="20"/>
          <w:color w:val="auto"/>
        </w:rPr>
      </w:pPr>
    </w:p>
    <w:p>
      <w:pPr>
        <w:jc w:val="both"/>
        <w:ind w:left="200" w:right="219" w:firstLine="648"/>
        <w:spacing w:after="0" w:line="257" w:lineRule="auto"/>
        <w:rPr>
          <w:sz w:val="20"/>
          <w:szCs w:val="20"/>
          <w:color w:val="auto"/>
        </w:rPr>
      </w:pPr>
      <w:r>
        <w:rPr>
          <w:rFonts w:ascii="Times New Roman" w:cs="Times New Roman" w:eastAsia="Times New Roman" w:hAnsi="Times New Roman"/>
          <w:sz w:val="18"/>
          <w:szCs w:val="18"/>
          <w:color w:val="auto"/>
        </w:rPr>
        <w:t>If required, an SEC Form 144 will be filled out and filed by the individual/brokerage firm in accordance with the existing rules regarding Form 144 filings. A footnote at the bottom of the Form 144 should indicate that the trades “are in accordance with a Trading Plan that complies with Rule 10b5-1 and expires ____.” For Section 16 reporting</w:t>
      </w:r>
    </w:p>
    <w:p>
      <w:pPr>
        <w:spacing w:after="0" w:line="1" w:lineRule="exact"/>
        <w:rPr>
          <w:sz w:val="20"/>
          <w:szCs w:val="20"/>
          <w:color w:val="auto"/>
        </w:rPr>
      </w:pPr>
    </w:p>
    <w:p>
      <w:pPr>
        <w:jc w:val="both"/>
        <w:ind w:left="200" w:right="219"/>
        <w:spacing w:after="0" w:line="253" w:lineRule="auto"/>
        <w:rPr>
          <w:sz w:val="20"/>
          <w:szCs w:val="20"/>
          <w:color w:val="auto"/>
        </w:rPr>
      </w:pPr>
      <w:r>
        <w:rPr>
          <w:rFonts w:ascii="Times New Roman" w:cs="Times New Roman" w:eastAsia="Times New Roman" w:hAnsi="Times New Roman"/>
          <w:sz w:val="18"/>
          <w:szCs w:val="18"/>
          <w:color w:val="auto"/>
        </w:rPr>
        <w:t>persons, Form 4s should be filed before the end of the second business day following the date that the broker, dealer or plan administrator informs the individual that a transaction was executed, provided that the date of such notification is not later than the second business day following the trade date. A similar footnote should be placed at the bottom of the Form 4 as outlined above.</w:t>
      </w:r>
    </w:p>
    <w:p>
      <w:pPr>
        <w:spacing w:after="0" w:line="185" w:lineRule="exact"/>
        <w:rPr>
          <w:sz w:val="20"/>
          <w:szCs w:val="20"/>
          <w:color w:val="auto"/>
        </w:rPr>
      </w:pPr>
    </w:p>
    <w:p>
      <w:pPr>
        <w:ind w:left="2160" w:hanging="655"/>
        <w:spacing w:after="0"/>
        <w:tabs>
          <w:tab w:leader="none" w:pos="2160" w:val="left"/>
        </w:tabs>
        <w:numPr>
          <w:ilvl w:val="0"/>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Options</w:t>
      </w:r>
    </w:p>
    <w:p>
      <w:pPr>
        <w:spacing w:after="0" w:line="229" w:lineRule="exact"/>
        <w:rPr>
          <w:sz w:val="20"/>
          <w:szCs w:val="20"/>
          <w:color w:val="auto"/>
        </w:rPr>
      </w:pPr>
    </w:p>
    <w:p>
      <w:pPr>
        <w:jc w:val="both"/>
        <w:ind w:left="200" w:right="219" w:firstLine="648"/>
        <w:spacing w:after="0" w:line="254" w:lineRule="auto"/>
        <w:rPr>
          <w:sz w:val="20"/>
          <w:szCs w:val="20"/>
          <w:color w:val="auto"/>
        </w:rPr>
      </w:pPr>
      <w:r>
        <w:rPr>
          <w:rFonts w:ascii="Times New Roman" w:cs="Times New Roman" w:eastAsia="Times New Roman" w:hAnsi="Times New Roman"/>
          <w:sz w:val="18"/>
          <w:szCs w:val="18"/>
          <w:color w:val="auto"/>
        </w:rPr>
        <w:t>Exercises of options for cash may be executed at any time. “Cashless exercise” option exercises through a broker are not permitted during black-out periods. However, the Company will permit same day sales under Trading Plans. If a broker is required to execute a cashless exercise in accordance with a Trading Plan, then the Company must have exercise forms attached to the Trading Plan that are signed, undated and with the number of shares to be exercised left blank. Once a broker determines that the time is right to exercise the option and dispose of the shares in accordance with the Trading Plan, the broker will notify the Company in writing and the administrator of the Company’s stock plans will fill in the number of shares and the date of exercise on the previously signed exercise form. The insider should not be involved with this part of the exercise.</w:t>
      </w:r>
    </w:p>
    <w:p>
      <w:pPr>
        <w:spacing w:after="0" w:line="188" w:lineRule="exact"/>
        <w:rPr>
          <w:sz w:val="20"/>
          <w:szCs w:val="20"/>
          <w:color w:val="auto"/>
        </w:rPr>
      </w:pPr>
    </w:p>
    <w:p>
      <w:pPr>
        <w:ind w:left="2160" w:hanging="655"/>
        <w:spacing w:after="0"/>
        <w:tabs>
          <w:tab w:leader="none" w:pos="2160"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Trades Outside of a Trading Plan</w:t>
      </w:r>
    </w:p>
    <w:p>
      <w:pPr>
        <w:spacing w:after="0" w:line="229" w:lineRule="exact"/>
        <w:rPr>
          <w:sz w:val="20"/>
          <w:szCs w:val="20"/>
          <w:color w:val="auto"/>
        </w:rPr>
      </w:pPr>
    </w:p>
    <w:p>
      <w:pPr>
        <w:ind w:left="200" w:right="219" w:firstLine="648"/>
        <w:spacing w:after="0" w:line="282" w:lineRule="auto"/>
        <w:rPr>
          <w:sz w:val="20"/>
          <w:szCs w:val="20"/>
          <w:color w:val="auto"/>
        </w:rPr>
      </w:pPr>
      <w:r>
        <w:rPr>
          <w:rFonts w:ascii="Times New Roman" w:cs="Times New Roman" w:eastAsia="Times New Roman" w:hAnsi="Times New Roman"/>
          <w:sz w:val="18"/>
          <w:szCs w:val="18"/>
          <w:color w:val="auto"/>
        </w:rPr>
        <w:t>During an open trading window, trades differing from Trading Plan instructions that are already in place are allowed as long as the Trading Plan continues to be followed.</w:t>
      </w:r>
    </w:p>
    <w:p>
      <w:pPr>
        <w:spacing w:after="0" w:line="158" w:lineRule="exact"/>
        <w:rPr>
          <w:sz w:val="20"/>
          <w:szCs w:val="20"/>
          <w:color w:val="auto"/>
        </w:rPr>
      </w:pPr>
    </w:p>
    <w:p>
      <w:pPr>
        <w:ind w:left="2160" w:hanging="655"/>
        <w:spacing w:after="0"/>
        <w:tabs>
          <w:tab w:leader="none" w:pos="2160"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Public Announcements</w:t>
      </w:r>
    </w:p>
    <w:p>
      <w:pPr>
        <w:spacing w:after="0" w:line="229" w:lineRule="exact"/>
        <w:rPr>
          <w:sz w:val="20"/>
          <w:szCs w:val="20"/>
          <w:color w:val="auto"/>
        </w:rPr>
      </w:pPr>
    </w:p>
    <w:p>
      <w:pPr>
        <w:jc w:val="both"/>
        <w:ind w:left="200" w:right="219" w:firstLine="648"/>
        <w:spacing w:after="0" w:line="261" w:lineRule="auto"/>
        <w:rPr>
          <w:sz w:val="20"/>
          <w:szCs w:val="20"/>
          <w:color w:val="auto"/>
        </w:rPr>
      </w:pPr>
      <w:r>
        <w:rPr>
          <w:rFonts w:ascii="Times New Roman" w:cs="Times New Roman" w:eastAsia="Times New Roman" w:hAnsi="Times New Roman"/>
          <w:sz w:val="18"/>
          <w:szCs w:val="18"/>
          <w:color w:val="auto"/>
        </w:rPr>
        <w:t>The Company will make all required public announcements and disclosures that Trading Plans are being implemented in accordance with Rule 10b5-1 and that transactions have been executed under Trading Plans, as may be required by applicable securities laws, in Forms 10-K, 10-Q and Section 16 reports. It may also make public announcements or respond to inquiries from the media as transactions are made under a Trading Plan.</w:t>
      </w:r>
    </w:p>
    <w:p>
      <w:pPr>
        <w:spacing w:after="0" w:line="176" w:lineRule="exact"/>
        <w:rPr>
          <w:sz w:val="20"/>
          <w:szCs w:val="20"/>
          <w:color w:val="auto"/>
        </w:rPr>
      </w:pPr>
    </w:p>
    <w:p>
      <w:pPr>
        <w:ind w:left="2160" w:hanging="655"/>
        <w:spacing w:after="0"/>
        <w:tabs>
          <w:tab w:leader="none" w:pos="2160"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Prohibited Transactions</w:t>
      </w:r>
    </w:p>
    <w:p>
      <w:pPr>
        <w:spacing w:after="0" w:line="229" w:lineRule="exact"/>
        <w:rPr>
          <w:sz w:val="20"/>
          <w:szCs w:val="20"/>
          <w:color w:val="auto"/>
        </w:rPr>
      </w:pPr>
    </w:p>
    <w:p>
      <w:pPr>
        <w:jc w:val="both"/>
        <w:ind w:left="200" w:right="219" w:firstLine="648"/>
        <w:spacing w:after="0" w:line="266" w:lineRule="auto"/>
        <w:rPr>
          <w:sz w:val="20"/>
          <w:szCs w:val="20"/>
          <w:color w:val="auto"/>
        </w:rPr>
      </w:pPr>
      <w:r>
        <w:rPr>
          <w:rFonts w:ascii="Times New Roman" w:cs="Times New Roman" w:eastAsia="Times New Roman" w:hAnsi="Times New Roman"/>
          <w:sz w:val="18"/>
          <w:szCs w:val="18"/>
          <w:color w:val="auto"/>
        </w:rPr>
        <w:t>The transactions prohibited under Section V of this Policy, including among others short sales and hedging transactions, may not be carried out through a Trading Plan or other arrangement or trading instruction involving potential sales or purchases of the Company’s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 of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54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1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47" w:name="page148"/>
    <w:bookmarkEnd w:id="147"/>
    <w:p>
      <w:pPr>
        <w:ind w:left="2160" w:hanging="655"/>
        <w:spacing w:after="0"/>
        <w:tabs>
          <w:tab w:leader="none" w:pos="2160" w:val="left"/>
        </w:tabs>
        <w:numPr>
          <w:ilvl w:val="0"/>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Limitation on Liability</w:t>
      </w:r>
    </w:p>
    <w:p>
      <w:pPr>
        <w:spacing w:after="0" w:line="229" w:lineRule="exact"/>
        <w:rPr>
          <w:sz w:val="20"/>
          <w:szCs w:val="20"/>
          <w:color w:val="auto"/>
        </w:rPr>
      </w:pPr>
    </w:p>
    <w:p>
      <w:pPr>
        <w:jc w:val="both"/>
        <w:ind w:left="200" w:right="219" w:firstLine="648"/>
        <w:spacing w:after="0" w:line="254" w:lineRule="auto"/>
        <w:rPr>
          <w:sz w:val="20"/>
          <w:szCs w:val="20"/>
          <w:color w:val="auto"/>
        </w:rPr>
      </w:pPr>
      <w:r>
        <w:rPr>
          <w:rFonts w:ascii="Times New Roman" w:cs="Times New Roman" w:eastAsia="Times New Roman" w:hAnsi="Times New Roman"/>
          <w:sz w:val="18"/>
          <w:szCs w:val="18"/>
          <w:color w:val="auto"/>
        </w:rPr>
        <w:t>None of the Company, the Chief Executive Officer, the Chief Financial Officer or the General Counsel, the Authorizing Officer or the Company’s other employees or any other person will have any liability for any delay in reviewing, or refusal of, a Trading Plan submitted pursuant to this Section VI or a request for pre-clearance submitted pursuant to Section IV of this Policy. Notwithstanding any review of a Trading Plan pursuant to this Section VI or pre-clearance of a transaction pursuant to Section IV of this Policy, none of the Company, the Chief Executive Officer, the Chief Financial Officer, the General Counsel, the Authorizing Officer, the Company’s other employees or any other person assumes any liability for the legality or consequences of such Trading Plan or transaction to the person engaging in or adopting such Trading Plan or transaction.</w:t>
      </w:r>
    </w:p>
    <w:p>
      <w:pPr>
        <w:spacing w:after="0" w:line="209" w:lineRule="exact"/>
        <w:rPr>
          <w:sz w:val="20"/>
          <w:szCs w:val="20"/>
          <w:color w:val="auto"/>
        </w:rPr>
      </w:pPr>
    </w:p>
    <w:p>
      <w:pPr>
        <w:ind w:left="200"/>
        <w:spacing w:after="0"/>
        <w:tabs>
          <w:tab w:leader="none" w:pos="840" w:val="left"/>
        </w:tabs>
        <w:rPr>
          <w:sz w:val="20"/>
          <w:szCs w:val="20"/>
          <w:color w:val="auto"/>
        </w:rPr>
      </w:pPr>
      <w:r>
        <w:rPr>
          <w:rFonts w:ascii="Times New Roman" w:cs="Times New Roman" w:eastAsia="Times New Roman" w:hAnsi="Times New Roman"/>
          <w:sz w:val="22"/>
          <w:szCs w:val="22"/>
          <w:color w:val="auto"/>
        </w:rPr>
        <w:t>VII.</w:t>
        <w:tab/>
        <w:t>Employee Stock Purchase Plan</w:t>
      </w:r>
    </w:p>
    <w:p>
      <w:pPr>
        <w:spacing w:after="0" w:line="242" w:lineRule="exact"/>
        <w:rPr>
          <w:sz w:val="20"/>
          <w:szCs w:val="20"/>
          <w:color w:val="auto"/>
        </w:rPr>
      </w:pPr>
    </w:p>
    <w:p>
      <w:pPr>
        <w:jc w:val="both"/>
        <w:ind w:left="200" w:right="219" w:firstLine="648"/>
        <w:spacing w:after="0" w:line="253" w:lineRule="auto"/>
        <w:rPr>
          <w:sz w:val="20"/>
          <w:szCs w:val="20"/>
          <w:color w:val="auto"/>
        </w:rPr>
      </w:pPr>
      <w:r>
        <w:rPr>
          <w:rFonts w:ascii="Times New Roman" w:cs="Times New Roman" w:eastAsia="Times New Roman" w:hAnsi="Times New Roman"/>
          <w:sz w:val="18"/>
          <w:szCs w:val="18"/>
          <w:color w:val="auto"/>
        </w:rPr>
        <w:t>The trading prohibitions and restrictions set forth in this Policy do not apply to the decision to enroll in the Employee Stock Purchase Plan and the periodic contributions by employees which are used to purchase Company securities on the applicable Exercise Date (as defined in the Employee Stock Purchase Plan) because they are transactions between participating employees and the Company itself. If a participating employee is enrolled in the Employee Stock Purchase Plan, such employee is permitted to change the contribution rate or withdraw from the Employee Stock Purchase Plan pursuant to the terms of the Employee Stock Purchase Plan, so long as the pre-clearance requirements set forth above in Section IV.A are followed and such change or withdrawal does not take place during a black-out period if such employee is an officer or designated employee under Section IV.B. For clarification purposes, sales of Company securities purchased through the Employee Stock Purchase Plan are subject to the terms of this Policy.</w:t>
      </w:r>
    </w:p>
    <w:p>
      <w:pPr>
        <w:spacing w:after="0" w:line="185" w:lineRule="exact"/>
        <w:rPr>
          <w:sz w:val="20"/>
          <w:szCs w:val="20"/>
          <w:color w:val="auto"/>
        </w:rPr>
      </w:pPr>
    </w:p>
    <w:p>
      <w:pPr>
        <w:ind w:left="200"/>
        <w:spacing w:after="0"/>
        <w:tabs>
          <w:tab w:leader="none" w:pos="840" w:val="left"/>
        </w:tabs>
        <w:rPr>
          <w:sz w:val="20"/>
          <w:szCs w:val="20"/>
          <w:color w:val="auto"/>
        </w:rPr>
      </w:pPr>
      <w:r>
        <w:rPr>
          <w:rFonts w:ascii="Times New Roman" w:cs="Times New Roman" w:eastAsia="Times New Roman" w:hAnsi="Times New Roman"/>
          <w:sz w:val="22"/>
          <w:szCs w:val="22"/>
          <w:color w:val="auto"/>
        </w:rPr>
        <w:t>VIII.</w:t>
      </w:r>
      <w:r>
        <w:rPr>
          <w:sz w:val="20"/>
          <w:szCs w:val="20"/>
          <w:color w:val="auto"/>
        </w:rPr>
        <w:tab/>
      </w:r>
      <w:r>
        <w:rPr>
          <w:rFonts w:ascii="Times New Roman" w:cs="Times New Roman" w:eastAsia="Times New Roman" w:hAnsi="Times New Roman"/>
          <w:sz w:val="19"/>
          <w:szCs w:val="19"/>
          <w:color w:val="auto"/>
        </w:rPr>
        <w:t>Execution and Return of Certification of Compliance</w:t>
      </w:r>
    </w:p>
    <w:p>
      <w:pPr>
        <w:spacing w:after="0" w:line="242" w:lineRule="exact"/>
        <w:rPr>
          <w:sz w:val="20"/>
          <w:szCs w:val="20"/>
          <w:color w:val="auto"/>
        </w:rPr>
      </w:pPr>
    </w:p>
    <w:p>
      <w:pPr>
        <w:jc w:val="both"/>
        <w:ind w:left="200" w:right="219" w:firstLine="648"/>
        <w:spacing w:after="0" w:line="282" w:lineRule="auto"/>
        <w:rPr>
          <w:sz w:val="20"/>
          <w:szCs w:val="20"/>
          <w:color w:val="auto"/>
        </w:rPr>
      </w:pPr>
      <w:r>
        <w:rPr>
          <w:rFonts w:ascii="Times New Roman" w:cs="Times New Roman" w:eastAsia="Times New Roman" w:hAnsi="Times New Roman"/>
          <w:sz w:val="18"/>
          <w:szCs w:val="18"/>
          <w:color w:val="auto"/>
        </w:rPr>
        <w:t>After reading this Policy and on an annual basis, all officers, directors and employees should execute and return to the Company’s General Counsel the Certification of Compliance form attached hereto as “Attachment A.”</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Last Updated: November 3, 2023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 * *</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 of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54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1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48" w:name="page149"/>
    <w:bookmarkEnd w:id="148"/>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ATTACHMENT A</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CERTIFICATION OF COMPLIANCE</w:t>
      </w:r>
    </w:p>
    <w:p>
      <w:pPr>
        <w:spacing w:after="0" w:line="225" w:lineRule="exact"/>
        <w:rPr>
          <w:sz w:val="20"/>
          <w:szCs w:val="20"/>
          <w:color w:val="auto"/>
        </w:rPr>
      </w:pPr>
    </w:p>
    <w:p>
      <w:pPr>
        <w:ind w:left="200" w:right="219"/>
        <w:spacing w:after="0" w:line="282" w:lineRule="auto"/>
        <w:rPr>
          <w:sz w:val="20"/>
          <w:szCs w:val="20"/>
          <w:color w:val="auto"/>
        </w:rPr>
      </w:pPr>
      <w:r>
        <w:rPr>
          <w:rFonts w:ascii="Times New Roman" w:cs="Times New Roman" w:eastAsia="Times New Roman" w:hAnsi="Times New Roman"/>
          <w:sz w:val="18"/>
          <w:szCs w:val="18"/>
          <w:color w:val="auto"/>
        </w:rPr>
        <w:t xml:space="preserve">RETURN UPON YOUR INITIAL RECEIPT AND REVIEW OF THE INSIDER TRADING COMPLIANCE POLICY AND THEN </w:t>
      </w:r>
      <w:r>
        <w:rPr>
          <w:rFonts w:ascii="Times New Roman" w:cs="Times New Roman" w:eastAsia="Times New Roman" w:hAnsi="Times New Roman"/>
          <w:sz w:val="18"/>
          <w:szCs w:val="18"/>
          <w:b w:val="1"/>
          <w:bCs w:val="1"/>
          <w:color w:val="auto"/>
        </w:rPr>
        <w:t>BY DECEMBER 31ST</w:t>
      </w:r>
      <w:r>
        <w:rPr>
          <w:rFonts w:ascii="Times New Roman" w:cs="Times New Roman" w:eastAsia="Times New Roman" w:hAnsi="Times New Roman"/>
          <w:sz w:val="18"/>
          <w:szCs w:val="18"/>
          <w:color w:val="auto"/>
        </w:rPr>
        <w:t xml:space="preserve"> OF EACH YEAR GOING FORWARD</w:t>
      </w:r>
    </w:p>
    <w:p>
      <w:pPr>
        <w:sectPr>
          <w:pgSz w:w="11900" w:h="16838" w:orient="portrait"/>
          <w:cols w:equalWidth="0" w:num="1">
            <w:col w:w="9019"/>
          </w:cols>
          <w:pgMar w:left="1440" w:top="117" w:right="1440" w:bottom="1440" w:gutter="0" w:footer="0" w:header="0"/>
        </w:sectPr>
      </w:pPr>
    </w:p>
    <w:p>
      <w:pPr>
        <w:spacing w:after="0" w:line="37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TO:</w:t>
      </w:r>
    </w:p>
    <w:p>
      <w:pPr>
        <w:spacing w:after="0" w:line="20" w:lineRule="exact"/>
        <w:rPr>
          <w:sz w:val="20"/>
          <w:szCs w:val="20"/>
          <w:color w:val="auto"/>
        </w:rPr>
      </w:pPr>
      <w:r>
        <w:rPr>
          <w:sz w:val="20"/>
          <w:szCs w:val="20"/>
          <w:color w:val="auto"/>
        </w:rPr>
        <w:br w:type="column"/>
      </w: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Naomi Beckman-Straus, General Counsel</w:t>
      </w:r>
    </w:p>
    <w:p>
      <w:pPr>
        <w:spacing w:after="0" w:line="211" w:lineRule="exact"/>
        <w:rPr>
          <w:sz w:val="20"/>
          <w:szCs w:val="20"/>
          <w:color w:val="auto"/>
        </w:rPr>
      </w:pPr>
    </w:p>
    <w:p>
      <w:pPr>
        <w:sectPr>
          <w:pgSz w:w="11900" w:h="16838" w:orient="portrait"/>
          <w:cols w:equalWidth="0" w:num="2">
            <w:col w:w="780" w:space="720"/>
            <w:col w:w="7519"/>
          </w:cols>
          <w:pgMar w:left="1440" w:top="117" w:right="1440" w:bottom="1440" w:gutter="0" w:footer="0" w:header="0"/>
          <w:type w:val="continuous"/>
        </w:sectPr>
      </w:pPr>
    </w:p>
    <w:p>
      <w:pPr>
        <w:spacing w:after="0" w:line="5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FROM:</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[EMPLOYEE NAME]</w:t>
      </w:r>
    </w:p>
    <w:p>
      <w:pPr>
        <w:spacing w:after="0" w:line="200" w:lineRule="exact"/>
        <w:rPr>
          <w:sz w:val="20"/>
          <w:szCs w:val="20"/>
          <w:color w:val="auto"/>
        </w:rPr>
      </w:pPr>
    </w:p>
    <w:p>
      <w:pPr>
        <w:sectPr>
          <w:pgSz w:w="11900" w:h="16838" w:orient="portrait"/>
          <w:cols w:equalWidth="0" w:num="2">
            <w:col w:w="780" w:space="720"/>
            <w:col w:w="7519"/>
          </w:cols>
          <w:pgMar w:left="1440" w:top="117" w:right="1440" w:bottom="1440" w:gutter="0" w:footer="0" w:header="0"/>
          <w:type w:val="continuous"/>
        </w:sectPr>
      </w:pPr>
    </w:p>
    <w:p>
      <w:pPr>
        <w:spacing w:after="0" w:line="5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RE:</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ind w:right="239"/>
        <w:spacing w:after="0" w:line="282" w:lineRule="auto"/>
        <w:rPr>
          <w:sz w:val="20"/>
          <w:szCs w:val="20"/>
          <w:color w:val="auto"/>
        </w:rPr>
      </w:pPr>
      <w:r>
        <w:rPr>
          <w:rFonts w:ascii="Times New Roman" w:cs="Times New Roman" w:eastAsia="Times New Roman" w:hAnsi="Times New Roman"/>
          <w:sz w:val="18"/>
          <w:szCs w:val="18"/>
          <w:color w:val="auto"/>
        </w:rPr>
        <w:t>INSIDER TRADING COMPLIANCE POLICY OF LULU’S FASHION LOUNGE HOLDINGS, INC.</w:t>
      </w:r>
    </w:p>
    <w:p>
      <w:pPr>
        <w:spacing w:after="0" w:line="200" w:lineRule="exact"/>
        <w:rPr>
          <w:sz w:val="20"/>
          <w:szCs w:val="20"/>
          <w:color w:val="auto"/>
        </w:rPr>
      </w:pPr>
    </w:p>
    <w:p>
      <w:pPr>
        <w:sectPr>
          <w:pgSz w:w="11900" w:h="16838" w:orient="portrait"/>
          <w:cols w:equalWidth="0" w:num="2">
            <w:col w:w="780" w:space="720"/>
            <w:col w:w="7519"/>
          </w:cols>
          <w:pgMar w:left="1440" w:top="117" w:right="1440" w:bottom="1440" w:gutter="0" w:footer="0" w:header="0"/>
          <w:type w:val="continuous"/>
        </w:sectPr>
      </w:pPr>
    </w:p>
    <w:p>
      <w:pPr>
        <w:spacing w:after="0" w:line="178" w:lineRule="exact"/>
        <w:rPr>
          <w:sz w:val="20"/>
          <w:szCs w:val="20"/>
          <w:color w:val="auto"/>
        </w:rPr>
      </w:pPr>
    </w:p>
    <w:p>
      <w:pPr>
        <w:jc w:val="both"/>
        <w:ind w:left="200" w:right="219" w:firstLine="648"/>
        <w:spacing w:after="0" w:line="261" w:lineRule="auto"/>
        <w:rPr>
          <w:sz w:val="20"/>
          <w:szCs w:val="20"/>
          <w:color w:val="auto"/>
        </w:rPr>
      </w:pPr>
      <w:r>
        <w:rPr>
          <w:rFonts w:ascii="Times New Roman" w:cs="Times New Roman" w:eastAsia="Times New Roman" w:hAnsi="Times New Roman"/>
          <w:sz w:val="18"/>
          <w:szCs w:val="18"/>
          <w:color w:val="auto"/>
        </w:rPr>
        <w:t>I have received, reviewed and understand the above-referenced Insider Trading Compliance Policy and undertake, as a condition to my present and continued employment (or, if I am not an employee, affiliation with) Lulu’s Fashion Lounge Holdings, Inc. and its subsidiaries, to comply fully with the policies and procedures contained therein.</w:t>
      </w:r>
    </w:p>
    <w:p>
      <w:pPr>
        <w:spacing w:after="0" w:line="200" w:lineRule="exact"/>
        <w:rPr>
          <w:sz w:val="20"/>
          <w:szCs w:val="20"/>
          <w:color w:val="auto"/>
        </w:rPr>
      </w:pPr>
    </w:p>
    <w:p>
      <w:pPr>
        <w:spacing w:after="0" w:line="250"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___________________________</w:t>
            </w: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_______________</w:t>
            </w:r>
          </w:p>
        </w:tc>
      </w:tr>
      <w:tr>
        <w:trPr>
          <w:trHeight w:val="234"/>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SIGNATURE</w:t>
            </w: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DATE</w:t>
            </w:r>
          </w:p>
        </w:tc>
      </w:tr>
      <w:tr>
        <w:trPr>
          <w:trHeight w:val="414"/>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___________________________</w:t>
            </w:r>
          </w:p>
        </w:tc>
        <w:tc>
          <w:tcPr>
            <w:tcW w:w="2980" w:type="dxa"/>
            <w:vAlign w:val="bottom"/>
          </w:tcPr>
          <w:p>
            <w:pPr>
              <w:spacing w:after="0"/>
              <w:rPr>
                <w:sz w:val="24"/>
                <w:szCs w:val="24"/>
                <w:color w:val="auto"/>
              </w:rPr>
            </w:pPr>
          </w:p>
        </w:tc>
      </w:tr>
      <w:tr>
        <w:trPr>
          <w:trHeight w:val="234"/>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298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 of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54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1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type w:val="continuous"/>
        </w:sectPr>
      </w:pPr>
    </w:p>
    <w:bookmarkStart w:id="149" w:name="page150"/>
    <w:bookmarkEnd w:id="149"/>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Subsidiaries of Lulu’s Fashion Lounge Holdings, Inc.</w:t>
      </w:r>
    </w:p>
    <w:p>
      <w:pPr>
        <w:spacing w:after="0" w:line="22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Pursuant to Item 601(b)(21) of Regulation S-K under the Securities Act of 1933, as amended (the “Securities Act”), we have omitted certain subsidiaries which, considered in the aggregate as a single subsidiary, would not constitute a “significant subsidiary” (as defined in Rule 1-02(w) of Regulation S-X under the Securities Act).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840" w:type="dxa"/>
            <w:vAlign w:val="bottom"/>
            <w:vMerge w:val="restart"/>
          </w:tcPr>
          <w:p>
            <w:pPr>
              <w:ind w:left="2040"/>
              <w:spacing w:after="0"/>
              <w:rPr>
                <w:sz w:val="20"/>
                <w:szCs w:val="20"/>
                <w:color w:val="auto"/>
              </w:rPr>
            </w:pPr>
            <w:r>
              <w:rPr>
                <w:rFonts w:ascii="Times New Roman" w:cs="Times New Roman" w:eastAsia="Times New Roman" w:hAnsi="Times New Roman"/>
                <w:sz w:val="14"/>
                <w:szCs w:val="14"/>
                <w:b w:val="1"/>
                <w:bCs w:val="1"/>
                <w:color w:val="auto"/>
              </w:rPr>
              <w:t>Legal Name</w:t>
            </w:r>
          </w:p>
        </w:tc>
        <w:tc>
          <w:tcPr>
            <w:tcW w:w="200" w:type="dxa"/>
            <w:vAlign w:val="bottom"/>
          </w:tcPr>
          <w:p>
            <w:pPr>
              <w:spacing w:after="0"/>
              <w:rPr>
                <w:sz w:val="13"/>
                <w:szCs w:val="13"/>
                <w:color w:val="auto"/>
              </w:rPr>
            </w:pPr>
          </w:p>
        </w:tc>
        <w:tc>
          <w:tcPr>
            <w:tcW w:w="4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840" w:type="dxa"/>
            <w:vAlign w:val="bottom"/>
            <w:tcBorders>
              <w:bottom w:val="single" w:sz="8" w:color="auto"/>
            </w:tcBorders>
            <w:vMerge w:val="continue"/>
          </w:tcPr>
          <w:p>
            <w:pPr>
              <w:spacing w:after="0"/>
              <w:rPr>
                <w:sz w:val="15"/>
                <w:szCs w:val="15"/>
                <w:color w:val="auto"/>
              </w:rPr>
            </w:pPr>
          </w:p>
        </w:tc>
        <w:tc>
          <w:tcPr>
            <w:tcW w:w="200" w:type="dxa"/>
            <w:vAlign w:val="bottom"/>
          </w:tcPr>
          <w:p>
            <w:pPr>
              <w:spacing w:after="0"/>
              <w:rPr>
                <w:sz w:val="15"/>
                <w:szCs w:val="15"/>
                <w:color w:val="auto"/>
              </w:rPr>
            </w:pPr>
          </w:p>
        </w:tc>
        <w:tc>
          <w:tcPr>
            <w:tcW w:w="4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8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Lulu’s Fashion Lounge Parent, LLC</w:t>
            </w:r>
          </w:p>
        </w:tc>
        <w:tc>
          <w:tcPr>
            <w:tcW w:w="200" w:type="dxa"/>
            <w:vAlign w:val="bottom"/>
          </w:tcPr>
          <w:p>
            <w:pPr>
              <w:spacing w:after="0"/>
              <w:rPr>
                <w:sz w:val="16"/>
                <w:szCs w:val="16"/>
                <w:color w:val="auto"/>
              </w:rPr>
            </w:pPr>
          </w:p>
        </w:tc>
        <w:tc>
          <w:tcPr>
            <w:tcW w:w="48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34"/>
        </w:trPr>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Lulu’s Fashion Lounge, LLC</w:t>
            </w:r>
          </w:p>
        </w:tc>
        <w:tc>
          <w:tcPr>
            <w:tcW w:w="50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776"/>
        </w:trPr>
        <w:tc>
          <w:tcPr>
            <w:tcW w:w="20" w:type="dxa"/>
            <w:vAlign w:val="bottom"/>
            <w:tcBorders>
              <w:bottom w:val="single" w:sz="8" w:color="auto"/>
            </w:tcBorders>
          </w:tcPr>
          <w:p>
            <w:pPr>
              <w:spacing w:after="0"/>
              <w:rPr>
                <w:sz w:val="24"/>
                <w:szCs w:val="24"/>
                <w:color w:val="auto"/>
              </w:rPr>
            </w:pPr>
          </w:p>
        </w:tc>
        <w:tc>
          <w:tcPr>
            <w:tcW w:w="48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117" w:right="999" w:bottom="1440" w:gutter="0" w:footer="0" w:header="0"/>
        </w:sectPr>
      </w:pPr>
    </w:p>
    <w:bookmarkStart w:id="150" w:name="page151"/>
    <w:bookmarkEnd w:id="150"/>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162"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 Nos. 333-260985, 333-264070 and 333-273013 on Form S-8 of our report dated March 6, 2024, relating to the consolidated financial statements of Lulu’s Fashion Lounge Holdings, Inc. appearing in this Annual Report on Form 10-K for the fiscal year ended December 31,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Francisco,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6,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2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51" w:name="page152"/>
    <w:bookmarkEnd w:id="15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Crystal Landsem, certify that:</w:t>
      </w:r>
    </w:p>
    <w:p>
      <w:pPr>
        <w:spacing w:after="0" w:line="225" w:lineRule="exact"/>
        <w:rPr>
          <w:sz w:val="20"/>
          <w:szCs w:val="20"/>
          <w:color w:val="auto"/>
        </w:rPr>
      </w:pPr>
    </w:p>
    <w:p>
      <w:pPr>
        <w:ind w:left="340" w:hanging="332"/>
        <w:spacing w:after="0"/>
        <w:tabs>
          <w:tab w:leader="none" w:pos="34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Lulu’s Fashion Lounge Holdings, Inc.;</w:t>
      </w:r>
    </w:p>
    <w:p>
      <w:pPr>
        <w:spacing w:after="0" w:line="225" w:lineRule="exact"/>
        <w:rPr>
          <w:rFonts w:ascii="Times New Roman" w:cs="Times New Roman" w:eastAsia="Times New Roman" w:hAnsi="Times New Roman"/>
          <w:sz w:val="18"/>
          <w:szCs w:val="18"/>
          <w:color w:val="auto"/>
        </w:rPr>
      </w:pPr>
    </w:p>
    <w:p>
      <w:pPr>
        <w:ind w:left="340" w:hanging="332"/>
        <w:spacing w:after="0" w:line="266" w:lineRule="auto"/>
        <w:tabs>
          <w:tab w:leader="none" w:pos="34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right="80" w:hanging="332"/>
        <w:spacing w:after="0" w:line="266" w:lineRule="auto"/>
        <w:tabs>
          <w:tab w:leader="none" w:pos="34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340" w:right="140" w:hanging="332"/>
        <w:spacing w:after="0" w:line="282" w:lineRule="auto"/>
        <w:tabs>
          <w:tab w:leader="none" w:pos="34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61"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60"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[Omitted];</w:t>
      </w:r>
    </w:p>
    <w:p>
      <w:pPr>
        <w:spacing w:after="0" w:line="225" w:lineRule="exact"/>
        <w:rPr>
          <w:rFonts w:ascii="Times New Roman" w:cs="Times New Roman" w:eastAsia="Times New Roman" w:hAnsi="Times New Roman"/>
          <w:sz w:val="18"/>
          <w:szCs w:val="18"/>
          <w:color w:val="auto"/>
        </w:rPr>
      </w:pPr>
    </w:p>
    <w:p>
      <w:pPr>
        <w:ind w:left="660" w:right="280" w:hanging="328"/>
        <w:spacing w:after="0" w:line="266" w:lineRule="auto"/>
        <w:tabs>
          <w:tab w:leader="none" w:pos="660"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660" w:right="300" w:hanging="328"/>
        <w:spacing w:after="0" w:line="266" w:lineRule="auto"/>
        <w:tabs>
          <w:tab w:leader="none" w:pos="660"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60"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60"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spacing w:after="0"/>
        <w:tabs>
          <w:tab w:leader="none" w:pos="4960" w:val="left"/>
          <w:tab w:leader="none" w:pos="6840" w:val="left"/>
        </w:tabs>
        <w:rPr>
          <w:sz w:val="20"/>
          <w:szCs w:val="20"/>
          <w:color w:val="auto"/>
        </w:rPr>
      </w:pPr>
      <w:r>
        <w:rPr>
          <w:rFonts w:ascii="Times New Roman" w:cs="Times New Roman" w:eastAsia="Times New Roman" w:hAnsi="Times New Roman"/>
          <w:sz w:val="18"/>
          <w:szCs w:val="18"/>
          <w:color w:val="auto"/>
        </w:rPr>
        <w:t>Date: March 6,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Crystal Landsem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3348990</wp:posOffset>
            </wp:positionH>
            <wp:positionV relativeFrom="paragraph">
              <wp:posOffset>17145</wp:posOffset>
            </wp:positionV>
            <wp:extent cx="294894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21">
                      <a:extLst>
                        <a:ext uri="{28A0092B-C50C-407E-A947-70E740481C1C}"/>
                      </a:extLst>
                    </a:blip>
                    <a:srcRect/>
                    <a:stretch>
                      <a:fillRect/>
                    </a:stretch>
                  </pic:blipFill>
                  <pic:spPr bwMode="auto">
                    <a:xfrm>
                      <a:off x="0" y="0"/>
                      <a:ext cx="2948940" cy="8255"/>
                    </a:xfrm>
                    <a:prstGeom prst="rect">
                      <a:avLst/>
                    </a:prstGeom>
                    <a:noFill/>
                  </pic:spPr>
                </pic:pic>
              </a:graphicData>
            </a:graphic>
          </wp:anchor>
        </w:drawing>
      </w:r>
    </w:p>
    <w:p>
      <w:pPr>
        <w:spacing w:after="0" w:line="12" w:lineRule="exact"/>
        <w:rPr>
          <w:sz w:val="20"/>
          <w:szCs w:val="20"/>
          <w:color w:val="auto"/>
        </w:rPr>
      </w:pPr>
    </w:p>
    <w:p>
      <w:pPr>
        <w:jc w:val="center"/>
        <w:ind w:left="5240"/>
        <w:spacing w:after="0"/>
        <w:rPr>
          <w:sz w:val="20"/>
          <w:szCs w:val="20"/>
          <w:color w:val="auto"/>
        </w:rPr>
      </w:pPr>
      <w:r>
        <w:rPr>
          <w:rFonts w:ascii="Times New Roman" w:cs="Times New Roman" w:eastAsia="Times New Roman" w:hAnsi="Times New Roman"/>
          <w:sz w:val="18"/>
          <w:szCs w:val="18"/>
          <w:b w:val="1"/>
          <w:bCs w:val="1"/>
          <w:color w:val="auto"/>
        </w:rPr>
        <w:t>Crystal Landsem</w:t>
      </w:r>
    </w:p>
    <w:p>
      <w:pPr>
        <w:spacing w:after="0" w:line="31" w:lineRule="exact"/>
        <w:rPr>
          <w:sz w:val="20"/>
          <w:szCs w:val="20"/>
          <w:color w:val="auto"/>
        </w:rPr>
      </w:pPr>
    </w:p>
    <w:p>
      <w:pPr>
        <w:jc w:val="center"/>
        <w:ind w:left="524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3" w:lineRule="exact"/>
        <w:rPr>
          <w:sz w:val="20"/>
          <w:szCs w:val="20"/>
          <w:color w:val="auto"/>
        </w:rPr>
      </w:pPr>
    </w:p>
    <w:p>
      <w:pPr>
        <w:jc w:val="center"/>
        <w:ind w:left="524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494665</wp:posOffset>
            </wp:positionV>
            <wp:extent cx="6292215" cy="260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2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52" w:name="page153"/>
    <w:bookmarkEnd w:id="15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Tiffany Smith, certify that:</w:t>
      </w:r>
    </w:p>
    <w:p>
      <w:pPr>
        <w:spacing w:after="0" w:line="225" w:lineRule="exact"/>
        <w:rPr>
          <w:sz w:val="20"/>
          <w:szCs w:val="20"/>
          <w:color w:val="auto"/>
        </w:rPr>
      </w:pPr>
    </w:p>
    <w:p>
      <w:pPr>
        <w:ind w:left="340" w:hanging="332"/>
        <w:spacing w:after="0"/>
        <w:tabs>
          <w:tab w:leader="none" w:pos="3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Lulu’s Fashion Lounge Holdings, Inc.;</w:t>
      </w:r>
    </w:p>
    <w:p>
      <w:pPr>
        <w:spacing w:after="0" w:line="225" w:lineRule="exact"/>
        <w:rPr>
          <w:rFonts w:ascii="Times New Roman" w:cs="Times New Roman" w:eastAsia="Times New Roman" w:hAnsi="Times New Roman"/>
          <w:sz w:val="18"/>
          <w:szCs w:val="18"/>
          <w:color w:val="auto"/>
        </w:rPr>
      </w:pPr>
    </w:p>
    <w:p>
      <w:pPr>
        <w:ind w:left="340" w:hanging="332"/>
        <w:spacing w:after="0" w:line="266" w:lineRule="auto"/>
        <w:tabs>
          <w:tab w:leader="none" w:pos="3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right="80" w:hanging="332"/>
        <w:spacing w:after="0" w:line="266" w:lineRule="auto"/>
        <w:tabs>
          <w:tab w:leader="none" w:pos="3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340" w:right="140" w:hanging="332"/>
        <w:spacing w:after="0" w:line="282" w:lineRule="auto"/>
        <w:tabs>
          <w:tab w:leader="none" w:pos="3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61"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60"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[Omitted];</w:t>
      </w:r>
    </w:p>
    <w:p>
      <w:pPr>
        <w:spacing w:after="0" w:line="225" w:lineRule="exact"/>
        <w:rPr>
          <w:rFonts w:ascii="Times New Roman" w:cs="Times New Roman" w:eastAsia="Times New Roman" w:hAnsi="Times New Roman"/>
          <w:sz w:val="18"/>
          <w:szCs w:val="18"/>
          <w:color w:val="auto"/>
        </w:rPr>
      </w:pPr>
    </w:p>
    <w:p>
      <w:pPr>
        <w:ind w:left="660" w:right="280" w:hanging="328"/>
        <w:spacing w:after="0" w:line="266" w:lineRule="auto"/>
        <w:tabs>
          <w:tab w:leader="none" w:pos="660"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660" w:right="300" w:hanging="328"/>
        <w:spacing w:after="0" w:line="266" w:lineRule="auto"/>
        <w:tabs>
          <w:tab w:leader="none" w:pos="660"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60"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60"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spacing w:after="0"/>
        <w:tabs>
          <w:tab w:leader="none" w:pos="4960" w:val="left"/>
          <w:tab w:leader="none" w:pos="6860" w:val="left"/>
        </w:tabs>
        <w:rPr>
          <w:sz w:val="20"/>
          <w:szCs w:val="20"/>
          <w:color w:val="auto"/>
        </w:rPr>
      </w:pPr>
      <w:r>
        <w:rPr>
          <w:rFonts w:ascii="Times New Roman" w:cs="Times New Roman" w:eastAsia="Times New Roman" w:hAnsi="Times New Roman"/>
          <w:sz w:val="18"/>
          <w:szCs w:val="18"/>
          <w:color w:val="auto"/>
        </w:rPr>
        <w:t>Date: March 6,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Tiffany R.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3357880</wp:posOffset>
            </wp:positionH>
            <wp:positionV relativeFrom="paragraph">
              <wp:posOffset>17145</wp:posOffset>
            </wp:positionV>
            <wp:extent cx="294005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23">
                      <a:extLst>
                        <a:ext uri="{28A0092B-C50C-407E-A947-70E740481C1C}"/>
                      </a:extLst>
                    </a:blip>
                    <a:srcRect/>
                    <a:stretch>
                      <a:fillRect/>
                    </a:stretch>
                  </pic:blipFill>
                  <pic:spPr bwMode="auto">
                    <a:xfrm>
                      <a:off x="0" y="0"/>
                      <a:ext cx="2940050" cy="8890"/>
                    </a:xfrm>
                    <a:prstGeom prst="rect">
                      <a:avLst/>
                    </a:prstGeom>
                    <a:noFill/>
                  </pic:spPr>
                </pic:pic>
              </a:graphicData>
            </a:graphic>
          </wp:anchor>
        </w:drawing>
      </w:r>
    </w:p>
    <w:p>
      <w:pPr>
        <w:spacing w:after="0" w:line="12" w:lineRule="exact"/>
        <w:rPr>
          <w:sz w:val="20"/>
          <w:szCs w:val="20"/>
          <w:color w:val="auto"/>
        </w:rPr>
      </w:pPr>
    </w:p>
    <w:p>
      <w:pPr>
        <w:jc w:val="center"/>
        <w:ind w:left="5240"/>
        <w:spacing w:after="0"/>
        <w:rPr>
          <w:sz w:val="20"/>
          <w:szCs w:val="20"/>
          <w:color w:val="auto"/>
        </w:rPr>
      </w:pPr>
      <w:r>
        <w:rPr>
          <w:rFonts w:ascii="Times New Roman" w:cs="Times New Roman" w:eastAsia="Times New Roman" w:hAnsi="Times New Roman"/>
          <w:sz w:val="18"/>
          <w:szCs w:val="18"/>
          <w:b w:val="1"/>
          <w:bCs w:val="1"/>
          <w:color w:val="auto"/>
        </w:rPr>
        <w:t>Tiffany R. Smith</w:t>
      </w:r>
    </w:p>
    <w:p>
      <w:pPr>
        <w:spacing w:after="0" w:line="31" w:lineRule="exact"/>
        <w:rPr>
          <w:sz w:val="20"/>
          <w:szCs w:val="20"/>
          <w:color w:val="auto"/>
        </w:rPr>
      </w:pPr>
    </w:p>
    <w:p>
      <w:pPr>
        <w:jc w:val="center"/>
        <w:ind w:left="524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3" w:lineRule="exact"/>
        <w:rPr>
          <w:sz w:val="20"/>
          <w:szCs w:val="20"/>
          <w:color w:val="auto"/>
        </w:rPr>
      </w:pPr>
    </w:p>
    <w:p>
      <w:pPr>
        <w:jc w:val="center"/>
        <w:ind w:left="524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494665</wp:posOffset>
            </wp:positionV>
            <wp:extent cx="6292215" cy="260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2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53" w:name="page154"/>
    <w:bookmarkEnd w:id="15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connection with the Annual Report on Form 10-K of Lulu’s Fashion Lounge Holdings, Inc. (the “Company”) for the period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 as filed with the Securities and Exchange Commission on the date hereof (the “Report”), I certify, pursuant to 18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U.S.C. § 1350, as adopted pursuant to § 906 of the Sarbanes-Oxley Act of 2002, that:</w:t>
      </w:r>
    </w:p>
    <w:p>
      <w:pPr>
        <w:spacing w:after="0" w:line="207" w:lineRule="exact"/>
        <w:rPr>
          <w:sz w:val="20"/>
          <w:szCs w:val="20"/>
          <w:color w:val="auto"/>
        </w:rPr>
      </w:pPr>
    </w:p>
    <w:p>
      <w:pPr>
        <w:ind w:left="660" w:right="100" w:hanging="328"/>
        <w:spacing w:after="0" w:line="282" w:lineRule="auto"/>
        <w:tabs>
          <w:tab w:leader="none" w:pos="6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61"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75" w:lineRule="exact"/>
        <w:rPr>
          <w:sz w:val="20"/>
          <w:szCs w:val="20"/>
          <w:color w:val="auto"/>
        </w:rPr>
      </w:pPr>
    </w:p>
    <w:p>
      <w:pPr>
        <w:spacing w:after="0"/>
        <w:tabs>
          <w:tab w:leader="none" w:pos="4960" w:val="left"/>
          <w:tab w:leader="none" w:pos="6840" w:val="left"/>
        </w:tabs>
        <w:rPr>
          <w:sz w:val="20"/>
          <w:szCs w:val="20"/>
          <w:color w:val="auto"/>
        </w:rPr>
      </w:pPr>
      <w:r>
        <w:rPr>
          <w:rFonts w:ascii="Times New Roman" w:cs="Times New Roman" w:eastAsia="Times New Roman" w:hAnsi="Times New Roman"/>
          <w:sz w:val="18"/>
          <w:szCs w:val="18"/>
          <w:color w:val="auto"/>
        </w:rPr>
        <w:t>Date: March 6,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Crystal Landsem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3348990</wp:posOffset>
            </wp:positionH>
            <wp:positionV relativeFrom="paragraph">
              <wp:posOffset>17145</wp:posOffset>
            </wp:positionV>
            <wp:extent cx="294894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25">
                      <a:extLst>
                        <a:ext uri="{28A0092B-C50C-407E-A947-70E740481C1C}"/>
                      </a:extLst>
                    </a:blip>
                    <a:srcRect/>
                    <a:stretch>
                      <a:fillRect/>
                    </a:stretch>
                  </pic:blipFill>
                  <pic:spPr bwMode="auto">
                    <a:xfrm>
                      <a:off x="0" y="0"/>
                      <a:ext cx="2948940" cy="8255"/>
                    </a:xfrm>
                    <a:prstGeom prst="rect">
                      <a:avLst/>
                    </a:prstGeom>
                    <a:noFill/>
                  </pic:spPr>
                </pic:pic>
              </a:graphicData>
            </a:graphic>
          </wp:anchor>
        </w:drawing>
      </w:r>
    </w:p>
    <w:p>
      <w:pPr>
        <w:spacing w:after="0" w:line="12" w:lineRule="exact"/>
        <w:rPr>
          <w:sz w:val="20"/>
          <w:szCs w:val="20"/>
          <w:color w:val="auto"/>
        </w:rPr>
      </w:pPr>
    </w:p>
    <w:p>
      <w:pPr>
        <w:jc w:val="center"/>
        <w:ind w:left="5240"/>
        <w:spacing w:after="0"/>
        <w:rPr>
          <w:sz w:val="20"/>
          <w:szCs w:val="20"/>
          <w:color w:val="auto"/>
        </w:rPr>
      </w:pPr>
      <w:r>
        <w:rPr>
          <w:rFonts w:ascii="Times New Roman" w:cs="Times New Roman" w:eastAsia="Times New Roman" w:hAnsi="Times New Roman"/>
          <w:sz w:val="18"/>
          <w:szCs w:val="18"/>
          <w:b w:val="1"/>
          <w:bCs w:val="1"/>
          <w:color w:val="auto"/>
        </w:rPr>
        <w:t>Crystal Landsem</w:t>
      </w:r>
    </w:p>
    <w:p>
      <w:pPr>
        <w:spacing w:after="0" w:line="31" w:lineRule="exact"/>
        <w:rPr>
          <w:sz w:val="20"/>
          <w:szCs w:val="20"/>
          <w:color w:val="auto"/>
        </w:rPr>
      </w:pPr>
    </w:p>
    <w:p>
      <w:pPr>
        <w:jc w:val="center"/>
        <w:ind w:left="524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3" w:lineRule="exact"/>
        <w:rPr>
          <w:sz w:val="20"/>
          <w:szCs w:val="20"/>
          <w:color w:val="auto"/>
        </w:rPr>
      </w:pPr>
    </w:p>
    <w:p>
      <w:pPr>
        <w:jc w:val="center"/>
        <w:ind w:left="524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494665</wp:posOffset>
            </wp:positionV>
            <wp:extent cx="6292215" cy="254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2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54" w:name="page155"/>
    <w:bookmarkEnd w:id="154"/>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connection with the Annual Report on Form 10-K of Lulu’s Fashion Lounge Holdings, Inc. (the “Company”) for the period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 as filed with the Securities and Exchange Commission on the date hereof (the “Report”), I certify, pursuant to 18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U.S.C. § 1350, as adopted pursuant to § 906 of the Sarbanes-Oxley Act of 2002, that:</w:t>
      </w:r>
    </w:p>
    <w:p>
      <w:pPr>
        <w:spacing w:after="0" w:line="207" w:lineRule="exact"/>
        <w:rPr>
          <w:sz w:val="20"/>
          <w:szCs w:val="20"/>
          <w:color w:val="auto"/>
        </w:rPr>
      </w:pPr>
    </w:p>
    <w:p>
      <w:pPr>
        <w:ind w:left="660" w:right="100" w:hanging="328"/>
        <w:spacing w:after="0" w:line="282" w:lineRule="auto"/>
        <w:tabs>
          <w:tab w:leader="none" w:pos="6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61"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75" w:lineRule="exact"/>
        <w:rPr>
          <w:sz w:val="20"/>
          <w:szCs w:val="20"/>
          <w:color w:val="auto"/>
        </w:rPr>
      </w:pPr>
    </w:p>
    <w:p>
      <w:pPr>
        <w:spacing w:after="0"/>
        <w:tabs>
          <w:tab w:leader="none" w:pos="4960" w:val="left"/>
          <w:tab w:leader="none" w:pos="6860" w:val="left"/>
        </w:tabs>
        <w:rPr>
          <w:sz w:val="20"/>
          <w:szCs w:val="20"/>
          <w:color w:val="auto"/>
        </w:rPr>
      </w:pPr>
      <w:r>
        <w:rPr>
          <w:rFonts w:ascii="Times New Roman" w:cs="Times New Roman" w:eastAsia="Times New Roman" w:hAnsi="Times New Roman"/>
          <w:sz w:val="18"/>
          <w:szCs w:val="18"/>
          <w:color w:val="auto"/>
        </w:rPr>
        <w:t>Date: March 6,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Tiffany R.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3357880</wp:posOffset>
            </wp:positionH>
            <wp:positionV relativeFrom="paragraph">
              <wp:posOffset>17145</wp:posOffset>
            </wp:positionV>
            <wp:extent cx="294005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27">
                      <a:extLst>
                        <a:ext uri="{28A0092B-C50C-407E-A947-70E740481C1C}"/>
                      </a:extLst>
                    </a:blip>
                    <a:srcRect/>
                    <a:stretch>
                      <a:fillRect/>
                    </a:stretch>
                  </pic:blipFill>
                  <pic:spPr bwMode="auto">
                    <a:xfrm>
                      <a:off x="0" y="0"/>
                      <a:ext cx="2940050" cy="8255"/>
                    </a:xfrm>
                    <a:prstGeom prst="rect">
                      <a:avLst/>
                    </a:prstGeom>
                    <a:noFill/>
                  </pic:spPr>
                </pic:pic>
              </a:graphicData>
            </a:graphic>
          </wp:anchor>
        </w:drawing>
      </w:r>
    </w:p>
    <w:p>
      <w:pPr>
        <w:spacing w:after="0" w:line="12" w:lineRule="exact"/>
        <w:rPr>
          <w:sz w:val="20"/>
          <w:szCs w:val="20"/>
          <w:color w:val="auto"/>
        </w:rPr>
      </w:pPr>
    </w:p>
    <w:p>
      <w:pPr>
        <w:jc w:val="center"/>
        <w:ind w:left="5240"/>
        <w:spacing w:after="0"/>
        <w:rPr>
          <w:sz w:val="20"/>
          <w:szCs w:val="20"/>
          <w:color w:val="auto"/>
        </w:rPr>
      </w:pPr>
      <w:r>
        <w:rPr>
          <w:rFonts w:ascii="Times New Roman" w:cs="Times New Roman" w:eastAsia="Times New Roman" w:hAnsi="Times New Roman"/>
          <w:sz w:val="18"/>
          <w:szCs w:val="18"/>
          <w:b w:val="1"/>
          <w:bCs w:val="1"/>
          <w:color w:val="auto"/>
        </w:rPr>
        <w:t>Tiffany R. Smith</w:t>
      </w:r>
    </w:p>
    <w:p>
      <w:pPr>
        <w:spacing w:after="0" w:line="31" w:lineRule="exact"/>
        <w:rPr>
          <w:sz w:val="20"/>
          <w:szCs w:val="20"/>
          <w:color w:val="auto"/>
        </w:rPr>
      </w:pPr>
    </w:p>
    <w:p>
      <w:pPr>
        <w:jc w:val="center"/>
        <w:ind w:left="524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3" w:lineRule="exact"/>
        <w:rPr>
          <w:sz w:val="20"/>
          <w:szCs w:val="20"/>
          <w:color w:val="auto"/>
        </w:rPr>
      </w:pPr>
    </w:p>
    <w:p>
      <w:pPr>
        <w:jc w:val="center"/>
        <w:ind w:left="524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494665</wp:posOffset>
            </wp:positionV>
            <wp:extent cx="6292215" cy="254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2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55" w:name="page156"/>
    <w:bookmarkEnd w:id="155"/>
    <w:p>
      <w:pPr>
        <w:jc w:val="right"/>
        <w:ind w:right="219"/>
        <w:spacing w:after="0"/>
        <w:rPr>
          <w:sz w:val="20"/>
          <w:szCs w:val="20"/>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2"/>
          <w:szCs w:val="12"/>
          <w:b w:val="1"/>
          <w:bCs w:val="1"/>
          <w:color w:val="auto"/>
        </w:rPr>
        <w:t>xhibit</w:t>
      </w:r>
      <w:r>
        <w:rPr>
          <w:rFonts w:ascii="Times New Roman" w:cs="Times New Roman" w:eastAsia="Times New Roman" w:hAnsi="Times New Roman"/>
          <w:sz w:val="18"/>
          <w:szCs w:val="18"/>
          <w:b w:val="1"/>
          <w:bCs w:val="1"/>
          <w:color w:val="auto"/>
        </w:rPr>
        <w:t xml:space="preserve"> 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156845</wp:posOffset>
            </wp:positionV>
            <wp:extent cx="1491615" cy="56578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29">
                      <a:extLst>
                        <a:ext uri="{28A0092B-C50C-407E-A947-70E740481C1C}"/>
                      </a:extLst>
                    </a:blip>
                    <a:srcRect/>
                    <a:stretch>
                      <a:fillRect/>
                    </a:stretch>
                  </pic:blipFill>
                  <pic:spPr bwMode="auto">
                    <a:xfrm>
                      <a:off x="0" y="0"/>
                      <a:ext cx="149161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5"/>
          <w:szCs w:val="25"/>
          <w:b w:val="1"/>
          <w:bCs w:val="1"/>
          <w:color w:val="auto"/>
        </w:rPr>
        <w:t>Policy for the Recovery of Erroneously Awarded Compensation</w:t>
      </w:r>
    </w:p>
    <w:p>
      <w:pPr>
        <w:spacing w:after="0" w:line="4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b w:val="1"/>
          <w:bCs w:val="1"/>
          <w:color w:val="auto"/>
        </w:rPr>
        <w:t>_________________________________________________________</w:t>
      </w:r>
    </w:p>
    <w:p>
      <w:pPr>
        <w:spacing w:after="0" w:line="189" w:lineRule="exact"/>
        <w:rPr>
          <w:sz w:val="20"/>
          <w:szCs w:val="20"/>
          <w:color w:val="auto"/>
        </w:rPr>
      </w:pPr>
    </w:p>
    <w:p>
      <w:pPr>
        <w:jc w:val="both"/>
        <w:ind w:left="200" w:right="219" w:firstLine="648"/>
        <w:spacing w:after="0" w:line="268" w:lineRule="auto"/>
        <w:rPr>
          <w:sz w:val="20"/>
          <w:szCs w:val="20"/>
          <w:color w:val="auto"/>
        </w:rPr>
      </w:pPr>
      <w:r>
        <w:rPr>
          <w:rFonts w:ascii="Times New Roman" w:cs="Times New Roman" w:eastAsia="Times New Roman" w:hAnsi="Times New Roman"/>
          <w:sz w:val="18"/>
          <w:szCs w:val="18"/>
          <w:color w:val="auto"/>
        </w:rPr>
        <w:t xml:space="preserve">Lulu’s Fashion Lounge Holdings,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xml:space="preserve">) has adopted this Policy for the Recovery of Erroneously Awarded Compensation (the </w:t>
      </w:r>
      <w:r>
        <w:rPr>
          <w:rFonts w:ascii="Times New Roman" w:cs="Times New Roman" w:eastAsia="Times New Roman" w:hAnsi="Times New Roman"/>
          <w:sz w:val="18"/>
          <w:szCs w:val="18"/>
          <w:b w:val="1"/>
          <w:bCs w:val="1"/>
          <w:i w:val="1"/>
          <w:iCs w:val="1"/>
          <w:color w:val="auto"/>
        </w:rPr>
        <w:t>“Policy”</w:t>
      </w:r>
      <w:r>
        <w:rPr>
          <w:rFonts w:ascii="Times New Roman" w:cs="Times New Roman" w:eastAsia="Times New Roman" w:hAnsi="Times New Roman"/>
          <w:sz w:val="18"/>
          <w:szCs w:val="18"/>
          <w:color w:val="auto"/>
        </w:rPr>
        <w:t xml:space="preserve">), effective as of November 3, 2023 (the </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 Capitalized terms used in this Policy but not otherwise defined herein are defined in Section 1.</w:t>
      </w:r>
    </w:p>
    <w:p>
      <w:pPr>
        <w:spacing w:after="0" w:line="219" w:lineRule="exact"/>
        <w:rPr>
          <w:sz w:val="20"/>
          <w:szCs w:val="20"/>
          <w:color w:val="auto"/>
        </w:rPr>
      </w:pPr>
    </w:p>
    <w:p>
      <w:pPr>
        <w:ind w:left="940" w:hanging="731"/>
        <w:spacing w:after="0"/>
        <w:tabs>
          <w:tab w:leader="none" w:pos="940"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Purpose</w:t>
      </w:r>
    </w:p>
    <w:p>
      <w:pPr>
        <w:spacing w:after="0" w:line="256" w:lineRule="exact"/>
        <w:rPr>
          <w:sz w:val="20"/>
          <w:szCs w:val="20"/>
          <w:color w:val="auto"/>
        </w:rPr>
      </w:pPr>
    </w:p>
    <w:p>
      <w:pPr>
        <w:jc w:val="both"/>
        <w:ind w:left="200" w:right="219" w:firstLine="648"/>
        <w:spacing w:after="0" w:line="255" w:lineRule="auto"/>
        <w:rPr>
          <w:sz w:val="20"/>
          <w:szCs w:val="20"/>
          <w:color w:val="auto"/>
        </w:rPr>
      </w:pPr>
      <w:r>
        <w:rPr>
          <w:rFonts w:ascii="Times New Roman" w:cs="Times New Roman" w:eastAsia="Times New Roman" w:hAnsi="Times New Roman"/>
          <w:sz w:val="18"/>
          <w:szCs w:val="18"/>
          <w:color w:val="auto"/>
        </w:rPr>
        <w:t xml:space="preserve">The purpose of this Policy is to describe the circumstances in which the Covered Officers will be required to repay or return Erroneously Awarded Compensation to the Company. Each Covered Officer shall be required to sign and return to the Company the Acknowledgment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pursuant to which such Executive Officer will agree to be bound by the terms and comply with this Policy.</w:t>
      </w:r>
    </w:p>
    <w:p>
      <w:pPr>
        <w:spacing w:after="0" w:line="232" w:lineRule="exact"/>
        <w:rPr>
          <w:sz w:val="20"/>
          <w:szCs w:val="20"/>
          <w:color w:val="auto"/>
        </w:rPr>
      </w:pPr>
    </w:p>
    <w:p>
      <w:pPr>
        <w:ind w:left="940" w:hanging="731"/>
        <w:spacing w:after="0"/>
        <w:tabs>
          <w:tab w:leader="none" w:pos="940"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Definitions</w:t>
      </w:r>
    </w:p>
    <w:p>
      <w:pPr>
        <w:spacing w:after="0" w:line="25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For purposes of this Policy, the following definitions apply:</w:t>
      </w:r>
    </w:p>
    <w:p>
      <w:pPr>
        <w:spacing w:after="0" w:line="221" w:lineRule="exact"/>
        <w:rPr>
          <w:sz w:val="20"/>
          <w:szCs w:val="20"/>
          <w:color w:val="auto"/>
        </w:rPr>
      </w:pPr>
    </w:p>
    <w:p>
      <w:pPr>
        <w:jc w:val="both"/>
        <w:ind w:left="200" w:right="219"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“Applicable Rules” </w:t>
      </w:r>
      <w:r>
        <w:rPr>
          <w:rFonts w:ascii="Times New Roman" w:cs="Times New Roman" w:eastAsia="Times New Roman" w:hAnsi="Times New Roman"/>
          <w:sz w:val="18"/>
          <w:szCs w:val="18"/>
          <w:color w:val="auto"/>
        </w:rPr>
        <w:t>means Section 10D of the Exchange Act, Rule 10D-1 promulgated thereunder, the listing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rules of the Exchange, and any applicable rules, standards or other guidance adopted by the SEC or the Exchange.</w:t>
      </w:r>
    </w:p>
    <w:p>
      <w:pPr>
        <w:spacing w:after="0" w:line="15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“Board” </w:t>
      </w:r>
      <w:r>
        <w:rPr>
          <w:rFonts w:ascii="Times New Roman" w:cs="Times New Roman" w:eastAsia="Times New Roman" w:hAnsi="Times New Roman"/>
          <w:sz w:val="18"/>
          <w:szCs w:val="18"/>
          <w:color w:val="auto"/>
        </w:rPr>
        <w:t>means the Board of Directors of the Company.</w:t>
      </w:r>
    </w:p>
    <w:p>
      <w:pPr>
        <w:spacing w:after="0" w:line="21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“Committee” </w:t>
      </w:r>
      <w:r>
        <w:rPr>
          <w:rFonts w:ascii="Times New Roman" w:cs="Times New Roman" w:eastAsia="Times New Roman" w:hAnsi="Times New Roman"/>
          <w:sz w:val="18"/>
          <w:szCs w:val="18"/>
          <w:color w:val="auto"/>
        </w:rPr>
        <w:t>means the Compensation Committee of the Board.</w:t>
      </w:r>
    </w:p>
    <w:p>
      <w:pPr>
        <w:spacing w:after="0" w:line="225" w:lineRule="exact"/>
        <w:rPr>
          <w:sz w:val="20"/>
          <w:szCs w:val="20"/>
          <w:color w:val="auto"/>
        </w:rPr>
      </w:pPr>
    </w:p>
    <w:p>
      <w:pPr>
        <w:jc w:val="both"/>
        <w:ind w:left="200" w:right="219"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“Covered Officer” </w:t>
      </w:r>
      <w:r>
        <w:rPr>
          <w:rFonts w:ascii="Times New Roman" w:cs="Times New Roman" w:eastAsia="Times New Roman" w:hAnsi="Times New Roman"/>
          <w:sz w:val="18"/>
          <w:szCs w:val="18"/>
          <w:color w:val="auto"/>
        </w:rPr>
        <w:t>means any current or former “officer” as defined in Exchange Act Rule 16a-1, and 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other senior executives as determined by the Committee.</w:t>
      </w:r>
    </w:p>
    <w:p>
      <w:pPr>
        <w:spacing w:after="0" w:line="15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“Effective Date” </w:t>
      </w:r>
      <w:r>
        <w:rPr>
          <w:rFonts w:ascii="Times New Roman" w:cs="Times New Roman" w:eastAsia="Times New Roman" w:hAnsi="Times New Roman"/>
          <w:sz w:val="18"/>
          <w:szCs w:val="18"/>
          <w:color w:val="auto"/>
        </w:rPr>
        <w:t>means the date stated in the first paragraph of this Policy.</w:t>
      </w:r>
    </w:p>
    <w:p>
      <w:pPr>
        <w:spacing w:after="0" w:line="212" w:lineRule="exact"/>
        <w:rPr>
          <w:sz w:val="20"/>
          <w:szCs w:val="20"/>
          <w:color w:val="auto"/>
        </w:rPr>
      </w:pPr>
    </w:p>
    <w:p>
      <w:pPr>
        <w:jc w:val="both"/>
        <w:ind w:left="200" w:right="219" w:firstLine="648"/>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“Erroneously Awarded Compensation” </w:t>
      </w:r>
      <w:r>
        <w:rPr>
          <w:rFonts w:ascii="Times New Roman" w:cs="Times New Roman" w:eastAsia="Times New Roman" w:hAnsi="Times New Roman"/>
          <w:sz w:val="18"/>
          <w:szCs w:val="18"/>
          <w:color w:val="auto"/>
        </w:rPr>
        <w:t>means the amount of Incentive-Based Compensation received that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exceeds the amount of Incentive-Based Compensation that otherwise would have been received had it been determined based on the Restatement, computed without regard to any taxes paid. In the case of Incentive-Based Compensation based on stock price or total shareholder return, where the amount of erroneously awarded compensation is not subject to mathematical recalculation directly from the information in the Restatement, the amount will reflect a reasonable estimate of the effect of the Restatement on the stock price or total shareholder return upon which the Incentive-Based Compensation was received, as determined by the Committee in its sole discretion. The Company will maintain documentation of the determination of that reasonable estimate and provide the documentation to the Exchange as required by the Exchange.</w:t>
      </w:r>
    </w:p>
    <w:p>
      <w:pPr>
        <w:spacing w:after="0" w:line="183" w:lineRule="exact"/>
        <w:rPr>
          <w:sz w:val="20"/>
          <w:szCs w:val="20"/>
          <w:color w:val="auto"/>
        </w:rPr>
      </w:pPr>
    </w:p>
    <w:p>
      <w:pPr>
        <w:jc w:val="both"/>
        <w:ind w:left="200" w:right="219"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“Exchange” </w:t>
      </w:r>
      <w:r>
        <w:rPr>
          <w:rFonts w:ascii="Times New Roman" w:cs="Times New Roman" w:eastAsia="Times New Roman" w:hAnsi="Times New Roman"/>
          <w:sz w:val="18"/>
          <w:szCs w:val="18"/>
          <w:color w:val="auto"/>
        </w:rPr>
        <w:t>means the Nasdaq Stock Market or any other national securities exchange on which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Company’s securities are then listed.</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1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30">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374" w:right="1440" w:bottom="1440" w:gutter="0" w:footer="0" w:header="0"/>
        </w:sectPr>
      </w:pPr>
    </w:p>
    <w:bookmarkStart w:id="156" w:name="page157"/>
    <w:bookmarkEnd w:id="156"/>
    <w:p>
      <w:pPr>
        <w:ind w:left="8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“Exchange Act” </w:t>
      </w:r>
      <w:r>
        <w:rPr>
          <w:rFonts w:ascii="Times New Roman" w:cs="Times New Roman" w:eastAsia="Times New Roman" w:hAnsi="Times New Roman"/>
          <w:sz w:val="18"/>
          <w:szCs w:val="18"/>
          <w:color w:val="auto"/>
        </w:rPr>
        <w:t>means the Securities and Exchange Act of 1934.</w:t>
      </w:r>
    </w:p>
    <w:p>
      <w:pPr>
        <w:spacing w:after="0" w:line="225" w:lineRule="exact"/>
        <w:rPr>
          <w:sz w:val="20"/>
          <w:szCs w:val="20"/>
          <w:color w:val="auto"/>
        </w:rPr>
      </w:pPr>
    </w:p>
    <w:p>
      <w:pPr>
        <w:jc w:val="both"/>
        <w:ind w:left="200" w:right="219"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“Financial Reporting Measure” </w:t>
      </w:r>
      <w:r>
        <w:rPr>
          <w:rFonts w:ascii="Times New Roman" w:cs="Times New Roman" w:eastAsia="Times New Roman" w:hAnsi="Times New Roman"/>
          <w:sz w:val="18"/>
          <w:szCs w:val="18"/>
          <w:color w:val="auto"/>
        </w:rPr>
        <w:t>means any measure that is determined and presented in accordance with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accounting principles used in preparing the Company’s financial statements, and any measures that are derived wholly or in part from those measures, whether or not the measure is presented within the financial statements or included in a filing with the SEC. Stock price and total shareholder return are financial reporting measures.</w:t>
      </w:r>
    </w:p>
    <w:p>
      <w:pPr>
        <w:spacing w:after="0" w:line="143" w:lineRule="exact"/>
        <w:rPr>
          <w:sz w:val="20"/>
          <w:szCs w:val="20"/>
          <w:color w:val="auto"/>
        </w:rPr>
      </w:pPr>
    </w:p>
    <w:p>
      <w:pPr>
        <w:jc w:val="both"/>
        <w:ind w:left="200" w:right="219" w:firstLine="648"/>
        <w:spacing w:after="0" w:line="226" w:lineRule="exact"/>
        <w:rPr>
          <w:sz w:val="20"/>
          <w:szCs w:val="20"/>
          <w:color w:val="auto"/>
        </w:rPr>
      </w:pPr>
      <w:r>
        <w:rPr>
          <w:rFonts w:ascii="Times New Roman" w:cs="Times New Roman" w:eastAsia="Times New Roman" w:hAnsi="Times New Roman"/>
          <w:sz w:val="18"/>
          <w:szCs w:val="18"/>
          <w:b w:val="1"/>
          <w:bCs w:val="1"/>
          <w:i w:val="1"/>
          <w:iCs w:val="1"/>
          <w:color w:val="auto"/>
        </w:rPr>
        <w:t>“Incentive</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Based Compensation” </w:t>
      </w:r>
      <w:r>
        <w:rPr>
          <w:rFonts w:ascii="Times New Roman" w:cs="Times New Roman" w:eastAsia="Times New Roman" w:hAnsi="Times New Roman"/>
          <w:sz w:val="18"/>
          <w:szCs w:val="18"/>
          <w:color w:val="auto"/>
        </w:rPr>
        <w:t>means any compensation that is awarded, earned or vested based in whole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 in part on the attainment of a Financial Reporting Measure. Base salaries, bonuses or equity awards paid solely upon satisfying one or more subjective standards, strategic or operational measures, or continued employment are not considered incentive-based compensation, unless the awards were granted, paid or vested based in part on a Financial Reporting Measure.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1031875</wp:posOffset>
            </wp:positionH>
            <wp:positionV relativeFrom="paragraph">
              <wp:posOffset>-626745</wp:posOffset>
            </wp:positionV>
            <wp:extent cx="64135" cy="3937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31">
                      <a:extLst>
                        <a:ext uri="{28A0092B-C50C-407E-A947-70E740481C1C}"/>
                      </a:extLst>
                    </a:blip>
                    <a:srcRect/>
                    <a:stretch>
                      <a:fillRect/>
                    </a:stretch>
                  </pic:blipFill>
                  <pic:spPr bwMode="auto">
                    <a:xfrm>
                      <a:off x="0" y="0"/>
                      <a:ext cx="64135" cy="39370"/>
                    </a:xfrm>
                    <a:prstGeom prst="rect">
                      <a:avLst/>
                    </a:prstGeom>
                    <a:noFill/>
                  </pic:spPr>
                </pic:pic>
              </a:graphicData>
            </a:graphic>
          </wp:anchor>
        </w:drawing>
      </w:r>
    </w:p>
    <w:p>
      <w:pPr>
        <w:spacing w:after="0" w:line="174" w:lineRule="exact"/>
        <w:rPr>
          <w:sz w:val="20"/>
          <w:szCs w:val="20"/>
          <w:color w:val="auto"/>
        </w:rPr>
      </w:pPr>
    </w:p>
    <w:p>
      <w:pPr>
        <w:jc w:val="both"/>
        <w:ind w:left="200" w:right="219"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“Restatement” </w:t>
      </w:r>
      <w:r>
        <w:rPr>
          <w:rFonts w:ascii="Times New Roman" w:cs="Times New Roman" w:eastAsia="Times New Roman" w:hAnsi="Times New Roman"/>
          <w:sz w:val="18"/>
          <w:szCs w:val="18"/>
          <w:color w:val="auto"/>
        </w:rPr>
        <w:t>means an accounting restatement due to the material noncompliance of the Company with 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financial reporting requirement under the securities laws, including any required accounting restatement that corrects errors (1) that are material to previously issued financial statements, or (2) that are not material to previously issued financial statements but would result in a material misstatement if the errors were left uncorrected in the current report or the error correction was recognized in the current period.</w:t>
      </w:r>
    </w:p>
    <w:p>
      <w:pPr>
        <w:spacing w:after="0" w:line="16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means the Securities and Exchange Commission.</w:t>
      </w:r>
    </w:p>
    <w:p>
      <w:pPr>
        <w:spacing w:after="0" w:line="225" w:lineRule="exact"/>
        <w:rPr>
          <w:sz w:val="20"/>
          <w:szCs w:val="20"/>
          <w:color w:val="auto"/>
        </w:rPr>
      </w:pPr>
    </w:p>
    <w:p>
      <w:pPr>
        <w:jc w:val="both"/>
        <w:ind w:left="200" w:right="219"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Three-Year Period</w:t>
      </w:r>
      <w:r>
        <w:rPr>
          <w:rFonts w:ascii="Times New Roman" w:cs="Times New Roman" w:eastAsia="Times New Roman" w:hAnsi="Times New Roman"/>
          <w:sz w:val="18"/>
          <w:szCs w:val="18"/>
          <w:color w:val="auto"/>
        </w:rPr>
        <w:t>” means with respect to a Restatement, the three completed fiscal years immediately preceding the date that the Board, a committee of the Board, or the officer or officers of the Company authorized to take such action if Board action is not required, concludes, or reasonably should have concluded, that the Company is required to prepare such Restatement, or, if earlier, the date on which a court, regulator or other legally authorized body directs the Company to prepare such Restatement. The “Three-Year Period” also includes any transition period (that results from a change in the Company’s fiscal year) within or immediately following the three completed fiscal years identified in the preceding sentence. However, a transition period between the last day of the Company’s previous fiscal year end and the first day of its new fiscal year that comprises a period of nine to 12 months shall be deemed a completed fiscal year.</w:t>
      </w:r>
    </w:p>
    <w:p>
      <w:pPr>
        <w:spacing w:after="0" w:line="232" w:lineRule="exact"/>
        <w:rPr>
          <w:sz w:val="20"/>
          <w:szCs w:val="20"/>
          <w:color w:val="auto"/>
        </w:rPr>
      </w:pPr>
    </w:p>
    <w:p>
      <w:pPr>
        <w:ind w:left="860" w:hanging="651"/>
        <w:spacing w:after="0"/>
        <w:tabs>
          <w:tab w:leader="none" w:pos="860"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Persons Subject to Policy</w:t>
      </w:r>
    </w:p>
    <w:p>
      <w:pPr>
        <w:spacing w:after="0" w:line="25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This Policy shall apply to current and former Covered Officers of the Company.</w:t>
      </w:r>
    </w:p>
    <w:p>
      <w:pPr>
        <w:spacing w:after="0" w:line="270" w:lineRule="exact"/>
        <w:rPr>
          <w:sz w:val="20"/>
          <w:szCs w:val="20"/>
          <w:color w:val="auto"/>
        </w:rPr>
      </w:pPr>
    </w:p>
    <w:p>
      <w:pPr>
        <w:ind w:left="860" w:hanging="651"/>
        <w:spacing w:after="0"/>
        <w:tabs>
          <w:tab w:leader="none" w:pos="860"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Compensation Subject to Policy</w:t>
      </w:r>
    </w:p>
    <w:p>
      <w:pPr>
        <w:spacing w:after="0" w:line="256" w:lineRule="exact"/>
        <w:rPr>
          <w:sz w:val="20"/>
          <w:szCs w:val="20"/>
          <w:color w:val="auto"/>
        </w:rPr>
      </w:pPr>
    </w:p>
    <w:p>
      <w:pPr>
        <w:jc w:val="both"/>
        <w:ind w:left="200" w:right="219" w:firstLine="518"/>
        <w:spacing w:after="0" w:line="254" w:lineRule="auto"/>
        <w:rPr>
          <w:sz w:val="20"/>
          <w:szCs w:val="20"/>
          <w:color w:val="auto"/>
        </w:rPr>
      </w:pPr>
      <w:r>
        <w:rPr>
          <w:rFonts w:ascii="Times New Roman" w:cs="Times New Roman" w:eastAsia="Times New Roman" w:hAnsi="Times New Roman"/>
          <w:sz w:val="18"/>
          <w:szCs w:val="18"/>
          <w:color w:val="auto"/>
        </w:rPr>
        <w:t>This Policy shall apply to Incentive-Based Compensation received on or after October 2, 2023. For purposes of this Policy, the date on which Incentive-Based Compensation is “received” shall be determined under the Applicable Rules, which generally provide that Incentive-Based Compensation is “received” in the Company’s fiscal period during which the relevant Financial Reporting Measure is attained or satisfied, without regard to whether the grant, vesting or payment of the Incentive-Based Compensation occurs after the end of that period.</w:t>
      </w:r>
    </w:p>
    <w:p>
      <w:pPr>
        <w:spacing w:after="0" w:line="232" w:lineRule="exact"/>
        <w:rPr>
          <w:sz w:val="20"/>
          <w:szCs w:val="20"/>
          <w:color w:val="auto"/>
        </w:rPr>
      </w:pPr>
    </w:p>
    <w:p>
      <w:pPr>
        <w:ind w:left="860" w:hanging="651"/>
        <w:spacing w:after="0"/>
        <w:tabs>
          <w:tab w:leader="none" w:pos="860"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Recovery of Compensation</w:t>
      </w:r>
    </w:p>
    <w:p>
      <w:pPr>
        <w:spacing w:after="0" w:line="256" w:lineRule="exact"/>
        <w:rPr>
          <w:sz w:val="20"/>
          <w:szCs w:val="20"/>
          <w:color w:val="auto"/>
        </w:rPr>
      </w:pPr>
    </w:p>
    <w:p>
      <w:pPr>
        <w:ind w:left="200" w:right="219" w:firstLine="648"/>
        <w:spacing w:after="0" w:line="282" w:lineRule="auto"/>
        <w:rPr>
          <w:sz w:val="20"/>
          <w:szCs w:val="20"/>
          <w:color w:val="auto"/>
        </w:rPr>
      </w:pPr>
      <w:r>
        <w:rPr>
          <w:rFonts w:ascii="Times New Roman" w:cs="Times New Roman" w:eastAsia="Times New Roman" w:hAnsi="Times New Roman"/>
          <w:sz w:val="18"/>
          <w:szCs w:val="18"/>
          <w:color w:val="auto"/>
        </w:rPr>
        <w:t>In the event that the Company is required to prepare a Restatement, the Company shall recover, reasonably promptly, the portion of any Incentive-Based Compensation that is Erroneously Awarded</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2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32">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130" w:right="1440" w:bottom="1440" w:gutter="0" w:footer="0" w:header="0"/>
        </w:sectPr>
      </w:pPr>
    </w:p>
    <w:bookmarkStart w:id="157" w:name="page158"/>
    <w:bookmarkEnd w:id="157"/>
    <w:p>
      <w:pPr>
        <w:jc w:val="both"/>
        <w:ind w:left="200" w:right="219"/>
        <w:spacing w:after="0" w:line="252" w:lineRule="auto"/>
        <w:rPr>
          <w:sz w:val="20"/>
          <w:szCs w:val="20"/>
          <w:color w:val="auto"/>
        </w:rPr>
      </w:pPr>
      <w:r>
        <w:rPr>
          <w:rFonts w:ascii="Times New Roman" w:cs="Times New Roman" w:eastAsia="Times New Roman" w:hAnsi="Times New Roman"/>
          <w:sz w:val="18"/>
          <w:szCs w:val="18"/>
          <w:color w:val="auto"/>
        </w:rPr>
        <w:t>Compensation, unless the Committee has determined that recovery would be impracticable. Recovery shall be required in accordance with the preceding sentence regardless of whether the applicable Covered Officer engaged in misconduct or otherwise caused or contributed to the requirement for the Restatement and regardless of whether or when restated financial statements are filed by the Company. Recovery of Erroneously Awarded Compensation shall be made on a pre-tax basis without regard to any taxes paid thereon by the applicable Covered Officer. For clarity, the recovery of Erroneously Awarded Compensation under this Policy will not give rise to any person’s right to voluntarily terminate employment for “good reason,” or due to a “constructive termination” (or any similar term of like effect) under any plan, program or policy of or agreement with the Company or any of its affiliates.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3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33">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918" w:right="1440" w:bottom="1440" w:gutter="0" w:footer="0" w:header="0"/>
        </w:sectPr>
      </w:pPr>
    </w:p>
    <w:bookmarkStart w:id="158" w:name="page159"/>
    <w:bookmarkEnd w:id="158"/>
    <w:p>
      <w:pPr>
        <w:ind w:left="860" w:hanging="651"/>
        <w:spacing w:after="0"/>
        <w:tabs>
          <w:tab w:leader="none" w:pos="860"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Manner of Recovery</w:t>
      </w:r>
      <w:r>
        <w:rPr>
          <w:rFonts w:ascii="Courier New" w:cs="Courier New" w:eastAsia="Courier New" w:hAnsi="Courier New"/>
          <w:sz w:val="22"/>
          <w:szCs w:val="22"/>
          <w:color w:val="auto"/>
        </w:rPr>
        <w:t>;</w:t>
      </w:r>
      <w:r>
        <w:rPr>
          <w:rFonts w:ascii="Times New Roman" w:cs="Times New Roman" w:eastAsia="Times New Roman" w:hAnsi="Times New Roman"/>
          <w:sz w:val="22"/>
          <w:szCs w:val="22"/>
          <w:color w:val="auto"/>
        </w:rPr>
        <w:t xml:space="preserve"> Limitation on Duplicative Recovery</w:t>
      </w:r>
    </w:p>
    <w:p>
      <w:pPr>
        <w:spacing w:after="0" w:line="268" w:lineRule="exact"/>
        <w:rPr>
          <w:sz w:val="20"/>
          <w:szCs w:val="20"/>
          <w:color w:val="auto"/>
        </w:rPr>
      </w:pPr>
    </w:p>
    <w:p>
      <w:pPr>
        <w:jc w:val="both"/>
        <w:ind w:left="200" w:right="219" w:firstLine="518"/>
        <w:spacing w:after="0" w:line="253" w:lineRule="auto"/>
        <w:rPr>
          <w:sz w:val="20"/>
          <w:szCs w:val="20"/>
          <w:color w:val="auto"/>
        </w:rPr>
      </w:pPr>
      <w:r>
        <w:rPr>
          <w:rFonts w:ascii="Times New Roman" w:cs="Times New Roman" w:eastAsia="Times New Roman" w:hAnsi="Times New Roman"/>
          <w:sz w:val="18"/>
          <w:szCs w:val="18"/>
          <w:color w:val="auto"/>
        </w:rPr>
        <w:t>The Committee shall, in its sole discretion, determine the manner of recovery of any Erroneously Awarded Compensation, which may include, without limitation, requiring reimbursement of cash Incentive-Based Compensation, seeking recovery of any gain realized on the vesting, exercise, settlement, sale, transfer or other disposition of any equity-based awards; to the extent permitted by law, an offset of the Erroneously Awarded Compensation against other compensation payable by the Company or an affiliate of the Company to such person; cancelling outstanding vested or unvested equity awards; and/or taking any other remedial and recovery action permitted by law, as determined by the Committee.</w:t>
      </w:r>
    </w:p>
    <w:p>
      <w:pPr>
        <w:spacing w:after="0" w:line="187" w:lineRule="exact"/>
        <w:rPr>
          <w:sz w:val="20"/>
          <w:szCs w:val="20"/>
          <w:color w:val="auto"/>
        </w:rPr>
      </w:pPr>
    </w:p>
    <w:p>
      <w:pPr>
        <w:jc w:val="both"/>
        <w:ind w:left="200" w:right="219" w:firstLine="518"/>
        <w:spacing w:after="0" w:line="272" w:lineRule="auto"/>
        <w:rPr>
          <w:sz w:val="20"/>
          <w:szCs w:val="20"/>
          <w:color w:val="auto"/>
        </w:rPr>
      </w:pPr>
      <w:r>
        <w:rPr>
          <w:rFonts w:ascii="Times New Roman" w:cs="Times New Roman" w:eastAsia="Times New Roman" w:hAnsi="Times New Roman"/>
          <w:sz w:val="17"/>
          <w:szCs w:val="17"/>
          <w:color w:val="auto"/>
        </w:rPr>
        <w:t>Notwithstanding the foregoing, unless otherwise prohibited by the Applicable Rules, to the extent this Policy provides for recovery of Erroneously Awarded Compensation already recovered by the Company pursuant to Section 304 of the Sarbanes-Oxley Act of 2002 or Other Recovery Arrangements, the amount of Erroneously Awarded Compensation already recovered by the Company from the recipient of such Erroneously Awarded Compensation may be credited to the amount of Erroneously Awarded Compensation required to be recovered pursuant to this Policy from such person.</w:t>
      </w:r>
    </w:p>
    <w:p>
      <w:pPr>
        <w:spacing w:after="0" w:line="220" w:lineRule="exact"/>
        <w:rPr>
          <w:sz w:val="20"/>
          <w:szCs w:val="20"/>
          <w:color w:val="auto"/>
        </w:rPr>
      </w:pPr>
    </w:p>
    <w:p>
      <w:pPr>
        <w:ind w:left="860" w:hanging="651"/>
        <w:spacing w:after="0"/>
        <w:tabs>
          <w:tab w:leader="none" w:pos="860"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Exceptions to Recovery</w:t>
      </w:r>
    </w:p>
    <w:p>
      <w:pPr>
        <w:spacing w:after="0" w:line="256" w:lineRule="exact"/>
        <w:rPr>
          <w:sz w:val="20"/>
          <w:szCs w:val="20"/>
          <w:color w:val="auto"/>
        </w:rPr>
      </w:pPr>
    </w:p>
    <w:p>
      <w:pPr>
        <w:jc w:val="both"/>
        <w:ind w:left="200" w:right="219" w:firstLine="648"/>
        <w:spacing w:after="0" w:line="266" w:lineRule="auto"/>
        <w:rPr>
          <w:sz w:val="20"/>
          <w:szCs w:val="20"/>
          <w:color w:val="auto"/>
        </w:rPr>
      </w:pPr>
      <w:r>
        <w:rPr>
          <w:rFonts w:ascii="Times New Roman" w:cs="Times New Roman" w:eastAsia="Times New Roman" w:hAnsi="Times New Roman"/>
          <w:sz w:val="18"/>
          <w:szCs w:val="18"/>
          <w:color w:val="auto"/>
        </w:rPr>
        <w:t>Notwithstanding the foregoing, the Committee, in its discretion, may choose to forgo recovery of Erroneously Awarded Compensation under the following circumstances, on condition that the Committee (or a majority of the independent members of the Board) has made a determination that recovery would be impracticable because:</w:t>
      </w:r>
    </w:p>
    <w:p>
      <w:pPr>
        <w:spacing w:after="0" w:line="176" w:lineRule="exact"/>
        <w:rPr>
          <w:sz w:val="20"/>
          <w:szCs w:val="20"/>
          <w:color w:val="auto"/>
        </w:rPr>
      </w:pPr>
    </w:p>
    <w:p>
      <w:pPr>
        <w:jc w:val="both"/>
        <w:ind w:left="860" w:right="219" w:hanging="327"/>
        <w:spacing w:after="0" w:line="272" w:lineRule="auto"/>
        <w:tabs>
          <w:tab w:leader="none" w:pos="860" w:val="left"/>
        </w:tabs>
        <w:numPr>
          <w:ilvl w:val="1"/>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direct expense paid to a third party to assist in enforcing this Policy would exceed the recoverable amounts, and in which case the Company has made a reasonable attempt to recover the Erroneously Awarded Compensation, has documented that attempt and has (to the extent required) provided that documentation to the Exchange;</w:t>
      </w:r>
    </w:p>
    <w:p>
      <w:pPr>
        <w:spacing w:after="0" w:line="1" w:lineRule="exact"/>
        <w:rPr>
          <w:rFonts w:ascii="Times New Roman" w:cs="Times New Roman" w:eastAsia="Times New Roman" w:hAnsi="Times New Roman"/>
          <w:sz w:val="17"/>
          <w:szCs w:val="17"/>
          <w:color w:val="auto"/>
        </w:rPr>
      </w:pPr>
    </w:p>
    <w:p>
      <w:pPr>
        <w:jc w:val="both"/>
        <w:ind w:left="860" w:right="219" w:hanging="327"/>
        <w:spacing w:after="0" w:line="250" w:lineRule="auto"/>
        <w:tabs>
          <w:tab w:leader="none" w:pos="86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recovery would violate home country law where the law was adopted prior to November 28, 2022, and in which case the Company provides an opinion of home country counsel to that effect to the Exchange that is acceptable to the Exchange; or</w:t>
      </w:r>
    </w:p>
    <w:p>
      <w:pPr>
        <w:spacing w:after="0" w:line="1" w:lineRule="exact"/>
        <w:rPr>
          <w:rFonts w:ascii="Times New Roman" w:cs="Times New Roman" w:eastAsia="Times New Roman" w:hAnsi="Times New Roman"/>
          <w:sz w:val="18"/>
          <w:szCs w:val="18"/>
          <w:color w:val="auto"/>
        </w:rPr>
      </w:pPr>
    </w:p>
    <w:p>
      <w:pPr>
        <w:ind w:left="860" w:right="219" w:hanging="327"/>
        <w:spacing w:after="0" w:line="290" w:lineRule="auto"/>
        <w:tabs>
          <w:tab w:leader="none" w:pos="860" w:val="left"/>
        </w:tabs>
        <w:numPr>
          <w:ilvl w:val="1"/>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recovery would likely cause an otherwise tax-qualified retirement plan, under which benefits are broadly available to employees of the Company, to fail to meet the requirements of the Internal Revenue Code of 1986.</w:t>
      </w:r>
    </w:p>
    <w:p>
      <w:pPr>
        <w:spacing w:after="0" w:line="202" w:lineRule="exact"/>
        <w:rPr>
          <w:rFonts w:ascii="Times New Roman" w:cs="Times New Roman" w:eastAsia="Times New Roman" w:hAnsi="Times New Roman"/>
          <w:sz w:val="17"/>
          <w:szCs w:val="17"/>
          <w:color w:val="auto"/>
        </w:rPr>
      </w:pPr>
    </w:p>
    <w:p>
      <w:pPr>
        <w:ind w:left="860" w:hanging="651"/>
        <w:spacing w:after="0"/>
        <w:tabs>
          <w:tab w:leader="none" w:pos="860"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Administration; Interpretation</w:t>
      </w:r>
    </w:p>
    <w:p>
      <w:pPr>
        <w:spacing w:after="0" w:line="256" w:lineRule="exact"/>
        <w:rPr>
          <w:sz w:val="20"/>
          <w:szCs w:val="20"/>
          <w:color w:val="auto"/>
        </w:rPr>
      </w:pPr>
    </w:p>
    <w:p>
      <w:pPr>
        <w:jc w:val="both"/>
        <w:ind w:left="200" w:right="219" w:firstLine="518"/>
        <w:spacing w:after="0" w:line="269" w:lineRule="auto"/>
        <w:rPr>
          <w:sz w:val="20"/>
          <w:szCs w:val="20"/>
          <w:color w:val="auto"/>
        </w:rPr>
      </w:pPr>
      <w:r>
        <w:rPr>
          <w:rFonts w:ascii="Times New Roman" w:cs="Times New Roman" w:eastAsia="Times New Roman" w:hAnsi="Times New Roman"/>
          <w:sz w:val="17"/>
          <w:szCs w:val="17"/>
          <w:color w:val="auto"/>
        </w:rPr>
        <w:t>This Policy shall be administered, interpreted and construed by the Committee, which is authorized to make all determinations necessary, appropriate or advisable for such purpose. The Board may re-vest in itself the authority to administer, interpret and construe this Policy in accordance with applicable law, and in such event references herein to the “Committee” shall be deemed to be references to the Board. Subject to any permitted review by the applicable national securities exchange or association pursuant to the Applicable Rules, all determinations and decisions made by the Committee pursuant to the provisions of this Policy shall be final, conclusive and binding on all persons, including the Company and its affiliates, equityholders and employees. The Committee may delegate administrative duties with respect to this Policy to one or more directors or employees of the Company, as permitted under applicable law, including any Applicable Rules.</w:t>
      </w:r>
    </w:p>
    <w:p>
      <w:pPr>
        <w:spacing w:after="0" w:line="178" w:lineRule="exact"/>
        <w:rPr>
          <w:sz w:val="20"/>
          <w:szCs w:val="20"/>
          <w:color w:val="auto"/>
        </w:rPr>
      </w:pPr>
    </w:p>
    <w:p>
      <w:pPr>
        <w:ind w:left="200" w:right="359" w:firstLine="518"/>
        <w:spacing w:after="0" w:line="266" w:lineRule="auto"/>
        <w:rPr>
          <w:sz w:val="20"/>
          <w:szCs w:val="20"/>
          <w:color w:val="auto"/>
        </w:rPr>
      </w:pPr>
      <w:r>
        <w:rPr>
          <w:rFonts w:ascii="Times New Roman" w:cs="Times New Roman" w:eastAsia="Times New Roman" w:hAnsi="Times New Roman"/>
          <w:sz w:val="18"/>
          <w:szCs w:val="18"/>
          <w:color w:val="auto"/>
        </w:rPr>
        <w:t>This Policy is intended to comply with Section 10D of the Exchange Act, Rule 10D-1 thereunder, and the applicable rules of the Exchange and will be interpreted and administered consistent with that intent.</w:t>
      </w:r>
    </w:p>
    <w:p>
      <w:pPr>
        <w:spacing w:after="0" w:line="221" w:lineRule="exact"/>
        <w:rPr>
          <w:sz w:val="20"/>
          <w:szCs w:val="20"/>
          <w:color w:val="auto"/>
        </w:rPr>
      </w:pPr>
    </w:p>
    <w:p>
      <w:pPr>
        <w:ind w:left="860" w:hanging="651"/>
        <w:spacing w:after="0"/>
        <w:tabs>
          <w:tab w:leader="none" w:pos="860"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Indemnification; No Liability</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4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54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3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19" w:right="1440" w:bottom="1440" w:gutter="0" w:footer="0" w:header="0"/>
        </w:sectPr>
      </w:pPr>
    </w:p>
    <w:bookmarkStart w:id="159" w:name="page160"/>
    <w:bookmarkEnd w:id="159"/>
    <w:p>
      <w:pPr>
        <w:jc w:val="both"/>
        <w:ind w:left="200" w:right="219" w:firstLine="518"/>
        <w:spacing w:after="0" w:line="258" w:lineRule="auto"/>
        <w:rPr>
          <w:sz w:val="20"/>
          <w:szCs w:val="20"/>
          <w:color w:val="auto"/>
        </w:rPr>
      </w:pPr>
      <w:r>
        <w:rPr>
          <w:rFonts w:ascii="Times New Roman" w:cs="Times New Roman" w:eastAsia="Times New Roman" w:hAnsi="Times New Roman"/>
          <w:sz w:val="18"/>
          <w:szCs w:val="18"/>
          <w:color w:val="auto"/>
        </w:rPr>
        <w:t>The Company shall not indemnify or insure any person against the loss of any Erroneously Awarded Compensation pursuant to this Policy, nor shall the Company directly or indirectly pay or reimburse any person for any premiums for third-party insurance policies that such person may elect to purchase to fund such person’s potential obligations under this Policy. None of the Company, an affiliate of the Company or any member of the Committee or the Board shall have any liability to any person as a result of actions taken under this Policy.</w:t>
      </w:r>
    </w:p>
    <w:p>
      <w:pPr>
        <w:spacing w:after="0" w:line="215" w:lineRule="exact"/>
        <w:rPr>
          <w:sz w:val="20"/>
          <w:szCs w:val="20"/>
          <w:color w:val="auto"/>
        </w:rPr>
      </w:pPr>
    </w:p>
    <w:p>
      <w:pPr>
        <w:ind w:left="860" w:hanging="651"/>
        <w:spacing w:after="0"/>
        <w:tabs>
          <w:tab w:leader="none" w:pos="860"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Impairment of Other Remedies</w:t>
      </w:r>
    </w:p>
    <w:p>
      <w:pPr>
        <w:spacing w:after="0" w:line="256" w:lineRule="exact"/>
        <w:rPr>
          <w:sz w:val="20"/>
          <w:szCs w:val="20"/>
          <w:color w:val="auto"/>
        </w:rPr>
      </w:pPr>
    </w:p>
    <w:p>
      <w:pPr>
        <w:jc w:val="both"/>
        <w:ind w:left="200" w:right="219" w:firstLine="518"/>
        <w:spacing w:after="0" w:line="268" w:lineRule="auto"/>
        <w:rPr>
          <w:sz w:val="20"/>
          <w:szCs w:val="20"/>
          <w:color w:val="auto"/>
        </w:rPr>
      </w:pPr>
      <w:r>
        <w:rPr>
          <w:rFonts w:ascii="Times New Roman" w:cs="Times New Roman" w:eastAsia="Times New Roman" w:hAnsi="Times New Roman"/>
          <w:sz w:val="17"/>
          <w:szCs w:val="17"/>
          <w:color w:val="auto"/>
        </w:rPr>
        <w:t>This Policy does not preclude the Company from taking any other action to enforce a Covered Officer’s obligations to the Company or limit any other remedies that the Company may have available to it and any other actions that the Company may take, including termination of employment, institution of civil proceedings, or reporting of any misconduct to appropriate government authorities. This Policy is in addition to the requirements of Section 304 of the Sarbanes-Oxley Act of 2002 that are applicable to the Company’s chief executive officer and chief financial officer. Any right of recovery under this Policy is in addition to, and not in lieu of, any other remedies or rights of recovery that may be available to the Company and any of its subsidiaries under applicable law, regulation or rule or under the terms of any similar policy in any employment agreement, offer letter, compensation plan, equity award agreement, or similar agreement and any other legal remedies available to the Company or any of its subsidiaries. The Committee may require that any employment agreement, offer letter, compensation plan, equity award agreement, or any other agreement entered into on or after the Effective Date will, as a condition to the grant of any benefit thereunder, require a Covered Officer to agree to abide by the terms of this Policy.</w:t>
      </w:r>
    </w:p>
    <w:p>
      <w:pPr>
        <w:spacing w:after="0" w:line="222" w:lineRule="exact"/>
        <w:rPr>
          <w:sz w:val="20"/>
          <w:szCs w:val="20"/>
          <w:color w:val="auto"/>
        </w:rPr>
      </w:pPr>
    </w:p>
    <w:p>
      <w:pPr>
        <w:ind w:left="860" w:hanging="651"/>
        <w:spacing w:after="0"/>
        <w:tabs>
          <w:tab w:leader="none" w:pos="860"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Requirements Related to Disclosure, Documentation and Records</w:t>
      </w:r>
    </w:p>
    <w:p>
      <w:pPr>
        <w:spacing w:after="0" w:line="256" w:lineRule="exact"/>
        <w:rPr>
          <w:sz w:val="20"/>
          <w:szCs w:val="20"/>
          <w:color w:val="auto"/>
        </w:rPr>
      </w:pPr>
    </w:p>
    <w:p>
      <w:pPr>
        <w:ind w:left="200" w:right="219" w:firstLine="648"/>
        <w:spacing w:after="0" w:line="282" w:lineRule="auto"/>
        <w:rPr>
          <w:sz w:val="20"/>
          <w:szCs w:val="20"/>
          <w:color w:val="auto"/>
        </w:rPr>
      </w:pPr>
      <w:r>
        <w:rPr>
          <w:rFonts w:ascii="Times New Roman" w:cs="Times New Roman" w:eastAsia="Times New Roman" w:hAnsi="Times New Roman"/>
          <w:sz w:val="18"/>
          <w:szCs w:val="18"/>
          <w:color w:val="auto"/>
        </w:rPr>
        <w:t>The Company will comply with the disclosure, documentation and records requirements related to this Policy under Applicable Rules and applicable SEC filings.</w:t>
      </w:r>
    </w:p>
    <w:p>
      <w:pPr>
        <w:spacing w:after="0" w:line="206" w:lineRule="exact"/>
        <w:rPr>
          <w:sz w:val="20"/>
          <w:szCs w:val="20"/>
          <w:color w:val="auto"/>
        </w:rPr>
      </w:pPr>
    </w:p>
    <w:p>
      <w:pPr>
        <w:ind w:left="860" w:hanging="651"/>
        <w:spacing w:after="0"/>
        <w:tabs>
          <w:tab w:leader="none" w:pos="860"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Severability</w:t>
      </w:r>
    </w:p>
    <w:p>
      <w:pPr>
        <w:spacing w:after="0" w:line="254" w:lineRule="exact"/>
        <w:rPr>
          <w:sz w:val="20"/>
          <w:szCs w:val="20"/>
          <w:color w:val="auto"/>
        </w:rPr>
      </w:pPr>
    </w:p>
    <w:p>
      <w:pPr>
        <w:jc w:val="both"/>
        <w:ind w:left="200" w:right="219" w:firstLine="518"/>
        <w:spacing w:after="0" w:line="255" w:lineRule="auto"/>
        <w:rPr>
          <w:sz w:val="20"/>
          <w:szCs w:val="20"/>
          <w:color w:val="auto"/>
        </w:rPr>
      </w:pPr>
      <w:r>
        <w:rPr>
          <w:rFonts w:ascii="Times New Roman" w:cs="Times New Roman" w:eastAsia="Times New Roman" w:hAnsi="Times New Roman"/>
          <w:sz w:val="18"/>
          <w:szCs w:val="18"/>
          <w:color w:val="auto"/>
        </w:rPr>
        <w:t>The provisions in this Policy are intended to be applied to the fullest extent of the law</w:t>
      </w:r>
      <w:r>
        <w:rPr>
          <w:rFonts w:ascii="Courier New" w:cs="Courier New" w:eastAsia="Courier New" w:hAnsi="Courier New"/>
          <w:sz w:val="18"/>
          <w:szCs w:val="18"/>
          <w:color w:val="auto"/>
        </w:rPr>
        <w:t>;</w:t>
      </w:r>
      <w:r>
        <w:rPr>
          <w:rFonts w:ascii="Times New Roman" w:cs="Times New Roman" w:eastAsia="Times New Roman" w:hAnsi="Times New Roman"/>
          <w:sz w:val="18"/>
          <w:szCs w:val="18"/>
          <w:color w:val="auto"/>
        </w:rPr>
        <w:t xml:space="preserve"> provided, however, to the extent that any provision of this Policy is found to be unenforceable or invalid under any applicable law, such provision will be applied to the maximum extent permitted, and shall automatically be deemed amended in a manner consistent with its objectives to the extent necessary to conform to any limitations required under applicable law.</w:t>
      </w:r>
    </w:p>
    <w:p>
      <w:pPr>
        <w:spacing w:after="0" w:line="231" w:lineRule="exact"/>
        <w:rPr>
          <w:sz w:val="20"/>
          <w:szCs w:val="20"/>
          <w:color w:val="auto"/>
        </w:rPr>
      </w:pPr>
    </w:p>
    <w:p>
      <w:pPr>
        <w:ind w:left="860" w:hanging="651"/>
        <w:spacing w:after="0"/>
        <w:tabs>
          <w:tab w:leader="none" w:pos="860"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Amendment and Termination</w:t>
      </w:r>
    </w:p>
    <w:p>
      <w:pPr>
        <w:spacing w:after="0" w:line="256" w:lineRule="exact"/>
        <w:rPr>
          <w:sz w:val="20"/>
          <w:szCs w:val="20"/>
          <w:color w:val="auto"/>
        </w:rPr>
      </w:pPr>
    </w:p>
    <w:p>
      <w:pPr>
        <w:jc w:val="both"/>
        <w:ind w:left="200" w:right="219" w:firstLine="518"/>
        <w:spacing w:after="0" w:line="266" w:lineRule="auto"/>
        <w:rPr>
          <w:sz w:val="20"/>
          <w:szCs w:val="20"/>
          <w:color w:val="auto"/>
        </w:rPr>
      </w:pPr>
      <w:r>
        <w:rPr>
          <w:rFonts w:ascii="Times New Roman" w:cs="Times New Roman" w:eastAsia="Times New Roman" w:hAnsi="Times New Roman"/>
          <w:sz w:val="18"/>
          <w:szCs w:val="18"/>
          <w:color w:val="auto"/>
        </w:rPr>
        <w:t>The Board or the Committee may amend, modify or terminate this Policy in whole or in part at any time and from time to time in its sole discretion. This Policy will terminate automatically when the Company does not have a class of securities listed on a national securities exchange or association.</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Effective: November 3, 2023</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5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35">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174" w:right="1440" w:bottom="1440" w:gutter="0" w:footer="0" w:header="0"/>
        </w:sectPr>
      </w:pPr>
    </w:p>
    <w:bookmarkStart w:id="160" w:name="page161"/>
    <w:bookmarkEnd w:id="160"/>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260" w:lineRule="exact"/>
        <w:rPr>
          <w:sz w:val="20"/>
          <w:szCs w:val="20"/>
          <w:color w:val="auto"/>
        </w:rPr>
      </w:pPr>
    </w:p>
    <w:p>
      <w:pPr>
        <w:jc w:val="center"/>
        <w:ind w:left="540" w:right="539"/>
        <w:spacing w:after="0" w:line="275" w:lineRule="auto"/>
        <w:rPr>
          <w:sz w:val="20"/>
          <w:szCs w:val="20"/>
          <w:color w:val="auto"/>
        </w:rPr>
      </w:pPr>
      <w:r>
        <w:rPr>
          <w:rFonts w:ascii="Times New Roman" w:cs="Times New Roman" w:eastAsia="Times New Roman" w:hAnsi="Times New Roman"/>
          <w:sz w:val="22"/>
          <w:szCs w:val="22"/>
          <w:b w:val="1"/>
          <w:bCs w:val="1"/>
          <w:color w:val="auto"/>
        </w:rPr>
        <w:t>Attestation and Acknowledgement of Policy for the Recovery of Erroneously Awarded Compensation</w:t>
      </w:r>
    </w:p>
    <w:p>
      <w:pPr>
        <w:spacing w:after="0" w:line="18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By my signature below, I acknowledge and agree that:</w:t>
      </w:r>
    </w:p>
    <w:p>
      <w:pPr>
        <w:spacing w:after="0" w:line="225" w:lineRule="exact"/>
        <w:rPr>
          <w:sz w:val="20"/>
          <w:szCs w:val="20"/>
          <w:color w:val="auto"/>
        </w:rPr>
      </w:pPr>
    </w:p>
    <w:p>
      <w:pPr>
        <w:ind w:left="1040" w:right="239" w:hanging="318"/>
        <w:spacing w:after="0" w:line="282" w:lineRule="auto"/>
        <w:tabs>
          <w:tab w:leader="none" w:pos="104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received and read the attached Policy for the Recovery of Erroneously Awarded Compensation (this “Policy”).</w:t>
      </w:r>
    </w:p>
    <w:p>
      <w:pPr>
        <w:spacing w:after="0" w:line="161" w:lineRule="exact"/>
        <w:rPr>
          <w:rFonts w:ascii="Times New Roman" w:cs="Times New Roman" w:eastAsia="Times New Roman" w:hAnsi="Times New Roman"/>
          <w:sz w:val="18"/>
          <w:szCs w:val="18"/>
          <w:color w:val="auto"/>
        </w:rPr>
      </w:pPr>
    </w:p>
    <w:p>
      <w:pPr>
        <w:jc w:val="both"/>
        <w:ind w:left="1040" w:right="239" w:hanging="318"/>
        <w:spacing w:after="0" w:line="258" w:lineRule="auto"/>
        <w:tabs>
          <w:tab w:leader="none" w:pos="104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hereby agree to abide by all of the terms of this Policy both during and after my employment with the Company, including, without limitation, by promptly repaying or returning any Erroneously Awarded Compensation to the Company as determined in accordance with this Policy.</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Signature:_____________________</w:t>
      </w:r>
    </w:p>
    <w:p>
      <w:pPr>
        <w:spacing w:after="0" w:line="200" w:lineRule="exact"/>
        <w:rPr>
          <w:sz w:val="20"/>
          <w:szCs w:val="20"/>
          <w:color w:val="auto"/>
        </w:rPr>
      </w:pPr>
    </w:p>
    <w:p>
      <w:pPr>
        <w:spacing w:after="0" w:line="241"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Printed Name:__________________</w:t>
      </w:r>
    </w:p>
    <w:p>
      <w:pPr>
        <w:spacing w:after="0" w:line="200" w:lineRule="exact"/>
        <w:rPr>
          <w:sz w:val="20"/>
          <w:szCs w:val="20"/>
          <w:color w:val="auto"/>
        </w:rPr>
      </w:pPr>
    </w:p>
    <w:p>
      <w:pPr>
        <w:spacing w:after="0" w:line="241"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Date:_________________________</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6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54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3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sectPr>
      <w:pgSz w:w="11900" w:h="16838" w:orient="portrait"/>
      <w:cols w:equalWidth="0" w:num="1">
        <w:col w:w="9019"/>
      </w:cols>
      <w:pgMar w:left="1440" w:top="9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F9C13C"/>
    <w:multiLevelType w:val="hybridMultilevel"/>
    <w:lvl w:ilvl="0">
      <w:lvlJc w:val="left"/>
      <w:lvlText w:val="☒"/>
      <w:numFmt w:val="bullet"/>
      <w:start w:val="1"/>
    </w:lvl>
  </w:abstractNum>
  <w:abstractNum w:abstractNumId="1">
    <w:nsid w:val="649BB77C"/>
    <w:multiLevelType w:val="hybridMultilevel"/>
    <w:lvl w:ilvl="0">
      <w:lvlJc w:val="left"/>
      <w:lvlText w:val="☐"/>
      <w:numFmt w:val="bullet"/>
      <w:start w:val="1"/>
    </w:lvl>
  </w:abstractNum>
  <w:abstractNum w:abstractNumId="2">
    <w:nsid w:val="275AC794"/>
    <w:multiLevelType w:val="hybridMultilevel"/>
    <w:lvl w:ilvl="0">
      <w:lvlJc w:val="left"/>
      <w:lvlText w:val="●"/>
      <w:numFmt w:val="bullet"/>
      <w:start w:val="1"/>
    </w:lvl>
  </w:abstractNum>
  <w:abstractNum w:abstractNumId="3">
    <w:nsid w:val="39386575"/>
    <w:multiLevelType w:val="hybridMultilevel"/>
    <w:lvl w:ilvl="0">
      <w:lvlJc w:val="left"/>
      <w:lvlText w:val="●"/>
      <w:numFmt w:val="bullet"/>
      <w:start w:val="1"/>
    </w:lvl>
  </w:abstractNum>
  <w:abstractNum w:abstractNumId="4">
    <w:nsid w:val="1CF10FD8"/>
    <w:multiLevelType w:val="hybridMultilevel"/>
    <w:lvl w:ilvl="0">
      <w:lvlJc w:val="left"/>
      <w:lvlText w:val="●"/>
      <w:numFmt w:val="bullet"/>
      <w:start w:val="1"/>
    </w:lvl>
  </w:abstractNum>
  <w:abstractNum w:abstractNumId="5">
    <w:nsid w:val="180115BE"/>
    <w:multiLevelType w:val="hybridMultilevel"/>
    <w:lvl w:ilvl="0">
      <w:lvlJc w:val="left"/>
      <w:lvlText w:val="●"/>
      <w:numFmt w:val="bullet"/>
      <w:start w:val="1"/>
    </w:lvl>
  </w:abstractNum>
  <w:abstractNum w:abstractNumId="6">
    <w:nsid w:val="235BA861"/>
    <w:multiLevelType w:val="hybridMultilevel"/>
    <w:lvl w:ilvl="0">
      <w:lvlJc w:val="left"/>
      <w:lvlText w:val="●"/>
      <w:numFmt w:val="bullet"/>
      <w:start w:val="1"/>
    </w:lvl>
  </w:abstractNum>
  <w:abstractNum w:abstractNumId="7">
    <w:nsid w:val="47398C89"/>
    <w:multiLevelType w:val="hybridMultilevel"/>
    <w:lvl w:ilvl="0">
      <w:lvlJc w:val="left"/>
      <w:lvlText w:val="(%1)"/>
      <w:numFmt w:val="decimal"/>
      <w:start w:val="1"/>
    </w:lvl>
  </w:abstractNum>
  <w:abstractNum w:abstractNumId="8">
    <w:nsid w:val="354FE9F9"/>
    <w:multiLevelType w:val="hybridMultilevel"/>
    <w:lvl w:ilvl="0">
      <w:lvlJc w:val="left"/>
      <w:lvlText w:val="●"/>
      <w:numFmt w:val="bullet"/>
      <w:start w:val="1"/>
    </w:lvl>
  </w:abstractNum>
  <w:abstractNum w:abstractNumId="9">
    <w:nsid w:val="15B5AF5C"/>
    <w:multiLevelType w:val="hybridMultilevel"/>
    <w:lvl w:ilvl="0">
      <w:lvlJc w:val="left"/>
      <w:lvlText w:val="●"/>
      <w:numFmt w:val="bullet"/>
      <w:start w:val="1"/>
    </w:lvl>
  </w:abstractNum>
  <w:abstractNum w:abstractNumId="10">
    <w:nsid w:val="741226BB"/>
    <w:multiLevelType w:val="hybridMultilevel"/>
    <w:lvl w:ilvl="0">
      <w:lvlJc w:val="left"/>
      <w:lvlText w:val="●"/>
      <w:numFmt w:val="bullet"/>
      <w:start w:val="1"/>
    </w:lvl>
  </w:abstractNum>
  <w:abstractNum w:abstractNumId="11">
    <w:nsid w:val="D34B6A8"/>
    <w:multiLevelType w:val="hybridMultilevel"/>
    <w:lvl w:ilvl="0">
      <w:lvlJc w:val="left"/>
      <w:lvlText w:val="●"/>
      <w:numFmt w:val="bullet"/>
      <w:start w:val="1"/>
    </w:lvl>
  </w:abstractNum>
  <w:abstractNum w:abstractNumId="12">
    <w:nsid w:val="10233C99"/>
    <w:multiLevelType w:val="hybridMultilevel"/>
    <w:lvl w:ilvl="0">
      <w:lvlJc w:val="left"/>
      <w:lvlText w:val="●"/>
      <w:numFmt w:val="bullet"/>
      <w:start w:val="1"/>
    </w:lvl>
  </w:abstractNum>
  <w:abstractNum w:abstractNumId="13">
    <w:nsid w:val="3F6AB60F"/>
    <w:multiLevelType w:val="hybridMultilevel"/>
    <w:lvl w:ilvl="0">
      <w:lvlJc w:val="left"/>
      <w:lvlText w:val="●"/>
      <w:numFmt w:val="bullet"/>
      <w:start w:val="1"/>
    </w:lvl>
  </w:abstractNum>
  <w:abstractNum w:abstractNumId="14">
    <w:nsid w:val="61574095"/>
    <w:multiLevelType w:val="hybridMultilevel"/>
    <w:lvl w:ilvl="0">
      <w:lvlJc w:val="left"/>
      <w:lvlText w:val="●"/>
      <w:numFmt w:val="bullet"/>
      <w:start w:val="1"/>
    </w:lvl>
  </w:abstractNum>
  <w:abstractNum w:abstractNumId="15">
    <w:nsid w:val="7E0C57B1"/>
    <w:multiLevelType w:val="hybridMultilevel"/>
    <w:lvl w:ilvl="0">
      <w:lvlJc w:val="left"/>
      <w:lvlText w:val="●"/>
      <w:numFmt w:val="bullet"/>
      <w:start w:val="1"/>
    </w:lvl>
  </w:abstractNum>
  <w:abstractNum w:abstractNumId="16">
    <w:nsid w:val="77AE35EB"/>
    <w:multiLevelType w:val="hybridMultilevel"/>
    <w:lvl w:ilvl="0">
      <w:lvlJc w:val="left"/>
      <w:lvlText w:val="●"/>
      <w:numFmt w:val="bullet"/>
      <w:start w:val="1"/>
    </w:lvl>
  </w:abstractNum>
  <w:abstractNum w:abstractNumId="17">
    <w:nsid w:val="579BE4F1"/>
    <w:multiLevelType w:val="hybridMultilevel"/>
    <w:lvl w:ilvl="0">
      <w:lvlJc w:val="left"/>
      <w:lvlText w:val="●"/>
      <w:numFmt w:val="bullet"/>
      <w:start w:val="1"/>
    </w:lvl>
  </w:abstractNum>
  <w:abstractNum w:abstractNumId="18">
    <w:nsid w:val="310C50B3"/>
    <w:multiLevelType w:val="hybridMultilevel"/>
    <w:lvl w:ilvl="0">
      <w:lvlJc w:val="left"/>
      <w:lvlText w:val="●"/>
      <w:numFmt w:val="bullet"/>
      <w:start w:val="1"/>
    </w:lvl>
  </w:abstractNum>
  <w:abstractNum w:abstractNumId="19">
    <w:nsid w:val="5FF87E05"/>
    <w:multiLevelType w:val="hybridMultilevel"/>
    <w:lvl w:ilvl="0">
      <w:lvlJc w:val="left"/>
      <w:lvlText w:val="●"/>
      <w:numFmt w:val="bullet"/>
      <w:start w:val="1"/>
    </w:lvl>
  </w:abstractNum>
  <w:abstractNum w:abstractNumId="20">
    <w:nsid w:val="2F305DEF"/>
    <w:multiLevelType w:val="hybridMultilevel"/>
    <w:lvl w:ilvl="0">
      <w:lvlJc w:val="left"/>
      <w:lvlText w:val="●"/>
      <w:numFmt w:val="bullet"/>
      <w:start w:val="1"/>
    </w:lvl>
  </w:abstractNum>
  <w:abstractNum w:abstractNumId="21">
    <w:nsid w:val="25A70BF7"/>
    <w:multiLevelType w:val="hybridMultilevel"/>
    <w:lvl w:ilvl="0">
      <w:lvlJc w:val="left"/>
      <w:lvlText w:val="●"/>
      <w:numFmt w:val="bullet"/>
      <w:start w:val="1"/>
    </w:lvl>
  </w:abstractNum>
  <w:abstractNum w:abstractNumId="22">
    <w:nsid w:val="1DBABF00"/>
    <w:multiLevelType w:val="hybridMultilevel"/>
    <w:lvl w:ilvl="0">
      <w:lvlJc w:val="left"/>
      <w:lvlText w:val="●"/>
      <w:numFmt w:val="bullet"/>
      <w:start w:val="1"/>
    </w:lvl>
  </w:abstractNum>
  <w:abstractNum w:abstractNumId="23">
    <w:nsid w:val="4AD084E9"/>
    <w:multiLevelType w:val="hybridMultilevel"/>
    <w:lvl w:ilvl="0">
      <w:lvlJc w:val="left"/>
      <w:lvlText w:val="(%1)"/>
      <w:numFmt w:val="decimal"/>
      <w:start w:val="1"/>
    </w:lvl>
  </w:abstractNum>
  <w:abstractNum w:abstractNumId="24">
    <w:nsid w:val="1F48EAA1"/>
    <w:multiLevelType w:val="hybridMultilevel"/>
    <w:lvl w:ilvl="0">
      <w:lvlJc w:val="left"/>
      <w:lvlText w:val="●"/>
      <w:numFmt w:val="bullet"/>
      <w:start w:val="1"/>
    </w:lvl>
  </w:abstractNum>
  <w:abstractNum w:abstractNumId="25">
    <w:nsid w:val="1381823A"/>
    <w:multiLevelType w:val="hybridMultilevel"/>
    <w:lvl w:ilvl="0">
      <w:lvlJc w:val="left"/>
      <w:lvlText w:val="(%1)"/>
      <w:numFmt w:val="decimal"/>
      <w:start w:val="1"/>
    </w:lvl>
  </w:abstractNum>
  <w:abstractNum w:abstractNumId="26">
    <w:nsid w:val="5DB70AE5"/>
    <w:multiLevelType w:val="hybridMultilevel"/>
    <w:lvl w:ilvl="0">
      <w:lvlJc w:val="left"/>
      <w:lvlText w:val="%1."/>
      <w:numFmt w:val="decimal"/>
      <w:start w:val="1"/>
    </w:lvl>
  </w:abstractNum>
  <w:abstractNum w:abstractNumId="27">
    <w:nsid w:val="100F8FCA"/>
    <w:multiLevelType w:val="hybridMultilevel"/>
    <w:lvl w:ilvl="0">
      <w:lvlJc w:val="left"/>
      <w:lvlText w:val="%1."/>
      <w:numFmt w:val="decimal"/>
      <w:start w:val="2"/>
    </w:lvl>
  </w:abstractNum>
  <w:abstractNum w:abstractNumId="28">
    <w:nsid w:val="6590700B"/>
    <w:multiLevelType w:val="hybridMultilevel"/>
    <w:lvl w:ilvl="0">
      <w:lvlJc w:val="left"/>
      <w:lvlText w:val="%1."/>
      <w:numFmt w:val="decimal"/>
      <w:start w:val="3"/>
    </w:lvl>
  </w:abstractNum>
  <w:abstractNum w:abstractNumId="29">
    <w:nsid w:val="15014ACB"/>
    <w:multiLevelType w:val="hybridMultilevel"/>
    <w:lvl w:ilvl="0">
      <w:lvlJc w:val="left"/>
      <w:lvlText w:val="%1."/>
      <w:numFmt w:val="decimal"/>
      <w:start w:val="4"/>
    </w:lvl>
  </w:abstractNum>
  <w:abstractNum w:abstractNumId="30">
    <w:nsid w:val="5F5E7FD0"/>
    <w:multiLevelType w:val="hybridMultilevel"/>
    <w:lvl w:ilvl="0">
      <w:lvlJc w:val="left"/>
      <w:lvlText w:val="%1."/>
      <w:numFmt w:val="decimal"/>
      <w:start w:val="5"/>
    </w:lvl>
  </w:abstractNum>
  <w:abstractNum w:abstractNumId="31">
    <w:nsid w:val="98A3148"/>
    <w:multiLevelType w:val="hybridMultilevel"/>
    <w:lvl w:ilvl="0">
      <w:lvlJc w:val="left"/>
      <w:lvlText w:val="%1."/>
      <w:numFmt w:val="decimal"/>
      <w:start w:val="6"/>
    </w:lvl>
  </w:abstractNum>
  <w:abstractNum w:abstractNumId="32">
    <w:nsid w:val="799D0247"/>
    <w:multiLevelType w:val="hybridMultilevel"/>
    <w:lvl w:ilvl="0">
      <w:lvlJc w:val="left"/>
      <w:lvlText w:val="%1."/>
      <w:numFmt w:val="decimal"/>
      <w:start w:val="7"/>
    </w:lvl>
  </w:abstractNum>
  <w:abstractNum w:abstractNumId="33">
    <w:nsid w:val="6B94764"/>
    <w:multiLevelType w:val="hybridMultilevel"/>
    <w:lvl w:ilvl="0">
      <w:lvlJc w:val="left"/>
      <w:lvlText w:val="%1."/>
      <w:numFmt w:val="decimal"/>
      <w:start w:val="8"/>
    </w:lvl>
  </w:abstractNum>
  <w:abstractNum w:abstractNumId="34">
    <w:nsid w:val="42C296BD"/>
    <w:multiLevelType w:val="hybridMultilevel"/>
    <w:lvl w:ilvl="0">
      <w:lvlJc w:val="left"/>
      <w:lvlText w:val="%1."/>
      <w:numFmt w:val="decimal"/>
      <w:start w:val="9"/>
    </w:lvl>
  </w:abstractNum>
  <w:abstractNum w:abstractNumId="35">
    <w:nsid w:val="168E121F"/>
    <w:multiLevelType w:val="hybridMultilevel"/>
    <w:lvl w:ilvl="0">
      <w:lvlJc w:val="left"/>
      <w:lvlText w:val="%1."/>
      <w:numFmt w:val="decimal"/>
      <w:start w:val="10"/>
    </w:lvl>
  </w:abstractNum>
  <w:abstractNum w:abstractNumId="36">
    <w:nsid w:val="1EBA5D23"/>
    <w:multiLevelType w:val="hybridMultilevel"/>
    <w:lvl w:ilvl="0">
      <w:lvlJc w:val="left"/>
      <w:lvlText w:val="%1."/>
      <w:numFmt w:val="decimal"/>
      <w:start w:val="11"/>
    </w:lvl>
  </w:abstractNum>
  <w:abstractNum w:abstractNumId="37">
    <w:nsid w:val="661E3F1E"/>
    <w:multiLevelType w:val="hybridMultilevel"/>
    <w:lvl w:ilvl="0">
      <w:lvlJc w:val="left"/>
      <w:lvlText w:val="%1."/>
      <w:numFmt w:val="decimal"/>
      <w:start w:val="12"/>
    </w:lvl>
  </w:abstractNum>
  <w:abstractNum w:abstractNumId="38">
    <w:nsid w:val="5DC79EA8"/>
    <w:multiLevelType w:val="hybridMultilevel"/>
    <w:lvl w:ilvl="0">
      <w:lvlJc w:val="left"/>
      <w:lvlText w:val="%1."/>
      <w:numFmt w:val="decimal"/>
      <w:start w:val="13"/>
    </w:lvl>
  </w:abstractNum>
  <w:abstractNum w:abstractNumId="39">
    <w:nsid w:val="540A471C"/>
    <w:multiLevelType w:val="hybridMultilevel"/>
    <w:lvl w:ilvl="0">
      <w:lvlJc w:val="left"/>
      <w:lvlText w:val="%1."/>
      <w:numFmt w:val="decimal"/>
      <w:start w:val="14"/>
    </w:lvl>
  </w:abstractNum>
  <w:abstractNum w:abstractNumId="40">
    <w:nsid w:val="7BD3EE7B"/>
    <w:multiLevelType w:val="hybridMultilevel"/>
    <w:lvl w:ilvl="0">
      <w:lvlJc w:val="left"/>
      <w:lvlText w:val="(%1)"/>
      <w:numFmt w:val="lowerLetter"/>
      <w:start w:val="1"/>
    </w:lvl>
    <w:lvl w:ilvl="1">
      <w:lvlJc w:val="left"/>
      <w:lvlText w:val="(%2)"/>
      <w:numFmt w:val="decimal"/>
      <w:start w:val="1"/>
    </w:lvl>
  </w:abstractNum>
  <w:abstractNum w:abstractNumId="41">
    <w:nsid w:val="51D9C564"/>
    <w:multiLevelType w:val="hybridMultilevel"/>
    <w:lvl w:ilvl="0">
      <w:lvlJc w:val="left"/>
      <w:lvlText w:val="*"/>
      <w:numFmt w:val="bullet"/>
      <w:start w:val="1"/>
    </w:lvl>
  </w:abstractNum>
  <w:abstractNum w:abstractNumId="42">
    <w:nsid w:val="613EFDC5"/>
    <w:multiLevelType w:val="hybridMultilevel"/>
    <w:lvl w:ilvl="0">
      <w:lvlJc w:val="left"/>
      <w:lvlText w:val="**"/>
      <w:numFmt w:val="bullet"/>
      <w:start w:val="1"/>
    </w:lvl>
  </w:abstractNum>
  <w:abstractNum w:abstractNumId="43">
    <w:nsid w:val="BF72B14"/>
    <w:multiLevelType w:val="hybridMultilevel"/>
    <w:lvl w:ilvl="0">
      <w:lvlJc w:val="left"/>
      <w:lvlText w:val="+"/>
      <w:numFmt w:val="bullet"/>
      <w:start w:val="1"/>
    </w:lvl>
  </w:abstractNum>
  <w:abstractNum w:abstractNumId="44">
    <w:nsid w:val="11447B73"/>
    <w:multiLevelType w:val="hybridMultilevel"/>
    <w:lvl w:ilvl="0">
      <w:lvlJc w:val="left"/>
      <w:lvlText w:val="%1."/>
      <w:numFmt w:val="decimal"/>
      <w:start w:val="1"/>
    </w:lvl>
  </w:abstractNum>
  <w:abstractNum w:abstractNumId="45">
    <w:nsid w:val="42963E5A"/>
    <w:multiLevelType w:val="hybridMultilevel"/>
    <w:lvl w:ilvl="0">
      <w:lvlJc w:val="left"/>
      <w:lvlText w:val="(%1)"/>
      <w:numFmt w:val="lowerLetter"/>
      <w:start w:val="1"/>
    </w:lvl>
  </w:abstractNum>
  <w:abstractNum w:abstractNumId="46">
    <w:nsid w:val="A0382C5"/>
    <w:multiLevelType w:val="hybridMultilevel"/>
    <w:lvl w:ilvl="0">
      <w:lvlJc w:val="left"/>
      <w:lvlText w:val="%1."/>
      <w:numFmt w:val="decimal"/>
      <w:start w:val="2"/>
    </w:lvl>
  </w:abstractNum>
  <w:abstractNum w:abstractNumId="47">
    <w:nsid w:val="8F2B15E"/>
    <w:multiLevelType w:val="hybridMultilevel"/>
    <w:lvl w:ilvl="0">
      <w:lvlJc w:val="left"/>
      <w:lvlText w:val="(%1)"/>
      <w:numFmt w:val="lowerLetter"/>
      <w:start w:val="1"/>
    </w:lvl>
    <w:lvl w:ilvl="1">
      <w:lvlJc w:val="left"/>
      <w:lvlText w:val="(%2)"/>
      <w:numFmt w:val="lowerRoman"/>
      <w:start w:val="1"/>
    </w:lvl>
  </w:abstractNum>
  <w:abstractNum w:abstractNumId="48">
    <w:nsid w:val="1A32234B"/>
    <w:multiLevelType w:val="hybridMultilevel"/>
    <w:lvl w:ilvl="0">
      <w:lvlJc w:val="left"/>
      <w:lvlText w:val="(%1)"/>
      <w:numFmt w:val="lowerRoman"/>
      <w:start w:val="2"/>
    </w:lvl>
  </w:abstractNum>
  <w:abstractNum w:abstractNumId="49">
    <w:nsid w:val="3B0FD379"/>
    <w:multiLevelType w:val="hybridMultilevel"/>
    <w:lvl w:ilvl="0">
      <w:lvlJc w:val="left"/>
      <w:lvlText w:val="(%1)"/>
      <w:numFmt w:val="lowerLetter"/>
      <w:start w:val="3"/>
    </w:lvl>
    <w:lvl w:ilvl="1">
      <w:lvlJc w:val="left"/>
      <w:lvlText w:val="(%2)"/>
      <w:numFmt w:val="lowerRoman"/>
      <w:start w:val="1"/>
    </w:lvl>
  </w:abstractNum>
  <w:abstractNum w:abstractNumId="50">
    <w:nsid w:val="68EB2F63"/>
    <w:multiLevelType w:val="hybridMultilevel"/>
    <w:lvl w:ilvl="0">
      <w:lvlJc w:val="left"/>
      <w:lvlText w:val="%1."/>
      <w:numFmt w:val="decimal"/>
      <w:start w:val="3"/>
    </w:lvl>
  </w:abstractNum>
  <w:abstractNum w:abstractNumId="51">
    <w:nsid w:val="4962813B"/>
    <w:multiLevelType w:val="hybridMultilevel"/>
    <w:lvl w:ilvl="0">
      <w:lvlJc w:val="left"/>
      <w:lvlText w:val="(%1)"/>
      <w:numFmt w:val="lowerRoman"/>
      <w:start w:val="2"/>
    </w:lvl>
  </w:abstractNum>
  <w:abstractNum w:abstractNumId="52">
    <w:nsid w:val="60B6DF70"/>
    <w:multiLevelType w:val="hybridMultilevel"/>
    <w:lvl w:ilvl="0">
      <w:lvlJc w:val="left"/>
      <w:lvlText w:val="%1"/>
      <w:numFmt w:val="decimal"/>
      <w:start w:val="1"/>
    </w:lvl>
    <w:lvl w:ilvl="1">
      <w:lvlJc w:val="left"/>
      <w:lvlText w:val="(%2)"/>
      <w:numFmt w:val="lowerLetter"/>
      <w:start w:val="1"/>
    </w:lvl>
  </w:abstractNum>
  <w:abstractNum w:abstractNumId="53">
    <w:nsid w:val="6A5EE64"/>
    <w:multiLevelType w:val="hybridMultilevel"/>
    <w:lvl w:ilvl="0">
      <w:lvlJc w:val="left"/>
      <w:lvlText w:val="(%1)"/>
      <w:numFmt w:val="decimal"/>
      <w:start w:val="2"/>
    </w:lvl>
    <w:lvl w:ilvl="1">
      <w:lvlJc w:val="left"/>
      <w:lvlText w:val="%2"/>
      <w:numFmt w:val="lowerLetter"/>
      <w:start w:val="1"/>
    </w:lvl>
  </w:abstractNum>
  <w:abstractNum w:abstractNumId="54">
    <w:nsid w:val="14330624"/>
    <w:multiLevelType w:val="hybridMultilevel"/>
    <w:lvl w:ilvl="0">
      <w:lvlJc w:val="left"/>
      <w:lvlText w:val="%1."/>
      <w:numFmt w:val="decimal"/>
      <w:start w:val="4"/>
    </w:lvl>
  </w:abstractNum>
  <w:abstractNum w:abstractNumId="55">
    <w:nsid w:val="7FFFCA11"/>
    <w:multiLevelType w:val="hybridMultilevel"/>
    <w:lvl w:ilvl="0">
      <w:lvlJc w:val="left"/>
      <w:lvlText w:val="(%1)"/>
      <w:numFmt w:val="lowerRoman"/>
      <w:start w:val="4"/>
    </w:lvl>
  </w:abstractNum>
  <w:abstractNum w:abstractNumId="56">
    <w:nsid w:val="1A27709E"/>
    <w:multiLevelType w:val="hybridMultilevel"/>
    <w:lvl w:ilvl="0">
      <w:lvlJc w:val="left"/>
      <w:lvlText w:val="(%1)"/>
      <w:numFmt w:val="lowerLetter"/>
      <w:start w:val="1"/>
    </w:lvl>
  </w:abstractNum>
  <w:abstractNum w:abstractNumId="57">
    <w:nsid w:val="71EA1109"/>
    <w:multiLevelType w:val="hybridMultilevel"/>
    <w:lvl w:ilvl="0">
      <w:lvlJc w:val="left"/>
      <w:lvlText w:val="(%1)"/>
      <w:numFmt w:val="lowerLetter"/>
      <w:start w:val="2"/>
    </w:lvl>
  </w:abstractNum>
  <w:abstractNum w:abstractNumId="58">
    <w:nsid w:val="100F59DC"/>
    <w:multiLevelType w:val="hybridMultilevel"/>
    <w:lvl w:ilvl="0">
      <w:lvlJc w:val="left"/>
      <w:lvlText w:val="%1."/>
      <w:numFmt w:val="decimal"/>
      <w:start w:val="5"/>
    </w:lvl>
  </w:abstractNum>
  <w:abstractNum w:abstractNumId="59">
    <w:nsid w:val="7FB7E0AA"/>
    <w:multiLevelType w:val="hybridMultilevel"/>
    <w:lvl w:ilvl="0">
      <w:lvlJc w:val="left"/>
      <w:lvlText w:val="(%1)"/>
      <w:numFmt w:val="lowerLetter"/>
      <w:start w:val="1"/>
    </w:lvl>
  </w:abstractNum>
  <w:abstractNum w:abstractNumId="60">
    <w:nsid w:val="6EB5BD4"/>
    <w:multiLevelType w:val="hybridMultilevel"/>
    <w:lvl w:ilvl="0">
      <w:lvlJc w:val="left"/>
      <w:lvlText w:val="%1"/>
      <w:numFmt w:val="lowerLetter"/>
      <w:start w:val="1"/>
    </w:lvl>
    <w:lvl w:ilvl="1">
      <w:lvlJc w:val="left"/>
      <w:lvlText w:val="(%2)"/>
      <w:numFmt w:val="lowerLetter"/>
      <w:start w:val="1"/>
    </w:lvl>
  </w:abstractNum>
  <w:abstractNum w:abstractNumId="61">
    <w:nsid w:val="6F6DD9AC"/>
    <w:multiLevelType w:val="hybridMultilevel"/>
    <w:lvl w:ilvl="0">
      <w:lvlJc w:val="left"/>
      <w:lvlText w:val="(%1)"/>
      <w:numFmt w:val="lowerLetter"/>
      <w:start w:val="9"/>
    </w:lvl>
    <w:lvl w:ilvl="1">
      <w:lvlJc w:val="left"/>
      <w:lvlText w:val="%2"/>
      <w:numFmt w:val="lowerLetter"/>
      <w:start w:val="1"/>
    </w:lvl>
  </w:abstractNum>
  <w:abstractNum w:abstractNumId="62">
    <w:nsid w:val="94211F2"/>
    <w:multiLevelType w:val="hybridMultilevel"/>
    <w:lvl w:ilvl="0">
      <w:lvlJc w:val="left"/>
      <w:lvlText w:val="(%1)"/>
      <w:numFmt w:val="lowerLetter"/>
      <w:start w:val="3"/>
    </w:lvl>
  </w:abstractNum>
  <w:abstractNum w:abstractNumId="63">
    <w:nsid w:val="885E1B"/>
    <w:multiLevelType w:val="hybridMultilevel"/>
    <w:lvl w:ilvl="0">
      <w:lvlJc w:val="left"/>
      <w:lvlText w:val="%1."/>
      <w:numFmt w:val="decimal"/>
      <w:start w:val="1"/>
    </w:lvl>
  </w:abstractNum>
  <w:abstractNum w:abstractNumId="64">
    <w:nsid w:val="76272110"/>
    <w:multiLevelType w:val="hybridMultilevel"/>
    <w:lvl w:ilvl="0">
      <w:lvlJc w:val="left"/>
      <w:lvlText w:val="(%1)"/>
      <w:numFmt w:val="lowerLetter"/>
      <w:start w:val="1"/>
    </w:lvl>
  </w:abstractNum>
  <w:abstractNum w:abstractNumId="65">
    <w:nsid w:val="4C04A8AF"/>
    <w:multiLevelType w:val="hybridMultilevel"/>
    <w:lvl w:ilvl="0">
      <w:lvlJc w:val="left"/>
      <w:lvlText w:val="(%1)"/>
      <w:numFmt w:val="lowerLetter"/>
      <w:start w:val="7"/>
    </w:lvl>
  </w:abstractNum>
  <w:abstractNum w:abstractNumId="66">
    <w:nsid w:val="1716703B"/>
    <w:multiLevelType w:val="hybridMultilevel"/>
    <w:lvl w:ilvl="0">
      <w:lvlJc w:val="left"/>
      <w:lvlText w:val="%1."/>
      <w:numFmt w:val="decimal"/>
      <w:start w:val="3"/>
    </w:lvl>
  </w:abstractNum>
  <w:abstractNum w:abstractNumId="67">
    <w:nsid w:val="14E17E33"/>
    <w:multiLevelType w:val="hybridMultilevel"/>
    <w:lvl w:ilvl="0">
      <w:lvlJc w:val="left"/>
      <w:lvlText w:val="%1."/>
      <w:numFmt w:val="decimal"/>
      <w:start w:val="8"/>
    </w:lvl>
  </w:abstractNum>
  <w:abstractNum w:abstractNumId="68">
    <w:nsid w:val="3222E7CD"/>
    <w:multiLevelType w:val="hybridMultilevel"/>
    <w:lvl w:ilvl="0">
      <w:lvlJc w:val="left"/>
      <w:lvlText w:val="%1."/>
      <w:numFmt w:val="upperLetter"/>
      <w:start w:val="9"/>
    </w:lvl>
  </w:abstractNum>
  <w:abstractNum w:abstractNumId="69">
    <w:nsid w:val="74DE0EE3"/>
    <w:multiLevelType w:val="hybridMultilevel"/>
    <w:lvl w:ilvl="0">
      <w:lvlJc w:val="left"/>
      <w:lvlText w:val="%1."/>
      <w:numFmt w:val="upperLetter"/>
      <w:start w:val="35"/>
    </w:lvl>
  </w:abstractNum>
  <w:abstractNum w:abstractNumId="70">
    <w:nsid w:val="68EBC550"/>
    <w:multiLevelType w:val="hybridMultilevel"/>
    <w:lvl w:ilvl="0">
      <w:lvlJc w:val="left"/>
      <w:lvlText w:val="●"/>
      <w:numFmt w:val="bullet"/>
      <w:start w:val="1"/>
    </w:lvl>
  </w:abstractNum>
  <w:abstractNum w:abstractNumId="71">
    <w:nsid w:val="2DF6D648"/>
    <w:multiLevelType w:val="hybridMultilevel"/>
    <w:lvl w:ilvl="0">
      <w:lvlJc w:val="left"/>
      <w:lvlText w:val="●"/>
      <w:numFmt w:val="bullet"/>
      <w:start w:val="1"/>
    </w:lvl>
  </w:abstractNum>
  <w:abstractNum w:abstractNumId="72">
    <w:nsid w:val="46B7D447"/>
    <w:multiLevelType w:val="hybridMultilevel"/>
    <w:lvl w:ilvl="0">
      <w:lvlJc w:val="left"/>
      <w:lvlText w:val="%1."/>
      <w:numFmt w:val="upperLetter"/>
      <w:start w:val="61"/>
    </w:lvl>
  </w:abstractNum>
  <w:abstractNum w:abstractNumId="73">
    <w:nsid w:val="4A2AC315"/>
    <w:multiLevelType w:val="hybridMultilevel"/>
    <w:lvl w:ilvl="0">
      <w:lvlJc w:val="left"/>
      <w:lvlText w:val="●"/>
      <w:numFmt w:val="bullet"/>
      <w:start w:val="1"/>
    </w:lvl>
  </w:abstractNum>
  <w:abstractNum w:abstractNumId="74">
    <w:nsid w:val="39EE015C"/>
    <w:multiLevelType w:val="hybridMultilevel"/>
    <w:lvl w:ilvl="0">
      <w:lvlJc w:val="left"/>
      <w:lvlText w:val="●"/>
      <w:numFmt w:val="bullet"/>
      <w:start w:val="1"/>
    </w:lvl>
  </w:abstractNum>
  <w:abstractNum w:abstractNumId="75">
    <w:nsid w:val="57FC4FBB"/>
    <w:multiLevelType w:val="hybridMultilevel"/>
    <w:lvl w:ilvl="0">
      <w:lvlJc w:val="left"/>
      <w:lvlText w:val="%1."/>
      <w:numFmt w:val="decimal"/>
      <w:start w:val="1"/>
    </w:lvl>
  </w:abstractNum>
  <w:abstractNum w:abstractNumId="76">
    <w:nsid w:val="CC1016F"/>
    <w:multiLevelType w:val="hybridMultilevel"/>
    <w:lvl w:ilvl="0">
      <w:lvlJc w:val="left"/>
      <w:lvlText w:val="%1."/>
      <w:numFmt w:val="decimal"/>
      <w:start w:val="2"/>
    </w:lvl>
  </w:abstractNum>
  <w:abstractNum w:abstractNumId="77">
    <w:nsid w:val="43F18422"/>
    <w:multiLevelType w:val="hybridMultilevel"/>
    <w:lvl w:ilvl="0">
      <w:lvlJc w:val="left"/>
      <w:lvlText w:val="●"/>
      <w:numFmt w:val="bullet"/>
      <w:start w:val="1"/>
    </w:lvl>
  </w:abstractNum>
  <w:abstractNum w:abstractNumId="78">
    <w:nsid w:val="60EF0119"/>
    <w:multiLevelType w:val="hybridMultilevel"/>
    <w:lvl w:ilvl="0">
      <w:lvlJc w:val="left"/>
      <w:lvlText w:val="%1."/>
      <w:numFmt w:val="upperLetter"/>
      <w:start w:val="22"/>
    </w:lvl>
  </w:abstractNum>
  <w:abstractNum w:abstractNumId="79">
    <w:nsid w:val="26F324BA"/>
    <w:multiLevelType w:val="hybridMultilevel"/>
    <w:lvl w:ilvl="0">
      <w:lvlJc w:val="left"/>
      <w:lvlText w:val="%1."/>
      <w:numFmt w:val="decimal"/>
      <w:start w:val="1"/>
    </w:lvl>
  </w:abstractNum>
  <w:abstractNum w:abstractNumId="80">
    <w:nsid w:val="7F01579B"/>
    <w:multiLevelType w:val="hybridMultilevel"/>
    <w:lvl w:ilvl="0">
      <w:lvlJc w:val="left"/>
      <w:lvlText w:val="(%1)"/>
      <w:numFmt w:val="decimal"/>
      <w:start w:val="1"/>
    </w:lvl>
  </w:abstractNum>
  <w:abstractNum w:abstractNumId="81">
    <w:nsid w:val="49DA307D"/>
    <w:multiLevelType w:val="hybridMultilevel"/>
    <w:lvl w:ilvl="0">
      <w:lvlJc w:val="left"/>
      <w:lvlText w:val="●"/>
      <w:numFmt w:val="bullet"/>
      <w:start w:val="1"/>
    </w:lvl>
  </w:abstractNum>
  <w:abstractNum w:abstractNumId="82">
    <w:nsid w:val="7055A5F5"/>
    <w:multiLevelType w:val="hybridMultilevel"/>
    <w:lvl w:ilvl="0">
      <w:lvlJc w:val="left"/>
      <w:lvlText w:val="●"/>
      <w:numFmt w:val="bullet"/>
      <w:start w:val="1"/>
    </w:lvl>
    <w:lvl w:ilvl="1">
      <w:lvlJc w:val="left"/>
      <w:lvlText w:val="●"/>
      <w:numFmt w:val="bullet"/>
      <w:start w:val="1"/>
    </w:lvl>
    <w:lvl w:ilvl="2">
      <w:lvlJc w:val="left"/>
      <w:lvlText w:val="(%3)"/>
      <w:numFmt w:val="decimal"/>
      <w:start w:val="1"/>
    </w:lvl>
  </w:abstractNum>
  <w:abstractNum w:abstractNumId="83">
    <w:nsid w:val="5FB8370B"/>
    <w:multiLevelType w:val="hybridMultilevel"/>
    <w:lvl w:ilvl="0">
      <w:lvlJc w:val="left"/>
      <w:lvlText w:val="%1."/>
      <w:numFmt w:val="decimal"/>
      <w:start w:val="2"/>
    </w:lvl>
  </w:abstractNum>
  <w:abstractNum w:abstractNumId="84">
    <w:nsid w:val="50801EE1"/>
    <w:multiLevelType w:val="hybridMultilevel"/>
    <w:lvl w:ilvl="0">
      <w:lvlJc w:val="left"/>
      <w:lvlText w:val="%1."/>
      <w:numFmt w:val="decimal"/>
      <w:start w:val="3"/>
    </w:lvl>
  </w:abstractNum>
  <w:abstractNum w:abstractNumId="85">
    <w:nsid w:val="488AC1A"/>
    <w:multiLevelType w:val="hybridMultilevel"/>
    <w:lvl w:ilvl="0">
      <w:lvlJc w:val="left"/>
      <w:lvlText w:val="%1."/>
      <w:numFmt w:val="decimal"/>
      <w:start w:val="4"/>
    </w:lvl>
  </w:abstractNum>
  <w:abstractNum w:abstractNumId="86">
    <w:nsid w:val="5FB8011C"/>
    <w:multiLevelType w:val="hybridMultilevel"/>
    <w:lvl w:ilvl="0">
      <w:lvlJc w:val="left"/>
      <w:lvlText w:val="%1."/>
      <w:numFmt w:val="decimal"/>
      <w:start w:val="5"/>
    </w:lvl>
  </w:abstractNum>
  <w:abstractNum w:abstractNumId="87">
    <w:nsid w:val="6AA78F7F"/>
    <w:multiLevelType w:val="hybridMultilevel"/>
    <w:lvl w:ilvl="0">
      <w:lvlJc w:val="left"/>
      <w:lvlText w:val="%1."/>
      <w:numFmt w:val="decimal"/>
      <w:start w:val="6"/>
    </w:lvl>
  </w:abstractNum>
  <w:abstractNum w:abstractNumId="88">
    <w:nsid w:val="7672BD23"/>
    <w:multiLevelType w:val="hybridMultilevel"/>
    <w:lvl w:ilvl="0">
      <w:lvlJc w:val="left"/>
      <w:lvlText w:val="%1."/>
      <w:numFmt w:val="decimal"/>
      <w:start w:val="7"/>
    </w:lvl>
  </w:abstractNum>
  <w:abstractNum w:abstractNumId="89">
    <w:nsid w:val="6FC75AF8"/>
    <w:multiLevelType w:val="hybridMultilevel"/>
    <w:lvl w:ilvl="0">
      <w:lvlJc w:val="left"/>
      <w:lvlText w:val="%1."/>
      <w:numFmt w:val="decimal"/>
      <w:start w:val="8"/>
    </w:lvl>
  </w:abstractNum>
  <w:abstractNum w:abstractNumId="90">
    <w:nsid w:val="6A5F7029"/>
    <w:multiLevelType w:val="hybridMultilevel"/>
    <w:lvl w:ilvl="0">
      <w:lvlJc w:val="left"/>
      <w:lvlText w:val="%1."/>
      <w:numFmt w:val="decimal"/>
      <w:start w:val="9"/>
    </w:lvl>
  </w:abstractNum>
  <w:abstractNum w:abstractNumId="91">
    <w:nsid w:val="7D5E18F8"/>
    <w:multiLevelType w:val="hybridMultilevel"/>
    <w:lvl w:ilvl="0">
      <w:lvlJc w:val="left"/>
      <w:lvlText w:val="%1."/>
      <w:numFmt w:val="decimal"/>
      <w:start w:val="1"/>
    </w:lvl>
    <w:lvl w:ilvl="1">
      <w:lvlJc w:val="left"/>
      <w:lvlText w:val="(%2)"/>
      <w:numFmt w:val="lowerLetter"/>
      <w:start w:val="1"/>
    </w:lvl>
  </w:abstractNum>
  <w:abstractNum w:abstractNumId="92">
    <w:nsid w:val="5F3534A4"/>
    <w:multiLevelType w:val="hybridMultilevel"/>
    <w:lvl w:ilvl="0">
      <w:lvlJc w:val="left"/>
      <w:lvlText w:val="%1."/>
      <w:numFmt w:val="decimal"/>
      <w:start w:val="1"/>
    </w:lvl>
    <w:lvl w:ilvl="1">
      <w:lvlJc w:val="left"/>
      <w:lvlText w:val="(%2)"/>
      <w:numFmt w:val="lowerLetter"/>
      <w:start w:val="1"/>
    </w:lvl>
  </w:abstractNum>
  <w:abstractNum w:abstractNumId="93">
    <w:nsid w:val="73A1821B"/>
    <w:multiLevelType w:val="hybridMultilevel"/>
    <w:lvl w:ilvl="0">
      <w:lvlJc w:val="left"/>
      <w:lvlText w:val="(%1)"/>
      <w:numFmt w:val="decimal"/>
      <w:start w:val="1"/>
    </w:lvl>
  </w:abstractNum>
  <w:abstractNum w:abstractNumId="94">
    <w:nsid w:val="7DE67713"/>
    <w:multiLevelType w:val="hybridMultilevel"/>
    <w:lvl w:ilvl="0">
      <w:lvlJc w:val="left"/>
      <w:lvlText w:val="(%1)"/>
      <w:numFmt w:val="decimal"/>
      <w:start w:val="1"/>
    </w:lvl>
  </w:abstractNum>
  <w:abstractNum w:abstractNumId="95">
    <w:nsid w:val="555C55B5"/>
    <w:multiLevelType w:val="hybridMultilevel"/>
    <w:lvl w:ilvl="0">
      <w:lvlJc w:val="left"/>
      <w:lvlText w:val="%1."/>
      <w:numFmt w:val="decimal"/>
      <w:start w:val="1"/>
    </w:lvl>
  </w:abstractNum>
  <w:abstractNum w:abstractNumId="96">
    <w:nsid w:val="3FA62ACA"/>
    <w:multiLevelType w:val="hybridMultilevel"/>
    <w:lvl w:ilvl="0">
      <w:lvlJc w:val="left"/>
      <w:lvlText w:val="%1."/>
      <w:numFmt w:val="decimal"/>
      <w:start w:val="2"/>
    </w:lvl>
  </w:abstractNum>
  <w:abstractNum w:abstractNumId="97">
    <w:nsid w:val="14FCE74E"/>
    <w:multiLevelType w:val="hybridMultilevel"/>
    <w:lvl w:ilvl="0">
      <w:lvlJc w:val="left"/>
      <w:lvlText w:val="%1."/>
      <w:numFmt w:val="decimal"/>
      <w:start w:val="3"/>
    </w:lvl>
  </w:abstractNum>
  <w:abstractNum w:abstractNumId="98">
    <w:nsid w:val="6A3DD3E8"/>
    <w:multiLevelType w:val="hybridMultilevel"/>
    <w:lvl w:ilvl="0">
      <w:lvlJc w:val="left"/>
      <w:lvlText w:val="%1."/>
      <w:numFmt w:val="decimal"/>
      <w:start w:val="4"/>
    </w:lvl>
  </w:abstractNum>
  <w:abstractNum w:abstractNumId="99">
    <w:nsid w:val="71C91298"/>
    <w:multiLevelType w:val="hybridMultilevel"/>
    <w:lvl w:ilvl="0">
      <w:lvlJc w:val="left"/>
      <w:lvlText w:val="%1."/>
      <w:numFmt w:val="decimal"/>
      <w:start w:val="5"/>
    </w:lvl>
  </w:abstractNum>
  <w:abstractNum w:abstractNumId="100">
    <w:nsid w:val="9DAF632"/>
    <w:multiLevelType w:val="hybridMultilevel"/>
    <w:lvl w:ilvl="0">
      <w:lvlJc w:val="left"/>
      <w:lvlText w:val="%1."/>
      <w:numFmt w:val="decimal"/>
      <w:start w:val="6"/>
    </w:lvl>
  </w:abstractNum>
  <w:abstractNum w:abstractNumId="101">
    <w:nsid w:val="53299938"/>
    <w:multiLevelType w:val="hybridMultilevel"/>
    <w:lvl w:ilvl="0">
      <w:lvlJc w:val="left"/>
      <w:lvlText w:val="%1."/>
      <w:numFmt w:val="decimal"/>
      <w:start w:val="7"/>
    </w:lvl>
  </w:abstractNum>
  <w:abstractNum w:abstractNumId="102">
    <w:nsid w:val="1FBFE8E0"/>
    <w:multiLevelType w:val="hybridMultilevel"/>
    <w:lvl w:ilvl="0">
      <w:lvlJc w:val="left"/>
      <w:lvlText w:val="%1."/>
      <w:numFmt w:val="decimal"/>
      <w:start w:val="7"/>
    </w:lvl>
    <w:lvl w:ilvl="1">
      <w:lvlJc w:val="left"/>
      <w:lvlText w:val="●"/>
      <w:numFmt w:val="bullet"/>
      <w:start w:val="1"/>
    </w:lvl>
  </w:abstractNum>
  <w:abstractNum w:abstractNumId="103">
    <w:nsid w:val="5092CA79"/>
    <w:multiLevelType w:val="hybridMultilevel"/>
    <w:lvl w:ilvl="0">
      <w:lvlJc w:val="left"/>
      <w:lvlText w:val="%1."/>
      <w:numFmt w:val="decimal"/>
      <w:start w:val="9"/>
    </w:lvl>
  </w:abstractNum>
  <w:abstractNum w:abstractNumId="104">
    <w:nsid w:val="1D545C4D"/>
    <w:multiLevelType w:val="hybridMultilevel"/>
    <w:lvl w:ilvl="0">
      <w:lvlJc w:val="left"/>
      <w:lvlText w:val="%1."/>
      <w:numFmt w:val="decimal"/>
      <w:start w:val="10"/>
    </w:lvl>
  </w:abstractNum>
  <w:abstractNum w:abstractNumId="105">
    <w:nsid w:val="59ADEA3D"/>
    <w:multiLevelType w:val="hybridMultilevel"/>
    <w:lvl w:ilvl="0">
      <w:lvlJc w:val="left"/>
      <w:lvlText w:val="%1."/>
      <w:numFmt w:val="decimal"/>
      <w:start w:val="11"/>
    </w:lvl>
  </w:abstractNum>
  <w:abstractNum w:abstractNumId="106">
    <w:nsid w:val="288F1A34"/>
    <w:multiLevelType w:val="hybridMultilevel"/>
    <w:lvl w:ilvl="0">
      <w:lvlJc w:val="left"/>
      <w:lvlText w:val="%1."/>
      <w:numFmt w:val="decimal"/>
      <w:start w:val="12"/>
    </w:lvl>
  </w:abstractNum>
  <w:abstractNum w:abstractNumId="107">
    <w:nsid w:val="2A155DBC"/>
    <w:multiLevelType w:val="hybridMultilevel"/>
    <w:lvl w:ilvl="0">
      <w:lvlJc w:val="left"/>
      <w:lvlText w:val="%1."/>
      <w:numFmt w:val="decimal"/>
      <w:start w:val="13"/>
    </w:lvl>
  </w:abstractNum>
  <w:abstractNum w:abstractNumId="108">
    <w:nsid w:val="1D9F6E5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36" Type="http://schemas.openxmlformats.org/officeDocument/2006/relationships/image" Target="media/image117.png"/><Relationship Id="rId150" Type="http://schemas.openxmlformats.org/officeDocument/2006/relationships/image" Target="media/image118.png"/><Relationship Id="rId163" Type="http://schemas.openxmlformats.org/officeDocument/2006/relationships/image" Target="media/image119.png"/><Relationship Id="rId168" Type="http://schemas.openxmlformats.org/officeDocument/2006/relationships/image" Target="media/image120.png"/><Relationship Id="rId169" Type="http://schemas.openxmlformats.org/officeDocument/2006/relationships/image" Target="media/image121.png"/><Relationship Id="rId170" Type="http://schemas.openxmlformats.org/officeDocument/2006/relationships/image" Target="media/image122.png"/><Relationship Id="rId171" Type="http://schemas.openxmlformats.org/officeDocument/2006/relationships/image" Target="media/image123.png"/><Relationship Id="rId172" Type="http://schemas.openxmlformats.org/officeDocument/2006/relationships/image" Target="media/image124.png"/><Relationship Id="rId173" Type="http://schemas.openxmlformats.org/officeDocument/2006/relationships/image" Target="media/image125.png"/><Relationship Id="rId174" Type="http://schemas.openxmlformats.org/officeDocument/2006/relationships/image" Target="media/image126.png"/><Relationship Id="rId175" Type="http://schemas.openxmlformats.org/officeDocument/2006/relationships/image" Target="media/image127.png"/><Relationship Id="rId176" Type="http://schemas.openxmlformats.org/officeDocument/2006/relationships/image" Target="media/image128.png"/><Relationship Id="rId177" Type="http://schemas.openxmlformats.org/officeDocument/2006/relationships/image" Target="media/image129.png"/><Relationship Id="rId178" Type="http://schemas.openxmlformats.org/officeDocument/2006/relationships/image" Target="media/image130.png"/><Relationship Id="rId179" Type="http://schemas.openxmlformats.org/officeDocument/2006/relationships/image" Target="media/image131.png"/><Relationship Id="rId180" Type="http://schemas.openxmlformats.org/officeDocument/2006/relationships/image" Target="media/image132.png"/><Relationship Id="rId181" Type="http://schemas.openxmlformats.org/officeDocument/2006/relationships/image" Target="media/image133.png"/><Relationship Id="rId182" Type="http://schemas.openxmlformats.org/officeDocument/2006/relationships/image" Target="media/image134.png"/><Relationship Id="rId183" Type="http://schemas.openxmlformats.org/officeDocument/2006/relationships/image" Target="media/image135.png"/><Relationship Id="rId184" Type="http://schemas.openxmlformats.org/officeDocument/2006/relationships/image" Target="media/image136.png"/><Relationship Id="rId185" Type="http://schemas.openxmlformats.org/officeDocument/2006/relationships/image" Target="media/image137.png"/><Relationship Id="rId186" Type="http://schemas.openxmlformats.org/officeDocument/2006/relationships/image" Target="media/image138.png"/><Relationship Id="rId187" Type="http://schemas.openxmlformats.org/officeDocument/2006/relationships/image" Target="media/image139.png"/><Relationship Id="rId188" Type="http://schemas.openxmlformats.org/officeDocument/2006/relationships/image" Target="media/image140.png"/><Relationship Id="rId189" Type="http://schemas.openxmlformats.org/officeDocument/2006/relationships/image" Target="media/image141.png"/><Relationship Id="rId190" Type="http://schemas.openxmlformats.org/officeDocument/2006/relationships/image" Target="media/image142.png"/><Relationship Id="rId191" Type="http://schemas.openxmlformats.org/officeDocument/2006/relationships/image" Target="media/image143.png"/><Relationship Id="rId192" Type="http://schemas.openxmlformats.org/officeDocument/2006/relationships/image" Target="media/image144.png"/><Relationship Id="rId193" Type="http://schemas.openxmlformats.org/officeDocument/2006/relationships/image" Target="media/image145.png"/><Relationship Id="rId194" Type="http://schemas.openxmlformats.org/officeDocument/2006/relationships/image" Target="media/image146.png"/><Relationship Id="rId195" Type="http://schemas.openxmlformats.org/officeDocument/2006/relationships/image" Target="media/image147.png"/><Relationship Id="rId196" Type="http://schemas.openxmlformats.org/officeDocument/2006/relationships/image" Target="media/image148.png"/><Relationship Id="rId197" Type="http://schemas.openxmlformats.org/officeDocument/2006/relationships/image" Target="media/image149.png"/><Relationship Id="rId198" Type="http://schemas.openxmlformats.org/officeDocument/2006/relationships/image" Target="media/image150.png"/><Relationship Id="rId199" Type="http://schemas.openxmlformats.org/officeDocument/2006/relationships/image" Target="media/image151.jpeg"/><Relationship Id="rId200" Type="http://schemas.openxmlformats.org/officeDocument/2006/relationships/image" Target="media/image152.png"/><Relationship Id="rId201" Type="http://schemas.openxmlformats.org/officeDocument/2006/relationships/image" Target="media/image153.png"/><Relationship Id="rId202" Type="http://schemas.openxmlformats.org/officeDocument/2006/relationships/image" Target="media/image154.png"/><Relationship Id="rId203" Type="http://schemas.openxmlformats.org/officeDocument/2006/relationships/image" Target="media/image155.png"/><Relationship Id="rId204" Type="http://schemas.openxmlformats.org/officeDocument/2006/relationships/image" Target="media/image156.png"/><Relationship Id="rId205" Type="http://schemas.openxmlformats.org/officeDocument/2006/relationships/image" Target="media/image157.jpeg"/><Relationship Id="rId206" Type="http://schemas.openxmlformats.org/officeDocument/2006/relationships/image" Target="media/image158.png"/><Relationship Id="rId207" Type="http://schemas.openxmlformats.org/officeDocument/2006/relationships/image" Target="media/image159.png"/><Relationship Id="rId208" Type="http://schemas.openxmlformats.org/officeDocument/2006/relationships/image" Target="media/image160.png"/><Relationship Id="rId209" Type="http://schemas.openxmlformats.org/officeDocument/2006/relationships/image" Target="media/image161.png"/><Relationship Id="rId210" Type="http://schemas.openxmlformats.org/officeDocument/2006/relationships/image" Target="media/image162.png"/><Relationship Id="rId211" Type="http://schemas.openxmlformats.org/officeDocument/2006/relationships/image" Target="media/image163.png"/><Relationship Id="rId212" Type="http://schemas.openxmlformats.org/officeDocument/2006/relationships/image" Target="media/image164.png"/><Relationship Id="rId213" Type="http://schemas.openxmlformats.org/officeDocument/2006/relationships/image" Target="media/image165.png"/><Relationship Id="rId214" Type="http://schemas.openxmlformats.org/officeDocument/2006/relationships/image" Target="media/image166.png"/><Relationship Id="rId215" Type="http://schemas.openxmlformats.org/officeDocument/2006/relationships/image" Target="media/image167.png"/><Relationship Id="rId216" Type="http://schemas.openxmlformats.org/officeDocument/2006/relationships/image" Target="media/image168.png"/><Relationship Id="rId217" Type="http://schemas.openxmlformats.org/officeDocument/2006/relationships/image" Target="media/image169.png"/><Relationship Id="rId218" Type="http://schemas.openxmlformats.org/officeDocument/2006/relationships/image" Target="media/image170.png"/><Relationship Id="rId219" Type="http://schemas.openxmlformats.org/officeDocument/2006/relationships/image" Target="media/image171.png"/><Relationship Id="rId220" Type="http://schemas.openxmlformats.org/officeDocument/2006/relationships/image" Target="media/image172.png"/><Relationship Id="rId221" Type="http://schemas.openxmlformats.org/officeDocument/2006/relationships/image" Target="media/image173.png"/><Relationship Id="rId222" Type="http://schemas.openxmlformats.org/officeDocument/2006/relationships/image" Target="media/image174.png"/><Relationship Id="rId223" Type="http://schemas.openxmlformats.org/officeDocument/2006/relationships/image" Target="media/image175.png"/><Relationship Id="rId224" Type="http://schemas.openxmlformats.org/officeDocument/2006/relationships/image" Target="media/image176.png"/><Relationship Id="rId225" Type="http://schemas.openxmlformats.org/officeDocument/2006/relationships/image" Target="media/image177.png"/><Relationship Id="rId226" Type="http://schemas.openxmlformats.org/officeDocument/2006/relationships/image" Target="media/image178.png"/><Relationship Id="rId227" Type="http://schemas.openxmlformats.org/officeDocument/2006/relationships/image" Target="media/image179.png"/><Relationship Id="rId228" Type="http://schemas.openxmlformats.org/officeDocument/2006/relationships/image" Target="media/image180.png"/><Relationship Id="rId229" Type="http://schemas.openxmlformats.org/officeDocument/2006/relationships/image" Target="media/image181.jpeg"/><Relationship Id="rId230" Type="http://schemas.openxmlformats.org/officeDocument/2006/relationships/image" Target="media/image182.png"/><Relationship Id="rId231" Type="http://schemas.openxmlformats.org/officeDocument/2006/relationships/image" Target="media/image183.png"/><Relationship Id="rId232" Type="http://schemas.openxmlformats.org/officeDocument/2006/relationships/image" Target="media/image184.png"/><Relationship Id="rId233" Type="http://schemas.openxmlformats.org/officeDocument/2006/relationships/image" Target="media/image185.png"/><Relationship Id="rId234" Type="http://schemas.openxmlformats.org/officeDocument/2006/relationships/image" Target="media/image186.png"/><Relationship Id="rId235" Type="http://schemas.openxmlformats.org/officeDocument/2006/relationships/image" Target="media/image187.png"/><Relationship Id="rId236" Type="http://schemas.openxmlformats.org/officeDocument/2006/relationships/image" Target="media/image188.png"/><Relationship Id="rId124" Type="http://schemas.openxmlformats.org/officeDocument/2006/relationships/hyperlink" Target="https://www.sec.gov/Archives/edgar/data/1780201/000155837021016885/tmb-20211003xex3d1.htm" TargetMode="External"/><Relationship Id="rId125" Type="http://schemas.openxmlformats.org/officeDocument/2006/relationships/hyperlink" Target="https://www.sec.gov/Archives/edgar/data/1780201/000155837021016885/tmb-20211003xex3d2.htm" TargetMode="External"/><Relationship Id="rId126" Type="http://schemas.openxmlformats.org/officeDocument/2006/relationships/hyperlink" Target="https://www.sec.gov/Archives/edgar/data/1780201/000119312521314481/d189376dex41.htm" TargetMode="External"/><Relationship Id="rId127" Type="http://schemas.openxmlformats.org/officeDocument/2006/relationships/hyperlink" Target="https://www.sec.gov/Archives/edgar/data/1780201/000119312521296901/d189376dex42.htm" TargetMode="External"/><Relationship Id="rId128" Type="http://schemas.openxmlformats.org/officeDocument/2006/relationships/hyperlink" Target="https://www.sec.gov/Archives/edgar/data/1780201/000155837022004959/tmb-20220102xex4d3.htm" TargetMode="External"/><Relationship Id="rId129" Type="http://schemas.openxmlformats.org/officeDocument/2006/relationships/hyperlink" Target="https://www.sec.gov/Archives/edgar/data/1780201/000155837022004959/tmb-20220102xex10d1.htm" TargetMode="External"/><Relationship Id="rId130" Type="http://schemas.openxmlformats.org/officeDocument/2006/relationships/hyperlink" Target="https://www.sec.gov/Archives/edgar/data/1780201/000119312521314481/d189376dex102.htm" TargetMode="External"/><Relationship Id="rId131" Type="http://schemas.openxmlformats.org/officeDocument/2006/relationships/hyperlink" Target="https://www.sec.gov/Archives/edgar/data/1780201/000119312521314481/d189376dex103.htm" TargetMode="External"/><Relationship Id="rId132" Type="http://schemas.openxmlformats.org/officeDocument/2006/relationships/hyperlink" Target="https://www.sec.gov/Archives/edgar/data/1780201/000119312521296901/d189376dex104.htm" TargetMode="External"/><Relationship Id="rId133" Type="http://schemas.openxmlformats.org/officeDocument/2006/relationships/hyperlink" Target="https://www.sec.gov/Archives/edgar/data/1780201/000119312521296901/d189376dex105.htm" TargetMode="External"/><Relationship Id="rId134" Type="http://schemas.openxmlformats.org/officeDocument/2006/relationships/hyperlink" Target="https://www.sec.gov/Archives/edgar/data/1780201/000119312521296901/d189376dex106.htm" TargetMode="External"/><Relationship Id="rId135" Type="http://schemas.openxmlformats.org/officeDocument/2006/relationships/hyperlink" Target="https://www.sec.gov/Archives/edgar/data/1780201/000119312521296901/d189376dex107.htm" TargetMode="External"/><Relationship Id="rId137" Type="http://schemas.openxmlformats.org/officeDocument/2006/relationships/hyperlink" Target="https://www.sec.gov/Archives/edgar/data/1780201/000119312521314481/d189376dex108.htm" TargetMode="External"/><Relationship Id="rId138" Type="http://schemas.openxmlformats.org/officeDocument/2006/relationships/hyperlink" Target="https://www.sec.gov/Archives/edgar/data/1780201/000119312521296901/d189376dex1014.htm" TargetMode="External"/><Relationship Id="rId139" Type="http://schemas.openxmlformats.org/officeDocument/2006/relationships/hyperlink" Target="https://www.sec.gov/Archives/edgar/data/1780201/000119312521296901/d189376dex1015.htm" TargetMode="External"/><Relationship Id="rId140" Type="http://schemas.openxmlformats.org/officeDocument/2006/relationships/hyperlink" Target="https://www.sec.gov/Archives/edgar/data/1780201/000119312521296901/d189376dex1017.htm" TargetMode="External"/><Relationship Id="rId141" Type="http://schemas.openxmlformats.org/officeDocument/2006/relationships/hyperlink" Target="https://www.sec.gov/Archives/edgar/data/1780201/000119312521296901/d189376dex1018.htm" TargetMode="External"/><Relationship Id="rId142" Type="http://schemas.openxmlformats.org/officeDocument/2006/relationships/hyperlink" Target="https://www.sec.gov/Archives/edgar/data/1780201/000155837021016885/tmb-20211003xex10d9.htm" TargetMode="External"/><Relationship Id="rId143" Type="http://schemas.openxmlformats.org/officeDocument/2006/relationships/hyperlink" Target="https://www.sec.gov/Archives/edgar/data/1780201/000155837021016885/tmb-20211003xex10d10.htm" TargetMode="External"/><Relationship Id="rId144" Type="http://schemas.openxmlformats.org/officeDocument/2006/relationships/hyperlink" Target="https://www.sec.gov/Archives/edgar/data/1780201/000110465922009515/tm224799d1_ex10-1.htm" TargetMode="External"/><Relationship Id="rId145" Type="http://schemas.openxmlformats.org/officeDocument/2006/relationships/hyperlink" Target="https://www.sec.gov/Archives/edgar/data/1780201/000155837022009114/tmb-20220403xex10d1.htm" TargetMode="External"/><Relationship Id="rId146" Type="http://schemas.openxmlformats.org/officeDocument/2006/relationships/hyperlink" Target="https://www.sec.gov/Archives/edgar/data/1780201/000155837022009114/tmb-20220403xex10d2.htm" TargetMode="External"/><Relationship Id="rId147" Type="http://schemas.openxmlformats.org/officeDocument/2006/relationships/hyperlink" Target="https://www.sec.gov/Archives/edgar/data/1780201/000155837022009114/tmb-20220403xex10d3.htm" TargetMode="External"/><Relationship Id="rId148" Type="http://schemas.openxmlformats.org/officeDocument/2006/relationships/hyperlink" Target="https://www.sec.gov/Archives/edgar/data/1780201/000155837022009114/tmb-20220403xex10d8.htm" TargetMode="External"/><Relationship Id="rId149" Type="http://schemas.openxmlformats.org/officeDocument/2006/relationships/hyperlink" Target="https://www.sec.gov/Archives/edgar/data/1780201/000155837022009114/tmb-20220403xex10d9.htm" TargetMode="External"/><Relationship Id="rId151" Type="http://schemas.openxmlformats.org/officeDocument/2006/relationships/hyperlink" Target="https://www.sec.gov/Archives/edgar/data/1780201/000110465922119125/tm2230422d2_ex10-1.htm" TargetMode="External"/><Relationship Id="rId152" Type="http://schemas.openxmlformats.org/officeDocument/2006/relationships/hyperlink" Target="https://www.sec.gov/Archives/edgar/data/1780201/000110465923021498/tm236633d1_ex10-1.htm" TargetMode="External"/><Relationship Id="rId153" Type="http://schemas.openxmlformats.org/officeDocument/2006/relationships/hyperlink" Target="https://www.sec.gov/Archives/edgar/data/1780201/000110465923028988/tm238619d1_ex10-1.htm" TargetMode="External"/><Relationship Id="rId154" Type="http://schemas.openxmlformats.org/officeDocument/2006/relationships/hyperlink" Target="https://www.sec.gov/Archives/edgar/data/1780201/000110465923028988/tm238619d1_ex10-2.htm" TargetMode="External"/><Relationship Id="rId155" Type="http://schemas.openxmlformats.org/officeDocument/2006/relationships/hyperlink" Target="https://www.sec.gov/Archives/edgar/data/1780201/000110465923030578/tm239030d1_ex10-2.htm" TargetMode="External"/><Relationship Id="rId156" Type="http://schemas.openxmlformats.org/officeDocument/2006/relationships/hyperlink" Target="https://www.sec.gov/Archives/edgar/data/1780201/000155837023003722/tmb-20230101xex10d26.htm" TargetMode="External"/><Relationship Id="rId157" Type="http://schemas.openxmlformats.org/officeDocument/2006/relationships/hyperlink" Target="https://www.sec.gov/Archives/edgar/data/1780201/000155837023003722/tmb-20230101xex10d27.htm" TargetMode="External"/><Relationship Id="rId158" Type="http://schemas.openxmlformats.org/officeDocument/2006/relationships/hyperlink" Target="https://www.sec.gov/Archives/edgar/data/1780201/000155837023003722/tmb-20230101xex10d28.htm" TargetMode="External"/><Relationship Id="rId159" Type="http://schemas.openxmlformats.org/officeDocument/2006/relationships/hyperlink" Target="https://www.sec.gov/Archives/edgar/data/1780201/000155837023003722/tmb-20230101xex10d29.htm" TargetMode="External"/><Relationship Id="rId160" Type="http://schemas.openxmlformats.org/officeDocument/2006/relationships/hyperlink" Target="https://www.sec.gov/Archives/edgar/data/1780201/000155837023003722/tmb-20230101xex10d30.htm" TargetMode="External"/><Relationship Id="rId161" Type="http://schemas.openxmlformats.org/officeDocument/2006/relationships/hyperlink" Target="https://www.sec.gov/Archives/edgar/data/1780201/000155837023003722/tmb-20230101xex10d31.htm" TargetMode="External"/><Relationship Id="rId162" Type="http://schemas.openxmlformats.org/officeDocument/2006/relationships/hyperlink" Target="https://www.sec.gov/Archives/edgar/data/1780201/000155837023013940/tmb-20230702xex10d1.htm" TargetMode="External"/><Relationship Id="rId164" Type="http://schemas.openxmlformats.org/officeDocument/2006/relationships/hyperlink" Target="https://www.sec.gov/Archives/edgar/data/1780201/000155837023011074/tmb-20230613xex10d1.htm" TargetMode="External"/><Relationship Id="rId165" Type="http://schemas.openxmlformats.org/officeDocument/2006/relationships/hyperlink" Target="https://www.sec.gov/Archives/edgar/data/1780201/000155837023018280/tmb-20231001xex10d1.htm" TargetMode="External"/><Relationship Id="rId166" Type="http://schemas.openxmlformats.org/officeDocument/2006/relationships/hyperlink" Target="https://www.sec.gov/Archives/edgar/data/1780201/000110465924002761/tm242508d1_ex10-1.htm" TargetMode="External"/><Relationship Id="rId167" Type="http://schemas.openxmlformats.org/officeDocument/2006/relationships/hyperlink" Target="https://www.sec.gov/Archives/edgar/data/1780201/000110465924002761/tm242508d1_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2024-03-06T15:23:26Z</dcterms:created>
  <dcterms:modified xsi:type="dcterms:W3CDTF">2024-03-06T15:23:26Z</dcterms:modified>
</cp:coreProperties>
</file>