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50330x10q.htm"/>
        <w:bookmarkStart w:id="1" w:name="kstmb202503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32"/>
        </w:rPr>
      </w:pPr>
      <w:bookmarkStart w:id="2" w:name="_07aa615a_ce14_4275_9996_9e605de8a439"/>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bidi w:val="0"/>
        <w:spacing w:before="0" w:after="12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qBR-_tcVj0ievvqHyOOl8Q_1_1"/>
      <w:bookmarkStart w:id="4" w:name="_3586bc08_409e_4c84_8a88_f77b88341fc0"/>
      <w:bookmarkStart w:id="5" w:name="Tc_qBR-_tcVj0ievvqHyOOl8Q_1_1"/>
      <w:bookmarkStart w:id="6" w:name="_3586bc08_409e_4c84_8a88_f77b88341fc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30,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eoyaPnZlxkC-wUhAspzOhg_1_1"/>
      <w:bookmarkStart w:id="8" w:name="_047cb49a_6ab8_464c_b721_f28d7010be9a"/>
      <w:bookmarkStart w:id="9" w:name="Tc_eoyaPnZlxkC-wUhAspzOhg_1_1"/>
      <w:bookmarkStart w:id="10" w:name="_047cb49a_6ab8_464c_b721_f28d7010be9a"/>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___________________ to ___________________</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001-41059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022350" cy="439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9pnoZGdAkij4iXo9x-QzQ_4_1"/>
      <w:bookmarkStart w:id="12" w:name="Tc_6oGWy6sx7EqXe_W6P6FSRg_4_0"/>
      <w:bookmarkStart w:id="13" w:name="Tc_RS7sAacXnkSizRTVLTqpcg_3_0"/>
      <w:bookmarkStart w:id="14" w:name="Tc_xXIbjWTIpUGwsaMFtAKW0g_2_1"/>
      <w:bookmarkStart w:id="15" w:name="Tc_Yz2COvSd4Ey5hWxuXRpY-g_2_0"/>
      <w:bookmarkStart w:id="16" w:name="_2e8a7c68_cf3e_42ac_9fdd_aa4211875b32"/>
      <w:bookmarkStart w:id="17" w:name="Tc_-9pnoZGdAkij4iXo9x-QzQ_4_1"/>
      <w:bookmarkStart w:id="18" w:name="Tc_6oGWy6sx7EqXe_W6P6FSRg_4_0"/>
      <w:bookmarkStart w:id="19" w:name="Tc_RS7sAacXnkSizRTVLTqpcg_3_0"/>
      <w:bookmarkStart w:id="20" w:name="Tc_xXIbjWTIpUGwsaMFtAKW0g_2_1"/>
      <w:bookmarkStart w:id="21" w:name="Tc_Yz2COvSd4Ey5hWxuXRpY-g_2_0"/>
      <w:bookmarkStart w:id="22" w:name="_2e8a7c68_cf3e_42ac_9fdd_aa4211875b32"/>
      <w:bookmarkEnd w:id="17"/>
      <w:bookmarkEnd w:id="18"/>
      <w:bookmarkEnd w:id="19"/>
      <w:bookmarkEnd w:id="20"/>
      <w:bookmarkEnd w:id="21"/>
      <w:bookmarkEnd w:id="22"/>
    </w:p>
    <w:tbl>
      <w:tblPr>
        <w:tblW w:w="4412" w:type="dxa"/>
        <w:jc w:val="left"/>
        <w:tblInd w:w="0" w:type="dxa"/>
        <w:tblLayout w:type="fixed"/>
        <w:tblCellMar>
          <w:top w:w="0" w:type="dxa"/>
          <w:left w:w="0" w:type="dxa"/>
          <w:bottom w:w="0" w:type="dxa"/>
          <w:right w:w="0" w:type="dxa"/>
        </w:tblCellMar>
      </w:tblPr>
      <w:tblGrid>
        <w:gridCol w:w="29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58010" cy="29210"/>
                      <wp:effectExtent l="0" t="0" r="0" b="0"/>
                      <wp:wrapNone/>
                      <wp:docPr id="2" name="Frame1"/>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43610" cy="29210"/>
                      <wp:effectExtent l="0" t="0" r="0" b="0"/>
                      <wp:wrapNone/>
                      <wp:docPr id="3"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195 Humboldt Avenue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95928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oDODLQ8l9ECJuZN7z0pPGA_0_2"/>
      <w:bookmarkStart w:id="24" w:name="Tc_wxyQYCX84keNK3o0C_zxrQ_0_1"/>
      <w:bookmarkStart w:id="25" w:name="Tc_xpD-QPEUlEik3NqwOhjimw_0_0"/>
      <w:bookmarkStart w:id="26" w:name="_0b67aa34_c169_429a_9db4_f6b2e7cf4f7b"/>
      <w:bookmarkStart w:id="27" w:name="Tc_oDODLQ8l9ECJuZN7z0pPGA_0_2"/>
      <w:bookmarkStart w:id="28" w:name="Tc_wxyQYCX84keNK3o0C_zxrQ_0_1"/>
      <w:bookmarkStart w:id="29" w:name="Tc_xpD-QPEUlEik3NqwOhjimw_0_0"/>
      <w:bookmarkStart w:id="30" w:name="_0b67aa34_c169_429a_9db4_f6b2e7cf4f7b"/>
      <w:bookmarkEnd w:id="27"/>
      <w:bookmarkEnd w:id="28"/>
      <w:bookmarkEnd w:id="29"/>
      <w:bookmarkEnd w:id="30"/>
    </w:p>
    <w:tbl>
      <w:tblPr>
        <w:tblW w:w="8208" w:type="dxa"/>
        <w:jc w:val="left"/>
        <w:tblInd w:w="0" w:type="dxa"/>
        <w:tblLayout w:type="fixed"/>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Xrgx5TmZ_Ui-OXBP9hy7Kw_3_0"/>
      <w:bookmarkStart w:id="32" w:name="Tc_GzDLGIF13ECiwM4QLPd0qA_2_3"/>
      <w:bookmarkStart w:id="33" w:name="Tc_o01udQJhVUebfFWwSZGlFQ_2_1"/>
      <w:bookmarkStart w:id="34" w:name="Tc_SvcPr2NOaUKNUT1XjYRdRw_1_4"/>
      <w:bookmarkStart w:id="35" w:name="Tc_hFVAwXCmg06Y2E4p6qWvNQ_1_3"/>
      <w:bookmarkStart w:id="36" w:name="Tc_nhMcvkoAR0iRnMCSmv4nmw_1_1"/>
      <w:bookmarkStart w:id="37" w:name="Tc_QvhxPdQGVkWFPD5jcWuYzA_1_0"/>
      <w:bookmarkStart w:id="38" w:name="_802ff32d_6140_48ee_8c95_2d5393b7c353"/>
      <w:bookmarkStart w:id="39" w:name="Tc_Xrgx5TmZ_Ui-OXBP9hy7Kw_3_0"/>
      <w:bookmarkStart w:id="40" w:name="Tc_GzDLGIF13ECiwM4QLPd0qA_2_3"/>
      <w:bookmarkStart w:id="41" w:name="Tc_o01udQJhVUebfFWwSZGlFQ_2_1"/>
      <w:bookmarkStart w:id="42" w:name="Tc_SvcPr2NOaUKNUT1XjYRdRw_1_4"/>
      <w:bookmarkStart w:id="43" w:name="Tc_hFVAwXCmg06Y2E4p6qWvNQ_1_3"/>
      <w:bookmarkStart w:id="44" w:name="Tc_nhMcvkoAR0iRnMCSmv4nmw_1_1"/>
      <w:bookmarkStart w:id="45" w:name="Tc_QvhxPdQGVkWFPD5jcWuYzA_1_0"/>
      <w:bookmarkStart w:id="46" w:name="_802ff32d_6140_48ee_8c95_2d5393b7c353"/>
      <w:bookmarkEnd w:id="39"/>
      <w:bookmarkEnd w:id="40"/>
      <w:bookmarkEnd w:id="41"/>
      <w:bookmarkEnd w:id="42"/>
      <w:bookmarkEnd w:id="43"/>
      <w:bookmarkEnd w:id="44"/>
      <w:bookmarkEnd w:id="45"/>
      <w:bookmarkEnd w:id="46"/>
    </w:p>
    <w:tbl>
      <w:tblPr>
        <w:tblW w:w="4905" w:type="dxa"/>
        <w:jc w:val="left"/>
        <w:tblInd w:w="0" w:type="dxa"/>
        <w:tblLayout w:type="fixed"/>
        <w:tblCellMar>
          <w:top w:w="0" w:type="dxa"/>
          <w:left w:w="0" w:type="dxa"/>
          <w:bottom w:w="0" w:type="dxa"/>
          <w:right w:w="0" w:type="dxa"/>
        </w:tblCellMar>
      </w:tblPr>
      <w:tblGrid>
        <w:gridCol w:w="2056"/>
        <w:gridCol w:w="316"/>
        <w:gridCol w:w="14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May 9, 2025, there were 42,942,378 shares of the registrant’s common stock, par value $0.001,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TOC"/>
      <w:bookmarkStart w:id="48" w:name="_d57e2a7d_0c8d_407a_bba6_0af018d66327"/>
      <w:bookmarkEnd w:id="47"/>
      <w:bookmarkEnd w:id="48"/>
      <w:r>
        <w:rPr>
          <w:rFonts w:ascii="Times New Roman;Times;serif" w:hAnsi="Times New Roman;Times;serif"/>
          <w:b/>
          <w:sz w:val="20"/>
        </w:rPr>
        <w:t>TABLE OF CONTENTS</w:t>
      </w:r>
    </w:p>
    <w:p>
      <w:pPr>
        <w:pStyle w:val="TextBody"/>
        <w:bidi w:val="0"/>
        <w:spacing w:before="0" w:after="0"/>
        <w:ind w:left="0" w:right="0" w:hanging="0"/>
        <w:jc w:val="right"/>
        <w:rPr/>
      </w:pPr>
      <w:r>
        <w:rPr/>
        <w:t>​</w:t>
      </w:r>
    </w:p>
    <w:tbl>
      <w:tblPr>
        <w:tblW w:w="8913" w:type="dxa"/>
        <w:jc w:val="left"/>
        <w:tblInd w:w="0" w:type="dxa"/>
        <w:tblLayout w:type="fixed"/>
        <w:tblCellMar>
          <w:top w:w="0" w:type="dxa"/>
          <w:left w:w="0" w:type="dxa"/>
          <w:bottom w:w="0" w:type="dxa"/>
          <w:right w:w="0" w:type="dxa"/>
        </w:tblCellMar>
      </w:tblPr>
      <w:tblGrid>
        <w:gridCol w:w="976"/>
        <w:gridCol w:w="7366"/>
        <w:gridCol w:w="571"/>
      </w:tblGrid>
      <w:tr>
        <w:trPr/>
        <w:tc>
          <w:tcPr>
            <w:tcW w:w="97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FINANCIAL INFORMATION</w:t>
              </w:r>
            </w:hyperlink>
          </w:p>
        </w:tc>
        <w:tc>
          <w:tcPr>
            <w:tcW w:w="5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_47417">
              <w:r>
                <w:rPr>
                  <w:rStyle w:val="InternetLink"/>
                  <w:rFonts w:ascii="Times New Roman;Times;serif" w:hAnsi="Times New Roman;Times;serif"/>
                  <w:b w:val="false"/>
                  <w:i w:val="false"/>
                  <w:caps w:val="false"/>
                  <w:smallCaps w:val="false"/>
                  <w:sz w:val="20"/>
                </w:rPr>
                <w:t xml:space="preserve">Condensed Consolidated Balance Sheets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Operat">
              <w:r>
                <w:rPr>
                  <w:rStyle w:val="InternetLink"/>
                  <w:rFonts w:ascii="Times New Roman;Times;serif" w:hAnsi="Times New Roman;Times;serif"/>
                  <w:b w:val="false"/>
                  <w:i w:val="false"/>
                  <w:caps w:val="false"/>
                  <w:smallCaps w:val="false"/>
                  <w:sz w:val="20"/>
                </w:rPr>
                <w:t xml:space="preserve">Condensed Consolidated Statements of Operations and Comprehensive Loss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ockholdersEquity_449154">
              <w:r>
                <w:rPr>
                  <w:rStyle w:val="InternetLink"/>
                  <w:rFonts w:ascii="Times New Roman;Times;serif" w:hAnsi="Times New Roman;Times;serif"/>
                  <w:b w:val="false"/>
                  <w:i w:val="false"/>
                  <w:caps w:val="false"/>
                  <w:smallCaps w:val="false"/>
                  <w:sz w:val="20"/>
                </w:rPr>
                <w:t xml:space="preserve">Condensed Consolidated Statements of Stockholders’ Equity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DescriptionofBusinessOrganizationandLiqu">
              <w:r>
                <w:rPr>
                  <w:rStyle w:val="InternetLink"/>
                  <w:rFonts w:ascii="Times New Roman;Times;serif" w:hAnsi="Times New Roman;Times;serif"/>
                  <w:b w:val="false"/>
                  <w:i w:val="false"/>
                  <w:caps w:val="false"/>
                  <w:smallCaps w:val="false"/>
                  <w:sz w:val="20"/>
                </w:rPr>
                <w:t>Notes to Condensed Consolidated Financial Statements</w:t>
              </w:r>
            </w:hyperlink>
            <w:r>
              <w:rPr>
                <w:rFonts w:ascii="Times New Roman;Times;serif" w:hAnsi="Times New Roman;Times;serif"/>
                <w:sz w:val="20"/>
              </w:rPr>
              <w:t xml:space="preserve">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7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807620">
              <w:r>
                <w:rPr>
                  <w:rStyle w:val="InternetLink"/>
                  <w:caps w:val="false"/>
                  <w:smallCaps w:val="false"/>
                </w:rPr>
                <w:t> </w:t>
              </w:r>
            </w:hyperlink>
            <w:hyperlink w:anchor="PARTIIOTHERINFORMATION_807620">
              <w:r>
                <w:rPr>
                  <w:rStyle w:val="InternetLink"/>
                  <w:rFonts w:ascii="Times New Roman;Times;serif" w:hAnsi="Times New Roman;Times;serif"/>
                  <w:b/>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7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SIGNATURES_813814">
              <w:r>
                <w:rPr>
                  <w:rStyle w:val="InternetLink"/>
                  <w:rFonts w:ascii="Times New Roman;Times;serif" w:hAnsi="Times New Roman;Times;serif"/>
                  <w:b w:val="false"/>
                  <w:i w:val="false"/>
                  <w:caps w:val="false"/>
                  <w:smallCaps w:val="false"/>
                  <w:sz w:val="20"/>
                </w:rPr>
                <w:t>Signatures</w:t>
              </w:r>
            </w:hyperlink>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2a9247cb_4742_48da_872c_cba70976246f"/>
      <w:bookmarkEnd w:id="49"/>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equity-based compensation expense, business strategy, plans, market growth and our objectives for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factors discussed in Part I, Item 1A, “Risk Factors” in our Annual Report on Form 10-K for the year ended December 29, 2024, </w:t>
      </w:r>
      <w:r>
        <w:rPr>
          <w:rFonts w:ascii="Times New Roman;Times;serif" w:hAnsi="Times New Roman;Times;serif"/>
          <w:sz w:val="20"/>
          <w:shd w:fill="FFFFFF" w:val="clear"/>
        </w:rPr>
        <w:t xml:space="preserve">Part II, Item 1A, </w:t>
      </w:r>
      <w:r>
        <w:rPr>
          <w:rFonts w:ascii="Times New Roman;Times;serif" w:hAnsi="Times New Roman;Times;serif"/>
          <w:sz w:val="20"/>
        </w:rPr>
        <w:t>“Risk Factors”</w:t>
      </w:r>
      <w:r>
        <w:rPr>
          <w:rFonts w:ascii="Times New Roman;Times;serif" w:hAnsi="Times New Roman;Times;serif"/>
          <w:sz w:val="20"/>
          <w:shd w:fill="FFFFFF" w:val="clear"/>
        </w:rPr>
        <w:t xml:space="preserve"> in this Quarterly Report on Form 10-Q for the quarter ended March 30, 2025,</w:t>
      </w:r>
      <w:r>
        <w:rPr>
          <w:rFonts w:ascii="Times New Roman;Times;serif" w:hAnsi="Times New Roman;Times;serif"/>
          <w:sz w:val="20"/>
        </w:rPr>
        <w:t xml:space="preserve">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24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 w:name="_4c2ceaac_0846_4ca5_a81e_69c8fd3d2f0c"/>
      <w:bookmarkEnd w:id="50"/>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fiscal year is a “52-53 week” year ending on the Sunday closest in proximity to December 31, such that each quarterly period will be 13 weeks in length, except during a 53-week year when the fourth quarter will be 14 weeks. References herein to “fiscal 2025” and/or “2025” relate to the year ending December 28, 2025 and “fiscal 2024” and/or “2024” relate to the year ended December 29, 2024. The fiscal years ending December 28, 2025 and ended December 29, 2024 consist of 52-weeks</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(generally accepted accounting principles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loss to Adjusted EBITDA and a reconciliation to non-GAAP Free Cash Flow from net cash provided by operating activities. Net loss is the most directly comparable financial measure to Adjusted EBITDA and net cash provided by operating activities is the most directly comparable financial measure to Free Cash Flow, required by, or presented in accordance with GAAP</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735439"/>
      <w:bookmarkStart w:id="52" w:name="_e4082a3c_a76a_4452_ad9f_04cc69d1709a"/>
      <w:bookmarkEnd w:id="51"/>
      <w:bookmarkEnd w:id="52"/>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val="false"/>
          <w:sz w:val="20"/>
        </w:rPr>
      </w:pPr>
      <w:bookmarkStart w:id="53" w:name="Item1FinancialStatements_894553"/>
      <w:bookmarkEnd w:id="53"/>
      <w:r>
        <w:rPr>
          <w:rFonts w:ascii="Times New Roman;Times;serif" w:hAnsi="Times New Roman;Times;serif"/>
          <w:b w:val="false"/>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54" w:name="CondensedConsolidatedBalanceSheets_47417"/>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 w:name="Tc_HX_uIXhzhk-yhvY4jDVGXQ_41_5"/>
      <w:bookmarkStart w:id="56" w:name="Tc_EVYEYhYUlkOAiNdMY4qfhg_41_2"/>
      <w:bookmarkStart w:id="57" w:name="Tc_d6zlY5E48ku68qy7uzWF0g_41_0"/>
      <w:bookmarkStart w:id="58" w:name="Tc_zlnDMZtPikOqZvXMU6pMuA_40_0"/>
      <w:bookmarkStart w:id="59" w:name="Tc_u-D2j19vG0yVuonn4cGCaQ_39_0"/>
      <w:bookmarkStart w:id="60" w:name="Tc_QMTbHLPrT0OH-85HCp-J9A_38_0"/>
      <w:bookmarkStart w:id="61" w:name="Tc_3KnuLV8EUkORf5P5PHIBMQ_37_0"/>
      <w:bookmarkStart w:id="62" w:name="Tc_KEs8qNyO2Ee0RZuFiD6qmg_36_0"/>
      <w:bookmarkStart w:id="63" w:name="_5c34f0e9_0c5d_4ec0_bd65_b4c89893608d_3"/>
      <w:bookmarkStart w:id="64" w:name="_5c34f0e9_0c5d_4ec0_bd65_b4c89893608d_2"/>
      <w:bookmarkStart w:id="65" w:name="_5c34f0e9_0c5d_4ec0_bd65_b4c89893608d"/>
      <w:bookmarkStart w:id="66" w:name="Tc_efMaj07A-0SMiz8azAxmqA_35_0"/>
      <w:bookmarkStart w:id="67" w:name="Tc_hZVUPXe-VEaHnRmstqG0AA_34_0"/>
      <w:bookmarkStart w:id="68" w:name="Tc_2FeJUh46ZEevBFSdxDhcaQ_32_0"/>
      <w:bookmarkStart w:id="69" w:name="Tc_vPBO4D0o0Uu0TsWn0zizFA_31_0"/>
      <w:bookmarkStart w:id="70" w:name="Tc_dDN7wEzMLEuMk1Up1CdDwA_30_0"/>
      <w:bookmarkStart w:id="71" w:name="Tc_d0CSEGcvN0GFDLE-ujvxEA_29_0"/>
      <w:bookmarkStart w:id="72" w:name="Tc_UaeUom-4JUCpVVJiNUH7oA_28_0"/>
      <w:bookmarkStart w:id="73" w:name="Tc_vziIXkcZhkmWw_xVkeR8kw_27_0"/>
      <w:bookmarkStart w:id="74" w:name="Tc_uQhe0QU4PUyB4hdzhBwm7g_26_0"/>
      <w:bookmarkStart w:id="75" w:name="Tc_L6tDGOwpoE-OzIrigAz1rQ_25_0"/>
      <w:bookmarkStart w:id="76" w:name="Tc_YYGtPnPphUibNM1jHtKLpw_24_0"/>
      <w:bookmarkStart w:id="77" w:name="Tc_6sb9LZaf30aJItneRrtVMw_23_0"/>
      <w:bookmarkStart w:id="78" w:name="Tc_Xk9C3E0P3EOzxyxFzvodqQ_22_5"/>
      <w:bookmarkStart w:id="79" w:name="Tc_AmL2InW7pUuAVHNSLcfKDA_22_2"/>
      <w:bookmarkStart w:id="80" w:name="Tc_Z0n6b5ctjUySuMGTNNQlFA_22_0"/>
      <w:bookmarkStart w:id="81" w:name="Tc_B6mQewxZSUCCznBRGQyzmQ_21_0"/>
      <w:bookmarkStart w:id="82" w:name="Tc_FOTGWcR-K0eTLKy7N565oQ_20_0"/>
      <w:bookmarkStart w:id="83" w:name="Tc_cmNXOaXKA0WQOyVzHsKckQ_18_5"/>
      <w:bookmarkStart w:id="84" w:name="Tc_SwMZyLF4Dk2JZ4AyS9lHig_18_2"/>
      <w:bookmarkStart w:id="85" w:name="Tc_-H7NSsBoP022O_boJhqVoQ_18_0"/>
      <w:bookmarkStart w:id="86" w:name="Tc_Hp9BB-sJ9kGabrT4aQh47A_17_0"/>
      <w:bookmarkStart w:id="87" w:name="Tc_0_fgRyyJ70icB-XLdi8--Q_16_0"/>
      <w:bookmarkStart w:id="88" w:name="Tc_CLthMLuGD065S-7bwm9OAg_15_0"/>
      <w:bookmarkStart w:id="89" w:name="Tc_X8PLIHM5EEq83ichx0F8YQ_14_0"/>
      <w:bookmarkStart w:id="90" w:name="Tc_in5H9B8ZeUq_DkzzAoMaXQ_13_0"/>
      <w:bookmarkStart w:id="91" w:name="Tc_5J0C9cAW5kCgea64gViQAQ_12_0"/>
      <w:bookmarkStart w:id="92" w:name="Tc_AhjJtQZ8S06dJ5tUnOc-ww_11_0"/>
      <w:bookmarkStart w:id="93" w:name="Tc_woxOuWs18UCaRWmTHGj7yA_10_0"/>
      <w:bookmarkStart w:id="94" w:name="Tc_qUwMITwyKkeCTJwOCffuBw_9_0"/>
      <w:bookmarkStart w:id="95" w:name="Tc_ZYdqTeuTU0Sx00RPN9EOww_8_0"/>
      <w:bookmarkStart w:id="96" w:name="Tc_NStKNxRHMkysUpZKm3nXaQ_7_0"/>
      <w:bookmarkStart w:id="97" w:name="Tc_IJqzkHEsNEe3EEGgvfzD8A_6_0"/>
      <w:bookmarkStart w:id="98" w:name="Tc_Ub77834HrE2qjmKej_sI6w_5_5"/>
      <w:bookmarkStart w:id="99" w:name="Tc_7Y5Api7JSEa2YI8OYMaXlg_5_2"/>
      <w:bookmarkStart w:id="100" w:name="Tc_tjKdqBaxy06xQHa4S1lE1A_5_0"/>
      <w:bookmarkStart w:id="101" w:name="Tc_tmI0KyUAp0m03r5Hr0JecA_4_0"/>
      <w:bookmarkStart w:id="102" w:name="Tc_omng6coF0US1mBWuQwPm7w_3_0"/>
      <w:bookmarkStart w:id="103" w:name="Tc_6NHrMlSqt0SdbJWcBf3ELg_2_5"/>
      <w:bookmarkStart w:id="104" w:name="Tc_fl0hPOyzMkKbAWQmV7896g_2_2"/>
      <w:bookmarkStart w:id="105" w:name="Tc_YT8aUO2igEStQvCcMqmRuA_1_5"/>
      <w:bookmarkStart w:id="106" w:name="Tc_SvcSRfOCUE-61d4fAWTj_A_1_2"/>
      <w:bookmarkStart w:id="107" w:name="_d943d634_e491_424e_b4f8_b70695775018"/>
      <w:bookmarkStart w:id="108" w:name="Tc_HX_uIXhzhk-yhvY4jDVGXQ_41_5"/>
      <w:bookmarkStart w:id="109" w:name="Tc_EVYEYhYUlkOAiNdMY4qfhg_41_2"/>
      <w:bookmarkStart w:id="110" w:name="Tc_d6zlY5E48ku68qy7uzWF0g_41_0"/>
      <w:bookmarkStart w:id="111" w:name="Tc_zlnDMZtPikOqZvXMU6pMuA_40_0"/>
      <w:bookmarkStart w:id="112" w:name="Tc_u-D2j19vG0yVuonn4cGCaQ_39_0"/>
      <w:bookmarkStart w:id="113" w:name="Tc_QMTbHLPrT0OH-85HCp-J9A_38_0"/>
      <w:bookmarkStart w:id="114" w:name="Tc_3KnuLV8EUkORf5P5PHIBMQ_37_0"/>
      <w:bookmarkStart w:id="115" w:name="Tc_KEs8qNyO2Ee0RZuFiD6qmg_36_0"/>
      <w:bookmarkStart w:id="116" w:name="_5c34f0e9_0c5d_4ec0_bd65_b4c89893608d_3"/>
      <w:bookmarkStart w:id="117" w:name="_5c34f0e9_0c5d_4ec0_bd65_b4c89893608d_2"/>
      <w:bookmarkStart w:id="118" w:name="_5c34f0e9_0c5d_4ec0_bd65_b4c89893608d"/>
      <w:bookmarkStart w:id="119" w:name="Tc_efMaj07A-0SMiz8azAxmqA_35_0"/>
      <w:bookmarkStart w:id="120" w:name="Tc_hZVUPXe-VEaHnRmstqG0AA_34_0"/>
      <w:bookmarkStart w:id="121" w:name="Tc_2FeJUh46ZEevBFSdxDhcaQ_32_0"/>
      <w:bookmarkStart w:id="122" w:name="Tc_vPBO4D0o0Uu0TsWn0zizFA_31_0"/>
      <w:bookmarkStart w:id="123" w:name="Tc_dDN7wEzMLEuMk1Up1CdDwA_30_0"/>
      <w:bookmarkStart w:id="124" w:name="Tc_d0CSEGcvN0GFDLE-ujvxEA_29_0"/>
      <w:bookmarkStart w:id="125" w:name="Tc_UaeUom-4JUCpVVJiNUH7oA_28_0"/>
      <w:bookmarkStart w:id="126" w:name="Tc_vziIXkcZhkmWw_xVkeR8kw_27_0"/>
      <w:bookmarkStart w:id="127" w:name="Tc_uQhe0QU4PUyB4hdzhBwm7g_26_0"/>
      <w:bookmarkStart w:id="128" w:name="Tc_L6tDGOwpoE-OzIrigAz1rQ_25_0"/>
      <w:bookmarkStart w:id="129" w:name="Tc_YYGtPnPphUibNM1jHtKLpw_24_0"/>
      <w:bookmarkStart w:id="130" w:name="Tc_6sb9LZaf30aJItneRrtVMw_23_0"/>
      <w:bookmarkStart w:id="131" w:name="Tc_Xk9C3E0P3EOzxyxFzvodqQ_22_5"/>
      <w:bookmarkStart w:id="132" w:name="Tc_AmL2InW7pUuAVHNSLcfKDA_22_2"/>
      <w:bookmarkStart w:id="133" w:name="Tc_Z0n6b5ctjUySuMGTNNQlFA_22_0"/>
      <w:bookmarkStart w:id="134" w:name="Tc_B6mQewxZSUCCznBRGQyzmQ_21_0"/>
      <w:bookmarkStart w:id="135" w:name="Tc_FOTGWcR-K0eTLKy7N565oQ_20_0"/>
      <w:bookmarkStart w:id="136" w:name="Tc_cmNXOaXKA0WQOyVzHsKckQ_18_5"/>
      <w:bookmarkStart w:id="137" w:name="Tc_SwMZyLF4Dk2JZ4AyS9lHig_18_2"/>
      <w:bookmarkStart w:id="138" w:name="Tc_-H7NSsBoP022O_boJhqVoQ_18_0"/>
      <w:bookmarkStart w:id="139" w:name="Tc_Hp9BB-sJ9kGabrT4aQh47A_17_0"/>
      <w:bookmarkStart w:id="140" w:name="Tc_0_fgRyyJ70icB-XLdi8--Q_16_0"/>
      <w:bookmarkStart w:id="141" w:name="Tc_CLthMLuGD065S-7bwm9OAg_15_0"/>
      <w:bookmarkStart w:id="142" w:name="Tc_X8PLIHM5EEq83ichx0F8YQ_14_0"/>
      <w:bookmarkStart w:id="143" w:name="Tc_in5H9B8ZeUq_DkzzAoMaXQ_13_0"/>
      <w:bookmarkStart w:id="144" w:name="Tc_5J0C9cAW5kCgea64gViQAQ_12_0"/>
      <w:bookmarkStart w:id="145" w:name="Tc_AhjJtQZ8S06dJ5tUnOc-ww_11_0"/>
      <w:bookmarkStart w:id="146" w:name="Tc_woxOuWs18UCaRWmTHGj7yA_10_0"/>
      <w:bookmarkStart w:id="147" w:name="Tc_qUwMITwyKkeCTJwOCffuBw_9_0"/>
      <w:bookmarkStart w:id="148" w:name="Tc_ZYdqTeuTU0Sx00RPN9EOww_8_0"/>
      <w:bookmarkStart w:id="149" w:name="Tc_NStKNxRHMkysUpZKm3nXaQ_7_0"/>
      <w:bookmarkStart w:id="150" w:name="Tc_IJqzkHEsNEe3EEGgvfzD8A_6_0"/>
      <w:bookmarkStart w:id="151" w:name="Tc_Ub77834HrE2qjmKej_sI6w_5_5"/>
      <w:bookmarkStart w:id="152" w:name="Tc_7Y5Api7JSEa2YI8OYMaXlg_5_2"/>
      <w:bookmarkStart w:id="153" w:name="Tc_tjKdqBaxy06xQHa4S1lE1A_5_0"/>
      <w:bookmarkStart w:id="154" w:name="Tc_tmI0KyUAp0m03r5Hr0JecA_4_0"/>
      <w:bookmarkStart w:id="155" w:name="Tc_omng6coF0US1mBWuQwPm7w_3_0"/>
      <w:bookmarkStart w:id="156" w:name="Tc_6NHrMlSqt0SdbJWcBf3ELg_2_5"/>
      <w:bookmarkStart w:id="157" w:name="Tc_fl0hPOyzMkKbAWQmV7896g_2_2"/>
      <w:bookmarkStart w:id="158" w:name="Tc_YT8aUO2igEStQvCcMqmRuA_1_5"/>
      <w:bookmarkStart w:id="159" w:name="Tc_SvcSRfOCUE-61d4fAWTj_A_1_2"/>
      <w:bookmarkStart w:id="160" w:name="_d943d634_e491_424e_b4f8_b7069577501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tbl>
      <w:tblPr>
        <w:tblW w:w="10205" w:type="dxa"/>
        <w:jc w:val="left"/>
        <w:tblInd w:w="0" w:type="dxa"/>
        <w:tblLayout w:type="fixed"/>
        <w:tblCellMar>
          <w:top w:w="0" w:type="dxa"/>
          <w:left w:w="0" w:type="dxa"/>
          <w:bottom w:w="0" w:type="dxa"/>
          <w:right w:w="0" w:type="dxa"/>
        </w:tblCellMar>
      </w:tblPr>
      <w:tblGrid>
        <w:gridCol w:w="7548"/>
        <w:gridCol w:w="326"/>
        <w:gridCol w:w="196"/>
        <w:gridCol w:w="783"/>
        <w:gridCol w:w="326"/>
        <w:gridCol w:w="196"/>
        <w:gridCol w:w="830"/>
      </w:tblGrid>
      <w:tr>
        <w:trPr/>
        <w:tc>
          <w:tcPr>
            <w:tcW w:w="7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792980" cy="175260"/>
                      <wp:effectExtent l="0" t="0" r="0" b="0"/>
                      <wp:wrapNone/>
                      <wp:docPr id="4" name="Frame3"/>
                      <a:graphic xmlns:a="http://schemas.openxmlformats.org/drawingml/2006/main">
                        <a:graphicData uri="http://schemas.microsoft.com/office/word/2010/wordprocessingShape">
                          <wps:wsp>
                            <wps:cNvSpPr txBox="1"/>
                            <wps:spPr>
                              <a:xfrm>
                                <a:off x="0" y="0"/>
                                <a:ext cx="4792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7205" cy="175260"/>
                      <wp:effectExtent l="0" t="0" r="0" b="0"/>
                      <wp:wrapNone/>
                      <wp:docPr id="7" name="Frame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7050" cy="175260"/>
                      <wp:effectExtent l="0" t="0" r="0" b="0"/>
                      <wp:wrapNone/>
                      <wp:docPr id="10" name="Frame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9"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30,</w:t>
            </w:r>
          </w:p>
        </w:tc>
        <w:tc>
          <w:tcPr>
            <w:tcW w:w="326" w:type="dxa"/>
            <w:tcBorders/>
            <w:vAlign w:val="center"/>
          </w:tcPr>
          <w:p>
            <w:pPr>
              <w:pStyle w:val="TableContents"/>
              <w:bidi w:val="0"/>
              <w:spacing w:before="0" w:after="1"/>
              <w:ind w:left="0" w:right="0" w:hanging="0"/>
              <w:jc w:val="left"/>
              <w:rPr/>
            </w:pPr>
            <w:r>
              <w:rPr/>
              <w:t>    </w:t>
            </w:r>
          </w:p>
        </w:tc>
        <w:tc>
          <w:tcPr>
            <w:tcW w:w="102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29,</w:t>
            </w:r>
          </w:p>
        </w:tc>
      </w:tr>
      <w:tr>
        <w:trPr/>
        <w:tc>
          <w:tcPr>
            <w:tcW w:w="7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26" w:type="dxa"/>
            <w:tcBorders/>
            <w:vAlign w:val="center"/>
          </w:tcPr>
          <w:p>
            <w:pPr>
              <w:pStyle w:val="TableContents"/>
              <w:bidi w:val="0"/>
              <w:spacing w:before="0" w:after="1"/>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4,460</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2,158</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34,036</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2,383</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4,177</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4,287</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62,727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51,501</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3,642</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7,056</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2,762</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24,030</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114,341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108,198</w:t>
            </w:r>
          </w:p>
        </w:tc>
      </w:tr>
      <w:tr>
        <w:trPr/>
        <w:tc>
          <w:tcPr>
            <w:tcW w:w="75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10,991</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15,985</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Returns reserve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9,765</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Stored-value card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17,883</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Revolving line of credit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13,090</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6,611</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91,751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74,325</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19,653</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107,789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94,830</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$0.001 par value, 10,000,000 shares authorized, and no shares issued or outstanding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$0.001</w:t>
            </w:r>
            <w:r>
              <w:rPr>
                <w:rFonts w:ascii="Times New Roman;Times;serif" w:hAnsi="Times New Roman;Times;serif"/>
                <w:sz w:val="20"/>
              </w:rPr>
              <w:t xml:space="preserve"> </w:t>
            </w:r>
            <w:r>
              <w:rPr>
                <w:rFonts w:ascii="Times New Roman;Times;serif" w:hAnsi="Times New Roman;Times;serif"/>
                <w:sz w:val="16"/>
              </w:rPr>
              <w:t>par value, 250,000,000</w:t>
            </w:r>
            <w:r>
              <w:rPr>
                <w:rFonts w:ascii="Times New Roman;Times;serif" w:hAnsi="Times New Roman;Times;serif"/>
                <w:sz w:val="20"/>
              </w:rPr>
              <w:t xml:space="preserve"> </w:t>
            </w:r>
            <w:r>
              <w:rPr>
                <w:rFonts w:ascii="Times New Roman;Times;serif" w:hAnsi="Times New Roman;Times;serif"/>
                <w:sz w:val="16"/>
              </w:rPr>
              <w:t>shares authorized; 42,780,686</w:t>
            </w:r>
            <w:r>
              <w:rPr>
                <w:rFonts w:ascii="Times New Roman;Times;serif" w:hAnsi="Times New Roman;Times;serif"/>
                <w:sz w:val="20"/>
              </w:rPr>
              <w:t xml:space="preserve"> </w:t>
            </w:r>
            <w:r>
              <w:rPr>
                <w:rFonts w:ascii="Times New Roman;Times;serif" w:hAnsi="Times New Roman;Times;serif"/>
                <w:sz w:val="16"/>
              </w:rPr>
              <w:t>and 42,068,124</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March 30, 2025 and December 29, 2024,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263,733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262,313</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(256,489)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(248,491)</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581,389 shares and 339,321 shares as of March 30, 2025 and December 29, 2024,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13,368</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114,341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108,198</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1" w:name="_db2464d8_10e9_49d0_8b08_fa080a60ae61"/>
      <w:bookmarkEnd w:id="161"/>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162" w:name="CondensedConsolidatedStatementsofOperat"/>
      <w:bookmarkEnd w:id="162"/>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3" w:name="Tc_WOLQyd_XxkCOoQvMnr3fLg_19_0"/>
      <w:bookmarkStart w:id="164" w:name="Tc_IvC5RdNeOkqCIEw9uOreWw_18_0"/>
      <w:bookmarkStart w:id="165" w:name="Tc_7lBdsdPUDUOAmpqWatADZQ_17_5"/>
      <w:bookmarkStart w:id="166" w:name="Tc_AlKrhSrFN06x2mEpSuFDTA_17_2"/>
      <w:bookmarkStart w:id="167" w:name="Tc_csu0FKEXmEC-yEEY4BaHlw_17_0"/>
      <w:bookmarkStart w:id="168" w:name="Tc_XLhMHJDn20mJlrZBqKCd7w_16_5"/>
      <w:bookmarkStart w:id="169" w:name="Tc_GY-NmkNDeUWDW6SH6c_1dw_16_2"/>
      <w:bookmarkStart w:id="170" w:name="Tc_3HCzWwQhSU27q-L7cHpHCA_16_0"/>
      <w:bookmarkStart w:id="171" w:name="Tc_mW4FztbltkmYljeqCBLtqw_14_0"/>
      <w:bookmarkStart w:id="172" w:name="Tc_TSCo4kXZEUW9sZ30zirAgA_13_0"/>
      <w:bookmarkStart w:id="173" w:name="Tc_B1jaaABu206ajbkGAYvCVQ_12_0"/>
      <w:bookmarkStart w:id="174" w:name="Tc_GiBIOb-7BUKuTRDZEm96FQ_11_0"/>
      <w:bookmarkStart w:id="175" w:name="Tc_lYmmP_iHOUWqzTclgaksvg_10_0"/>
      <w:bookmarkStart w:id="176" w:name="Tc_YqMWVNlRDEaeOh4BTh1jTg_9_0"/>
      <w:bookmarkStart w:id="177" w:name="Tc_8V3bgz-77UKrML0uvaeYQQ_8_0"/>
      <w:bookmarkStart w:id="178" w:name="Tc_XByDxcS220CIQg0TiVqZNg_7_0"/>
      <w:bookmarkStart w:id="179" w:name="Tc_QMBUyDz5FkysMtPNXENlqQ_6_0"/>
      <w:bookmarkStart w:id="180" w:name="Tc_YEYmA3_5x0SmHjo2ZUTGUw_5_0"/>
      <w:bookmarkStart w:id="181" w:name="Tc_56WKSVnk-keqrhPUm-N8EA_4_5"/>
      <w:bookmarkStart w:id="182" w:name="Tc_46WpvLs-aUSwVhAKmH3frw_4_2"/>
      <w:bookmarkStart w:id="183" w:name="Tc_fZlDXaJW5kOpEp914J3RLg_4_0"/>
      <w:bookmarkStart w:id="184" w:name="Tc_Zou0d08M5UCVlCQtZ3ew0A_3_5"/>
      <w:bookmarkStart w:id="185" w:name="Tc_N2T_UaeyE0q0KBZdb-FQSQ_3_2"/>
      <w:bookmarkStart w:id="186" w:name="Tc_kT1sEROoCEynXE2U8xzmEA_2_5"/>
      <w:bookmarkStart w:id="187" w:name="Tc_pB9bZdhBvU-dqsNJQ-D8qg_2_2"/>
      <w:bookmarkStart w:id="188" w:name="Tc_3MaKjeR7NEqFAEZUilkuWg_1_2"/>
      <w:bookmarkStart w:id="189" w:name="_e8f6d46b_2ef9_4048_b0c0_1a6772b8081e"/>
      <w:bookmarkStart w:id="190" w:name="Tc_WOLQyd_XxkCOoQvMnr3fLg_19_0"/>
      <w:bookmarkStart w:id="191" w:name="Tc_IvC5RdNeOkqCIEw9uOreWw_18_0"/>
      <w:bookmarkStart w:id="192" w:name="Tc_7lBdsdPUDUOAmpqWatADZQ_17_5"/>
      <w:bookmarkStart w:id="193" w:name="Tc_AlKrhSrFN06x2mEpSuFDTA_17_2"/>
      <w:bookmarkStart w:id="194" w:name="Tc_csu0FKEXmEC-yEEY4BaHlw_17_0"/>
      <w:bookmarkStart w:id="195" w:name="Tc_XLhMHJDn20mJlrZBqKCd7w_16_5"/>
      <w:bookmarkStart w:id="196" w:name="Tc_GY-NmkNDeUWDW6SH6c_1dw_16_2"/>
      <w:bookmarkStart w:id="197" w:name="Tc_3HCzWwQhSU27q-L7cHpHCA_16_0"/>
      <w:bookmarkStart w:id="198" w:name="Tc_mW4FztbltkmYljeqCBLtqw_14_0"/>
      <w:bookmarkStart w:id="199" w:name="Tc_TSCo4kXZEUW9sZ30zirAgA_13_0"/>
      <w:bookmarkStart w:id="200" w:name="Tc_B1jaaABu206ajbkGAYvCVQ_12_0"/>
      <w:bookmarkStart w:id="201" w:name="Tc_GiBIOb-7BUKuTRDZEm96FQ_11_0"/>
      <w:bookmarkStart w:id="202" w:name="Tc_lYmmP_iHOUWqzTclgaksvg_10_0"/>
      <w:bookmarkStart w:id="203" w:name="Tc_YqMWVNlRDEaeOh4BTh1jTg_9_0"/>
      <w:bookmarkStart w:id="204" w:name="Tc_8V3bgz-77UKrML0uvaeYQQ_8_0"/>
      <w:bookmarkStart w:id="205" w:name="Tc_XByDxcS220CIQg0TiVqZNg_7_0"/>
      <w:bookmarkStart w:id="206" w:name="Tc_QMBUyDz5FkysMtPNXENlqQ_6_0"/>
      <w:bookmarkStart w:id="207" w:name="Tc_YEYmA3_5x0SmHjo2ZUTGUw_5_0"/>
      <w:bookmarkStart w:id="208" w:name="Tc_56WKSVnk-keqrhPUm-N8EA_4_5"/>
      <w:bookmarkStart w:id="209" w:name="Tc_46WpvLs-aUSwVhAKmH3frw_4_2"/>
      <w:bookmarkStart w:id="210" w:name="Tc_fZlDXaJW5kOpEp914J3RLg_4_0"/>
      <w:bookmarkStart w:id="211" w:name="Tc_Zou0d08M5UCVlCQtZ3ew0A_3_5"/>
      <w:bookmarkStart w:id="212" w:name="Tc_N2T_UaeyE0q0KBZdb-FQSQ_3_2"/>
      <w:bookmarkStart w:id="213" w:name="Tc_kT1sEROoCEynXE2U8xzmEA_2_5"/>
      <w:bookmarkStart w:id="214" w:name="Tc_pB9bZdhBvU-dqsNJQ-D8qg_2_2"/>
      <w:bookmarkStart w:id="215" w:name="Tc_3MaKjeR7NEqFAEZUilkuWg_1_2"/>
      <w:bookmarkStart w:id="216" w:name="_e8f6d46b_2ef9_4048_b0c0_1a6772b8081e"/>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tbl>
      <w:tblPr>
        <w:tblW w:w="7141" w:type="dxa"/>
        <w:jc w:val="left"/>
        <w:tblInd w:w="0" w:type="dxa"/>
        <w:tblLayout w:type="fixed"/>
        <w:tblCellMar>
          <w:top w:w="0" w:type="dxa"/>
          <w:left w:w="0" w:type="dxa"/>
          <w:bottom w:w="0" w:type="dxa"/>
          <w:right w:w="0" w:type="dxa"/>
        </w:tblCellMar>
      </w:tblPr>
      <w:tblGrid>
        <w:gridCol w:w="3841"/>
        <w:gridCol w:w="326"/>
        <w:gridCol w:w="211"/>
        <w:gridCol w:w="1036"/>
        <w:gridCol w:w="326"/>
        <w:gridCol w:w="211"/>
        <w:gridCol w:w="1036"/>
        <w:gridCol w:w="154"/>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439035" cy="175260"/>
                      <wp:effectExtent l="0" t="0" r="0" b="0"/>
                      <wp:wrapNone/>
                      <wp:docPr id="11" name="Frame10"/>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4"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7"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7790" cy="175260"/>
                      <wp:effectExtent l="0" t="0" r="0" b="0"/>
                      <wp:wrapNone/>
                      <wp:docPr id="18" name="Frame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4" w:type="dxa"/>
            <w:tcBorders/>
            <w:vAlign w:val="center"/>
          </w:tcPr>
          <w:p>
            <w:pPr>
              <w:pStyle w:val="TableContents"/>
              <w:bidi w:val="0"/>
              <w:spacing w:before="0" w:after="0"/>
              <w:ind w:left="0" w:right="0" w:hanging="0"/>
              <w:jc w:val="center"/>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64,155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38,314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17,693</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before benefit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 benefit </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41,903,616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39,450,502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weighted-average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41,903,616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39,450,502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7" w:name="_417fb730_9c5b_4135_a46c_0ce9648c3338"/>
      <w:bookmarkEnd w:id="217"/>
      <w:r>
        <w:rPr>
          <w:rFonts w:ascii="Times New Roman;Times;serif" w:hAnsi="Times New Roman;Times;serif"/>
          <w:b/>
          <w:sz w:val="20"/>
        </w:rPr>
        <w:t xml:space="preserve">LULU’S FASHION LOUNGE HOLDINGS, INC. </w:t>
      </w:r>
    </w:p>
    <w:p>
      <w:pPr>
        <w:pStyle w:val="TextBody"/>
        <w:bidi w:val="0"/>
        <w:spacing w:before="0" w:after="0"/>
        <w:ind w:left="0" w:right="0" w:hanging="0"/>
        <w:jc w:val="center"/>
        <w:rPr>
          <w:rFonts w:ascii="Times New Roman;Times;serif" w:hAnsi="Times New Roman;Times;serif"/>
          <w:b/>
          <w:sz w:val="20"/>
        </w:rPr>
      </w:pPr>
      <w:bookmarkStart w:id="218" w:name="StockholdersEquity_449154"/>
      <w:bookmarkEnd w:id="218"/>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9" w:name="Tc_tIB7YtKShEystqs2yR3UdQ_12_18"/>
      <w:bookmarkStart w:id="220" w:name="Tc_7-v6Z64tzkafsVAEZhEwPw_12_15"/>
      <w:bookmarkStart w:id="221" w:name="Tc_hT1YNrWFBESm9vyho0pIsQ_12_10"/>
      <w:bookmarkStart w:id="222" w:name="Tc_Ck9erwo_Jki90ks88FXmkw_12_7"/>
      <w:bookmarkStart w:id="223" w:name="Tc_6HsrkL8R-UaeNtSTguTiow_12_4"/>
      <w:bookmarkStart w:id="224" w:name="Tc_lA_mSopFp0iMNUhaZXwLgw_12_0"/>
      <w:bookmarkStart w:id="225" w:name="Tc__uvb8-N6uEieauLCzGLNdg_11_16"/>
      <w:bookmarkStart w:id="226" w:name="Tc_kmoQTJQF4k-bo2v3vZg_tg_11_13"/>
      <w:bookmarkStart w:id="227" w:name="Tc_4pnvAQQ8EkqUnpxx-GqVWQ_11_8"/>
      <w:bookmarkStart w:id="228" w:name="Tc_pftfFgHj7EK_f-jq3Zj5OA_11_5"/>
      <w:bookmarkStart w:id="229" w:name="Tc_tslV2bNaAUKVWA6jAkn9Vg_11_2"/>
      <w:bookmarkStart w:id="230" w:name="Tc_weIwHfVr3UCgDw0K0Re8lg_11_0"/>
      <w:bookmarkStart w:id="231" w:name="Tc_xx308mI7HEuUpDeAF7QtIg_10_11"/>
      <w:bookmarkStart w:id="232" w:name="Tc_XpX6DSaeXES3xK6hBUfSIA_10_8"/>
      <w:bookmarkStart w:id="233" w:name="Tc_UND7mHhuG02HvTQz9NrQgA_10_5"/>
      <w:bookmarkStart w:id="234" w:name="Tc_PQf357JAlEySnk3DTkxASA_10_2"/>
      <w:bookmarkStart w:id="235" w:name="Tc_JY8HqWE6O0GX4Zh1jBd7Ig_10_0"/>
      <w:bookmarkStart w:id="236" w:name="Tc_vmgro981tEiiLCUF1TZyAw_9_16"/>
      <w:bookmarkStart w:id="237" w:name="Tc_ygezn7k4QUuj5hwZlrBlJA_9_13"/>
      <w:bookmarkStart w:id="238" w:name="Tc_Httm9lC-D0uYgm8XnhfkzQ_9_11"/>
      <w:bookmarkStart w:id="239" w:name="Tc_MTp7hQZ-8k25RtqCd-5H2g_9_5"/>
      <w:bookmarkStart w:id="240" w:name="Tc_1E9czUTVD0eRVQ7F0qfJSQ_9_2"/>
      <w:bookmarkStart w:id="241" w:name="Tc_YugHEdM2YEeZNw4zUf25ug_9_0"/>
      <w:bookmarkStart w:id="242" w:name="Tc_xDG9kLLxd0GRdc3ttTyNIg_8_16"/>
      <w:bookmarkStart w:id="243" w:name="Tc_4AJlYGQjrEOejmVCF3Bh1Q_8_13"/>
      <w:bookmarkStart w:id="244" w:name="Tc_JLDIsHrjGkWFSZK5VwLVJA_8_11"/>
      <w:bookmarkStart w:id="245" w:name="Tc_2CRG7FYF2UKRexpIUdSXqQ_8_5"/>
      <w:bookmarkStart w:id="246" w:name="Tc_Ud7IcwqN8kWN4FdpSoGYng_8_0"/>
      <w:bookmarkStart w:id="247" w:name="Tc_rPZEqOWDoUOibEu5Pzrjtw_7_16"/>
      <w:bookmarkStart w:id="248" w:name="Tc_6_IWCz8DnkafR0A3sZOXiQ_7_13"/>
      <w:bookmarkStart w:id="249" w:name="Tc_i2SyuzR8ckC5pQnUVZSWow_7_11"/>
      <w:bookmarkStart w:id="250" w:name="Tc_UCNVydVGiESuMd6ljbW9NA_7_5"/>
      <w:bookmarkStart w:id="251" w:name="Tc_Jm4FoDmlpESgR4DZKXtHew_7_0"/>
      <w:bookmarkStart w:id="252" w:name="Tc_CL4GosWAvEy5LOUnbstuNA_6_16"/>
      <w:bookmarkStart w:id="253" w:name="Tc_iWVcDSONhUCQbY4LeKP0Gg_6_13"/>
      <w:bookmarkStart w:id="254" w:name="Tc_Ekv7Slzbf0mnJsp-SFkcjw_6_11"/>
      <w:bookmarkStart w:id="255" w:name="Tc_0wqkJAr_WEuTvIy0i6Cwfw_6_8"/>
      <w:bookmarkStart w:id="256" w:name="Tc_BykkifMaDESxFPaQkMkczQ_6_0"/>
      <w:bookmarkStart w:id="257" w:name="Tc_m4Vv_TD4jESEHKlHefFZnw_5_18"/>
      <w:bookmarkStart w:id="258" w:name="Tc_2SyNR2w_rUmLCV6KQikPbw_5_15"/>
      <w:bookmarkStart w:id="259" w:name="Tc_YXZf-YCEi027IVYOvD2UPQ_5_10"/>
      <w:bookmarkStart w:id="260" w:name="Tc_rauT6UNg7kuOlOlyLqJUHA_5_7"/>
      <w:bookmarkStart w:id="261" w:name="Tc_SV3EzNig4kGXUqv5y2kAeQ_5_4"/>
      <w:bookmarkStart w:id="262" w:name="Tc_fRNLTGAs_0O9GCNO4JFYFg_5_0"/>
      <w:bookmarkStart w:id="263" w:name="Tc_KuA_pJnvzUejAPGA2EC8cQ_4_18"/>
      <w:bookmarkStart w:id="264" w:name="Tc_sAIPa7UFiUupulrU9wtvhw_4_15"/>
      <w:bookmarkStart w:id="265" w:name="Tc_6MO-dsNaUkm-Hj_16-0YwQ_4_13"/>
      <w:bookmarkStart w:id="266" w:name="Tc_V3k_XcAIdEGLo8ZB1GiXTQ_4_10"/>
      <w:bookmarkStart w:id="267" w:name="Tc_3KqlxgoDnkmoVT5GwwiV9w_4_7"/>
      <w:bookmarkStart w:id="268" w:name="Tc_Gdeh8KeHGkqZebIna2Dvgw_4_4"/>
      <w:bookmarkStart w:id="269" w:name="Tc_LfY-aFRJykWJtdFJOrZHZg_4_2"/>
      <w:bookmarkStart w:id="270" w:name="Tc_7jz_rcUXkkKg9JP6pmX6uA_3_18"/>
      <w:bookmarkStart w:id="271" w:name="Tc_tXbMTeMk5kOgNwEnTLZlvA_3_13"/>
      <w:bookmarkStart w:id="272" w:name="Tc_lOp3X5mvBk-lZA0SvhOi4Q_3_10"/>
      <w:bookmarkStart w:id="273" w:name="Tc_0VT00F-NzUGYnGL-gNjdRA_3_7"/>
      <w:bookmarkStart w:id="274" w:name="Tc_3-BJB-jGskiy7bs4fie5oQ_3_2"/>
      <w:bookmarkStart w:id="275" w:name="Tc_1TM_xP2qqkGPDJqDVUnlZQ_2_18"/>
      <w:bookmarkStart w:id="276" w:name="Tc_nIwlhen2ikqP_Yi_oybtLg_2_7"/>
      <w:bookmarkStart w:id="277" w:name="Tc_1GOnz4dp3EmcvJKmX1jxJQ_1_2"/>
      <w:bookmarkStart w:id="278" w:name="_0546eec8_2122_4aba_8648_dcb761a56f8f"/>
      <w:bookmarkStart w:id="279" w:name="Tc_tIB7YtKShEystqs2yR3UdQ_12_18"/>
      <w:bookmarkStart w:id="280" w:name="Tc_7-v6Z64tzkafsVAEZhEwPw_12_15"/>
      <w:bookmarkStart w:id="281" w:name="Tc_hT1YNrWFBESm9vyho0pIsQ_12_10"/>
      <w:bookmarkStart w:id="282" w:name="Tc_Ck9erwo_Jki90ks88FXmkw_12_7"/>
      <w:bookmarkStart w:id="283" w:name="Tc_6HsrkL8R-UaeNtSTguTiow_12_4"/>
      <w:bookmarkStart w:id="284" w:name="Tc_lA_mSopFp0iMNUhaZXwLgw_12_0"/>
      <w:bookmarkStart w:id="285" w:name="Tc__uvb8-N6uEieauLCzGLNdg_11_16"/>
      <w:bookmarkStart w:id="286" w:name="Tc_kmoQTJQF4k-bo2v3vZg_tg_11_13"/>
      <w:bookmarkStart w:id="287" w:name="Tc_4pnvAQQ8EkqUnpxx-GqVWQ_11_8"/>
      <w:bookmarkStart w:id="288" w:name="Tc_pftfFgHj7EK_f-jq3Zj5OA_11_5"/>
      <w:bookmarkStart w:id="289" w:name="Tc_tslV2bNaAUKVWA6jAkn9Vg_11_2"/>
      <w:bookmarkStart w:id="290" w:name="Tc_weIwHfVr3UCgDw0K0Re8lg_11_0"/>
      <w:bookmarkStart w:id="291" w:name="Tc_xx308mI7HEuUpDeAF7QtIg_10_11"/>
      <w:bookmarkStart w:id="292" w:name="Tc_XpX6DSaeXES3xK6hBUfSIA_10_8"/>
      <w:bookmarkStart w:id="293" w:name="Tc_UND7mHhuG02HvTQz9NrQgA_10_5"/>
      <w:bookmarkStart w:id="294" w:name="Tc_PQf357JAlEySnk3DTkxASA_10_2"/>
      <w:bookmarkStart w:id="295" w:name="Tc_JY8HqWE6O0GX4Zh1jBd7Ig_10_0"/>
      <w:bookmarkStart w:id="296" w:name="Tc_vmgro981tEiiLCUF1TZyAw_9_16"/>
      <w:bookmarkStart w:id="297" w:name="Tc_ygezn7k4QUuj5hwZlrBlJA_9_13"/>
      <w:bookmarkStart w:id="298" w:name="Tc_Httm9lC-D0uYgm8XnhfkzQ_9_11"/>
      <w:bookmarkStart w:id="299" w:name="Tc_MTp7hQZ-8k25RtqCd-5H2g_9_5"/>
      <w:bookmarkStart w:id="300" w:name="Tc_1E9czUTVD0eRVQ7F0qfJSQ_9_2"/>
      <w:bookmarkStart w:id="301" w:name="Tc_YugHEdM2YEeZNw4zUf25ug_9_0"/>
      <w:bookmarkStart w:id="302" w:name="Tc_xDG9kLLxd0GRdc3ttTyNIg_8_16"/>
      <w:bookmarkStart w:id="303" w:name="Tc_4AJlYGQjrEOejmVCF3Bh1Q_8_13"/>
      <w:bookmarkStart w:id="304" w:name="Tc_JLDIsHrjGkWFSZK5VwLVJA_8_11"/>
      <w:bookmarkStart w:id="305" w:name="Tc_2CRG7FYF2UKRexpIUdSXqQ_8_5"/>
      <w:bookmarkStart w:id="306" w:name="Tc_Ud7IcwqN8kWN4FdpSoGYng_8_0"/>
      <w:bookmarkStart w:id="307" w:name="Tc_rPZEqOWDoUOibEu5Pzrjtw_7_16"/>
      <w:bookmarkStart w:id="308" w:name="Tc_6_IWCz8DnkafR0A3sZOXiQ_7_13"/>
      <w:bookmarkStart w:id="309" w:name="Tc_i2SyuzR8ckC5pQnUVZSWow_7_11"/>
      <w:bookmarkStart w:id="310" w:name="Tc_UCNVydVGiESuMd6ljbW9NA_7_5"/>
      <w:bookmarkStart w:id="311" w:name="Tc_Jm4FoDmlpESgR4DZKXtHew_7_0"/>
      <w:bookmarkStart w:id="312" w:name="Tc_CL4GosWAvEy5LOUnbstuNA_6_16"/>
      <w:bookmarkStart w:id="313" w:name="Tc_iWVcDSONhUCQbY4LeKP0Gg_6_13"/>
      <w:bookmarkStart w:id="314" w:name="Tc_Ekv7Slzbf0mnJsp-SFkcjw_6_11"/>
      <w:bookmarkStart w:id="315" w:name="Tc_0wqkJAr_WEuTvIy0i6Cwfw_6_8"/>
      <w:bookmarkStart w:id="316" w:name="Tc_BykkifMaDESxFPaQkMkczQ_6_0"/>
      <w:bookmarkStart w:id="317" w:name="Tc_m4Vv_TD4jESEHKlHefFZnw_5_18"/>
      <w:bookmarkStart w:id="318" w:name="Tc_2SyNR2w_rUmLCV6KQikPbw_5_15"/>
      <w:bookmarkStart w:id="319" w:name="Tc_YXZf-YCEi027IVYOvD2UPQ_5_10"/>
      <w:bookmarkStart w:id="320" w:name="Tc_rauT6UNg7kuOlOlyLqJUHA_5_7"/>
      <w:bookmarkStart w:id="321" w:name="Tc_SV3EzNig4kGXUqv5y2kAeQ_5_4"/>
      <w:bookmarkStart w:id="322" w:name="Tc_fRNLTGAs_0O9GCNO4JFYFg_5_0"/>
      <w:bookmarkStart w:id="323" w:name="Tc_KuA_pJnvzUejAPGA2EC8cQ_4_18"/>
      <w:bookmarkStart w:id="324" w:name="Tc_sAIPa7UFiUupulrU9wtvhw_4_15"/>
      <w:bookmarkStart w:id="325" w:name="Tc_6MO-dsNaUkm-Hj_16-0YwQ_4_13"/>
      <w:bookmarkStart w:id="326" w:name="Tc_V3k_XcAIdEGLo8ZB1GiXTQ_4_10"/>
      <w:bookmarkStart w:id="327" w:name="Tc_3KqlxgoDnkmoVT5GwwiV9w_4_7"/>
      <w:bookmarkStart w:id="328" w:name="Tc_Gdeh8KeHGkqZebIna2Dvgw_4_4"/>
      <w:bookmarkStart w:id="329" w:name="Tc_LfY-aFRJykWJtdFJOrZHZg_4_2"/>
      <w:bookmarkStart w:id="330" w:name="Tc_7jz_rcUXkkKg9JP6pmX6uA_3_18"/>
      <w:bookmarkStart w:id="331" w:name="Tc_tXbMTeMk5kOgNwEnTLZlvA_3_13"/>
      <w:bookmarkStart w:id="332" w:name="Tc_lOp3X5mvBk-lZA0SvhOi4Q_3_10"/>
      <w:bookmarkStart w:id="333" w:name="Tc_0VT00F-NzUGYnGL-gNjdRA_3_7"/>
      <w:bookmarkStart w:id="334" w:name="Tc_3-BJB-jGskiy7bs4fie5oQ_3_2"/>
      <w:bookmarkStart w:id="335" w:name="Tc_1TM_xP2qqkGPDJqDVUnlZQ_2_18"/>
      <w:bookmarkStart w:id="336" w:name="Tc_nIwlhen2ikqP_Yi_oybtLg_2_7"/>
      <w:bookmarkStart w:id="337" w:name="Tc_1GOnz4dp3EmcvJKmX1jxJQ_1_2"/>
      <w:bookmarkStart w:id="338" w:name="_0546eec8_2122_4aba_8648_dcb761a56f8f"/>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tbl>
      <w:tblPr>
        <w:tblW w:w="10205" w:type="dxa"/>
        <w:jc w:val="left"/>
        <w:tblInd w:w="0" w:type="dxa"/>
        <w:tblLayout w:type="fixed"/>
        <w:tblCellMar>
          <w:top w:w="0" w:type="dxa"/>
          <w:left w:w="0" w:type="dxa"/>
          <w:bottom w:w="0" w:type="dxa"/>
          <w:right w:w="0" w:type="dxa"/>
        </w:tblCellMar>
      </w:tblPr>
      <w:tblGrid>
        <w:gridCol w:w="2846"/>
        <w:gridCol w:w="206"/>
        <w:gridCol w:w="766"/>
        <w:gridCol w:w="326"/>
        <w:gridCol w:w="196"/>
        <w:gridCol w:w="375"/>
        <w:gridCol w:w="326"/>
        <w:gridCol w:w="181"/>
        <w:gridCol w:w="586"/>
        <w:gridCol w:w="326"/>
        <w:gridCol w:w="194"/>
        <w:gridCol w:w="677"/>
        <w:gridCol w:w="326"/>
        <w:gridCol w:w="657"/>
        <w:gridCol w:w="326"/>
        <w:gridCol w:w="181"/>
        <w:gridCol w:w="408"/>
        <w:gridCol w:w="326"/>
        <w:gridCol w:w="238"/>
        <w:gridCol w:w="738"/>
      </w:tblGrid>
      <w:tr>
        <w:trPr/>
        <w:tc>
          <w:tcPr>
            <w:tcW w:w="2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807210" cy="175260"/>
                      <wp:effectExtent l="0" t="0" r="0" b="0"/>
                      <wp:wrapNone/>
                      <wp:docPr id="19" name="Frame18"/>
                      <a:graphic xmlns:a="http://schemas.openxmlformats.org/drawingml/2006/main">
                        <a:graphicData uri="http://schemas.microsoft.com/office/word/2010/wordprocessingShape">
                          <wps:wsp>
                            <wps:cNvSpPr txBox="1"/>
                            <wps:spPr>
                              <a:xfrm>
                                <a:off x="0" y="0"/>
                                <a:ext cx="180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0810" cy="175260"/>
                      <wp:effectExtent l="0" t="0" r="0" b="0"/>
                      <wp:wrapNone/>
                      <wp:docPr id="20" name="Frame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86410" cy="175260"/>
                      <wp:effectExtent l="0" t="0" r="0" b="0"/>
                      <wp:wrapNone/>
                      <wp:docPr id="21" name="Frame2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3"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8125" cy="175260"/>
                      <wp:effectExtent l="0" t="0" r="0" b="0"/>
                      <wp:wrapNone/>
                      <wp:docPr id="24" name="Frame2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14935" cy="175260"/>
                      <wp:effectExtent l="0" t="0" r="0" b="0"/>
                      <wp:wrapNone/>
                      <wp:docPr id="26" name="Frame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72110" cy="175260"/>
                      <wp:effectExtent l="0" t="0" r="0" b="0"/>
                      <wp:wrapNone/>
                      <wp:docPr id="27" name="Frame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3190" cy="175260"/>
                      <wp:effectExtent l="0" t="0" r="0" b="0"/>
                      <wp:wrapNone/>
                      <wp:docPr id="29" name="Frame28"/>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29895" cy="175260"/>
                      <wp:effectExtent l="0" t="0" r="0" b="0"/>
                      <wp:wrapNone/>
                      <wp:docPr id="30" name="Frame2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17195" cy="175260"/>
                      <wp:effectExtent l="0" t="0" r="0" b="0"/>
                      <wp:wrapNone/>
                      <wp:docPr id="32" name="Frame31"/>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4" name="Frame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59080" cy="175260"/>
                      <wp:effectExtent l="0" t="0" r="0" b="0"/>
                      <wp:wrapNone/>
                      <wp:docPr id="35" name="Frame34"/>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1130" cy="175260"/>
                      <wp:effectExtent l="0" t="0" r="0" b="0"/>
                      <wp:wrapNone/>
                      <wp:docPr id="37" name="Frame3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8630" cy="175260"/>
                      <wp:effectExtent l="0" t="0" r="0" b="0"/>
                      <wp:wrapNone/>
                      <wp:docPr id="38" name="Frame37"/>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153"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Thirteen Weeks Ended March 30, 2025</w:t>
            </w:r>
          </w:p>
        </w:tc>
      </w:tr>
      <w:tr>
        <w:trPr/>
        <w:tc>
          <w:tcPr>
            <w:tcW w:w="28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4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8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57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8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84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29, 2024</w:t>
            </w:r>
          </w:p>
        </w:tc>
        <w:tc>
          <w:tcPr>
            <w:tcW w:w="20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42,068,124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262,313</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(248,491)</w:t>
            </w:r>
          </w:p>
        </w:tc>
        <w:tc>
          <w:tcPr>
            <w:tcW w:w="326"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(339,321)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0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13,368</w:t>
            </w:r>
          </w:p>
        </w:tc>
      </w:tr>
      <w:tr>
        <w:trPr/>
        <w:tc>
          <w:tcPr>
            <w:tcW w:w="28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895,954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28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59,265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r>
      <w:tr>
        <w:trPr/>
        <w:tc>
          <w:tcPr>
            <w:tcW w:w="28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(242,657)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28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r>
      <w:tr>
        <w:trPr/>
        <w:tc>
          <w:tcPr>
            <w:tcW w:w="28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(242,068)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8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(7,998)</w:t>
            </w:r>
          </w:p>
        </w:tc>
        <w:tc>
          <w:tcPr>
            <w:tcW w:w="326" w:type="dxa"/>
            <w:tcBorders/>
            <w:shd w:fill="CCEEFF" w:val="cle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(7,998)</w:t>
            </w:r>
          </w:p>
        </w:tc>
      </w:tr>
      <w:tr>
        <w:trPr/>
        <w:tc>
          <w:tcPr>
            <w:tcW w:w="284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30, 2025</w:t>
            </w:r>
          </w:p>
        </w:tc>
        <w:tc>
          <w:tcPr>
            <w:tcW w:w="20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42,780,686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263,733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(256,489)</w:t>
            </w:r>
          </w:p>
        </w:tc>
        <w:tc>
          <w:tcPr>
            <w:tcW w:w="326"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(581,389)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0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(735)</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6,552</w:t>
            </w:r>
          </w:p>
        </w:tc>
      </w:tr>
      <w:tr>
        <w:trPr/>
        <w:tc>
          <w:tcPr>
            <w:tcW w:w="28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9" w:name="Tc_Rts9fW6ZA0-WfcOkUGdXWg_12_18"/>
      <w:bookmarkStart w:id="340" w:name="Tc_eMgt5SFHZUixNIH25_sVyg_12_16"/>
      <w:bookmarkStart w:id="341" w:name="Tc_NGVj-nons0SIbsHSiMxBCA_12_15"/>
      <w:bookmarkStart w:id="342" w:name="Tc_-vW_Th8Vy0KfHZ19afhBPw_12_13"/>
      <w:bookmarkStart w:id="343" w:name="Tc_4C2id7xCd0S6mRMa8TkJdg_12_10"/>
      <w:bookmarkStart w:id="344" w:name="Tc_WJajVreTXUuOPYugbil7XA_12_7"/>
      <w:bookmarkStart w:id="345" w:name="Tc_MNdW8_eF20iYSyoa1Tjq3g_12_4"/>
      <w:bookmarkStart w:id="346" w:name="Tc_oTXgoDxRr0GtZ8T3qxk9Pg_12_0"/>
      <w:bookmarkStart w:id="347" w:name="Tc_4cUBFjsAnUe9j5yf_Ggj6A_11_16"/>
      <w:bookmarkStart w:id="348" w:name="Tc_7RnwJFSIZ0mhu5E3v0nq7Q_11_13"/>
      <w:bookmarkStart w:id="349" w:name="Tc_VorO50Krc0qQEQTS7uMQng_11_8"/>
      <w:bookmarkStart w:id="350" w:name="Tc_cDYfjUSrE0Wa3vxapXHmIA_11_5"/>
      <w:bookmarkStart w:id="351" w:name="Tc_W6MGaoczi0meoz1p8eZ1Tw_11_2"/>
      <w:bookmarkStart w:id="352" w:name="Tc_E3ItRnf-w02F6Cna0voMEg_11_0"/>
      <w:bookmarkStart w:id="353" w:name="Tc_solxqHLsLkemIfRq8ZkP1Q_10_16"/>
      <w:bookmarkStart w:id="354" w:name="Tc_8iu66kiBSE-fKgN47V6ABw_10_13"/>
      <w:bookmarkStart w:id="355" w:name="Tc_wNHkh4A3WUSRhA9ZxUX0GQ_10_11"/>
      <w:bookmarkStart w:id="356" w:name="Tc_mgWpsSc09UCO5WVkw1LB6g_10_5"/>
      <w:bookmarkStart w:id="357" w:name="Tc_fpwgX9uC6U-0i8JLsqfEZA_10_2"/>
      <w:bookmarkStart w:id="358" w:name="Tc_uqSLxu03O0Wvah4D9fE8TA_10_0"/>
      <w:bookmarkStart w:id="359" w:name="Tc_1bVzFwn__ES7nEuz50ic0Q_9_19"/>
      <w:bookmarkStart w:id="360" w:name="Tc_VJh8QUJSYE2idaww2yD9XA_9_16"/>
      <w:bookmarkStart w:id="361" w:name="Tc_6pT0MhTerE6I6SpFskkbiw_9_13"/>
      <w:bookmarkStart w:id="362" w:name="Tc_SofAiYvyQ0WxLyCm51m08A_9_11"/>
      <w:bookmarkStart w:id="363" w:name="Tc_5FWEeyTNI0KI8gX86Wf-wA_9_8"/>
      <w:bookmarkStart w:id="364" w:name="Tc_RXN3kO9oyk2JAErDX7GNzw_9_5"/>
      <w:bookmarkStart w:id="365" w:name="Tc_kBjGb5TLsEyWMfq9te3iCQ_9_0"/>
      <w:bookmarkStart w:id="366" w:name="Tc_9KPTe9nkoUW699pRTBlb8Q_8_16"/>
      <w:bookmarkStart w:id="367" w:name="Tc_Y5trd0nPnUO0KEdRp_YI_g_8_13"/>
      <w:bookmarkStart w:id="368" w:name="Tc_956No_vsMkqrRH4VrKRKdg_8_11"/>
      <w:bookmarkStart w:id="369" w:name="Tc_WVZ5bxCIlU-0Oje_QMumIQ_8_5"/>
      <w:bookmarkStart w:id="370" w:name="Tc_c5we-i8irk6r62MrIJ99oQ_8_0"/>
      <w:bookmarkStart w:id="371" w:name="Tc_PJ0mBdfatUeHOLJPOWK4bA_7_16"/>
      <w:bookmarkStart w:id="372" w:name="Tc_jTDI7wB-s06sst96LOqY3w_7_13"/>
      <w:bookmarkStart w:id="373" w:name="Tc_4bu3Xq-NTkmMqKltACtLsA_7_11"/>
      <w:bookmarkStart w:id="374" w:name="Tc_JjrGyuajpkKVUvGl9Ge9qw_7_5"/>
      <w:bookmarkStart w:id="375" w:name="Tc_lnAWMgnLPk2XudHHwcVFZQ_7_0"/>
      <w:bookmarkStart w:id="376" w:name="Tc_qLjleBZD7kWyMUraTyWG2Q_6_19"/>
      <w:bookmarkStart w:id="377" w:name="Tc_rNeBGxvSnEOfeSq0Y-BXXg_6_16"/>
      <w:bookmarkStart w:id="378" w:name="Tc_cS_nQEy6EkmOlicrcmCnMw_6_13"/>
      <w:bookmarkStart w:id="379" w:name="Tc_ipuppatDSka8gHzPSHxsAQ_6_11"/>
      <w:bookmarkStart w:id="380" w:name="Tc_KEF2588GREqbd3cPEFfqkg_6_8"/>
      <w:bookmarkStart w:id="381" w:name="Tc_TX9tWtPHXUqitbRPxsaI1g_6_5"/>
      <w:bookmarkStart w:id="382" w:name="Tc_q6lVTdNzJUGlo3PxP_CkBg_6_0"/>
      <w:bookmarkStart w:id="383" w:name="Tc_2nvIgxCNukOlEmkth9UXIw_5_18"/>
      <w:bookmarkStart w:id="384" w:name="Tc_YV7O1c7n4UClkjSMVvQ_SQ_5_16"/>
      <w:bookmarkStart w:id="385" w:name="Tc_uE2wDqdVXkyiCngh6xXA4A_5_15"/>
      <w:bookmarkStart w:id="386" w:name="Tc_DNi8mwoHFEu6YCAHnTmSWw_5_13"/>
      <w:bookmarkStart w:id="387" w:name="Tc_IwO4mmKm8kikqqdeFCdkyA_5_10"/>
      <w:bookmarkStart w:id="388" w:name="Tc_g7SuBN6rg0-GFC1Ei8fV-A_5_7"/>
      <w:bookmarkStart w:id="389" w:name="Tc_s2gGvswJnUybwznMWU-1Dg_5_4"/>
      <w:bookmarkStart w:id="390" w:name="Tc_yw8wlem-dEafsiM-i5Z08A_5_0"/>
      <w:bookmarkStart w:id="391" w:name="Tc_uQb15tjJY0-YbPZeB2k2xg_4_18"/>
      <w:bookmarkStart w:id="392" w:name="Tc_jd0XFVxx80K30ixDWTUpxg_4_15"/>
      <w:bookmarkStart w:id="393" w:name="Tc_BCywWk2tWEyaDgnFTcnB4Q_4_13"/>
      <w:bookmarkStart w:id="394" w:name="Tc_gd0JZ_CoD0ea_N2Jrn30VA_4_10"/>
      <w:bookmarkStart w:id="395" w:name="Tc_B7EFc51F7keyCPHOlGelSw_4_7"/>
      <w:bookmarkStart w:id="396" w:name="Tc_MWy-97hr0EO9iMXPtGk6tQ_4_4"/>
      <w:bookmarkStart w:id="397" w:name="Tc_nZQKQBdBqUKxJOW8AcPb2Q_4_2"/>
      <w:bookmarkStart w:id="398" w:name="Tc_0LCOOLV0gUq9CdHy2KhSJA_3_18"/>
      <w:bookmarkStart w:id="399" w:name="Tc_Z4fD8kTj1E69WBRSh3VllA_3_13"/>
      <w:bookmarkStart w:id="400" w:name="Tc__v9yQZ4Vr0yPCIqbvPzOkw_3_10"/>
      <w:bookmarkStart w:id="401" w:name="Tc_-UJmFUJTgEOEWnhsaSUhvg_3_7"/>
      <w:bookmarkStart w:id="402" w:name="Tc_Grjd3rGLS0ubjBz7jk71XA_3_2"/>
      <w:bookmarkStart w:id="403" w:name="Tc_h3NwZNwnB0SduEAbooeeQw_2_18"/>
      <w:bookmarkStart w:id="404" w:name="Tc_eZoyGxdBP06v0HRJnvc08A_2_7"/>
      <w:bookmarkStart w:id="405" w:name="Tc_Pa-EWCCIcEmuUwH4hpax6A_1_2"/>
      <w:bookmarkStart w:id="406" w:name="_dbb584a0_7a49_4b5e_8380_df3b50f1be8a"/>
      <w:bookmarkStart w:id="407" w:name="Tc_Rts9fW6ZA0-WfcOkUGdXWg_12_18"/>
      <w:bookmarkStart w:id="408" w:name="Tc_eMgt5SFHZUixNIH25_sVyg_12_16"/>
      <w:bookmarkStart w:id="409" w:name="Tc_NGVj-nons0SIbsHSiMxBCA_12_15"/>
      <w:bookmarkStart w:id="410" w:name="Tc_-vW_Th8Vy0KfHZ19afhBPw_12_13"/>
      <w:bookmarkStart w:id="411" w:name="Tc_4C2id7xCd0S6mRMa8TkJdg_12_10"/>
      <w:bookmarkStart w:id="412" w:name="Tc_WJajVreTXUuOPYugbil7XA_12_7"/>
      <w:bookmarkStart w:id="413" w:name="Tc_MNdW8_eF20iYSyoa1Tjq3g_12_4"/>
      <w:bookmarkStart w:id="414" w:name="Tc_oTXgoDxRr0GtZ8T3qxk9Pg_12_0"/>
      <w:bookmarkStart w:id="415" w:name="Tc_4cUBFjsAnUe9j5yf_Ggj6A_11_16"/>
      <w:bookmarkStart w:id="416" w:name="Tc_7RnwJFSIZ0mhu5E3v0nq7Q_11_13"/>
      <w:bookmarkStart w:id="417" w:name="Tc_VorO50Krc0qQEQTS7uMQng_11_8"/>
      <w:bookmarkStart w:id="418" w:name="Tc_cDYfjUSrE0Wa3vxapXHmIA_11_5"/>
      <w:bookmarkStart w:id="419" w:name="Tc_W6MGaoczi0meoz1p8eZ1Tw_11_2"/>
      <w:bookmarkStart w:id="420" w:name="Tc_E3ItRnf-w02F6Cna0voMEg_11_0"/>
      <w:bookmarkStart w:id="421" w:name="Tc_solxqHLsLkemIfRq8ZkP1Q_10_16"/>
      <w:bookmarkStart w:id="422" w:name="Tc_8iu66kiBSE-fKgN47V6ABw_10_13"/>
      <w:bookmarkStart w:id="423" w:name="Tc_wNHkh4A3WUSRhA9ZxUX0GQ_10_11"/>
      <w:bookmarkStart w:id="424" w:name="Tc_mgWpsSc09UCO5WVkw1LB6g_10_5"/>
      <w:bookmarkStart w:id="425" w:name="Tc_fpwgX9uC6U-0i8JLsqfEZA_10_2"/>
      <w:bookmarkStart w:id="426" w:name="Tc_uqSLxu03O0Wvah4D9fE8TA_10_0"/>
      <w:bookmarkStart w:id="427" w:name="Tc_1bVzFwn__ES7nEuz50ic0Q_9_19"/>
      <w:bookmarkStart w:id="428" w:name="Tc_VJh8QUJSYE2idaww2yD9XA_9_16"/>
      <w:bookmarkStart w:id="429" w:name="Tc_6pT0MhTerE6I6SpFskkbiw_9_13"/>
      <w:bookmarkStart w:id="430" w:name="Tc_SofAiYvyQ0WxLyCm51m08A_9_11"/>
      <w:bookmarkStart w:id="431" w:name="Tc_5FWEeyTNI0KI8gX86Wf-wA_9_8"/>
      <w:bookmarkStart w:id="432" w:name="Tc_RXN3kO9oyk2JAErDX7GNzw_9_5"/>
      <w:bookmarkStart w:id="433" w:name="Tc_kBjGb5TLsEyWMfq9te3iCQ_9_0"/>
      <w:bookmarkStart w:id="434" w:name="Tc_9KPTe9nkoUW699pRTBlb8Q_8_16"/>
      <w:bookmarkStart w:id="435" w:name="Tc_Y5trd0nPnUO0KEdRp_YI_g_8_13"/>
      <w:bookmarkStart w:id="436" w:name="Tc_956No_vsMkqrRH4VrKRKdg_8_11"/>
      <w:bookmarkStart w:id="437" w:name="Tc_WVZ5bxCIlU-0Oje_QMumIQ_8_5"/>
      <w:bookmarkStart w:id="438" w:name="Tc_c5we-i8irk6r62MrIJ99oQ_8_0"/>
      <w:bookmarkStart w:id="439" w:name="Tc_PJ0mBdfatUeHOLJPOWK4bA_7_16"/>
      <w:bookmarkStart w:id="440" w:name="Tc_jTDI7wB-s06sst96LOqY3w_7_13"/>
      <w:bookmarkStart w:id="441" w:name="Tc_4bu3Xq-NTkmMqKltACtLsA_7_11"/>
      <w:bookmarkStart w:id="442" w:name="Tc_JjrGyuajpkKVUvGl9Ge9qw_7_5"/>
      <w:bookmarkStart w:id="443" w:name="Tc_lnAWMgnLPk2XudHHwcVFZQ_7_0"/>
      <w:bookmarkStart w:id="444" w:name="Tc_qLjleBZD7kWyMUraTyWG2Q_6_19"/>
      <w:bookmarkStart w:id="445" w:name="Tc_rNeBGxvSnEOfeSq0Y-BXXg_6_16"/>
      <w:bookmarkStart w:id="446" w:name="Tc_cS_nQEy6EkmOlicrcmCnMw_6_13"/>
      <w:bookmarkStart w:id="447" w:name="Tc_ipuppatDSka8gHzPSHxsAQ_6_11"/>
      <w:bookmarkStart w:id="448" w:name="Tc_KEF2588GREqbd3cPEFfqkg_6_8"/>
      <w:bookmarkStart w:id="449" w:name="Tc_TX9tWtPHXUqitbRPxsaI1g_6_5"/>
      <w:bookmarkStart w:id="450" w:name="Tc_q6lVTdNzJUGlo3PxP_CkBg_6_0"/>
      <w:bookmarkStart w:id="451" w:name="Tc_2nvIgxCNukOlEmkth9UXIw_5_18"/>
      <w:bookmarkStart w:id="452" w:name="Tc_YV7O1c7n4UClkjSMVvQ_SQ_5_16"/>
      <w:bookmarkStart w:id="453" w:name="Tc_uE2wDqdVXkyiCngh6xXA4A_5_15"/>
      <w:bookmarkStart w:id="454" w:name="Tc_DNi8mwoHFEu6YCAHnTmSWw_5_13"/>
      <w:bookmarkStart w:id="455" w:name="Tc_IwO4mmKm8kikqqdeFCdkyA_5_10"/>
      <w:bookmarkStart w:id="456" w:name="Tc_g7SuBN6rg0-GFC1Ei8fV-A_5_7"/>
      <w:bookmarkStart w:id="457" w:name="Tc_s2gGvswJnUybwznMWU-1Dg_5_4"/>
      <w:bookmarkStart w:id="458" w:name="Tc_yw8wlem-dEafsiM-i5Z08A_5_0"/>
      <w:bookmarkStart w:id="459" w:name="Tc_uQb15tjJY0-YbPZeB2k2xg_4_18"/>
      <w:bookmarkStart w:id="460" w:name="Tc_jd0XFVxx80K30ixDWTUpxg_4_15"/>
      <w:bookmarkStart w:id="461" w:name="Tc_BCywWk2tWEyaDgnFTcnB4Q_4_13"/>
      <w:bookmarkStart w:id="462" w:name="Tc_gd0JZ_CoD0ea_N2Jrn30VA_4_10"/>
      <w:bookmarkStart w:id="463" w:name="Tc_B7EFc51F7keyCPHOlGelSw_4_7"/>
      <w:bookmarkStart w:id="464" w:name="Tc_MWy-97hr0EO9iMXPtGk6tQ_4_4"/>
      <w:bookmarkStart w:id="465" w:name="Tc_nZQKQBdBqUKxJOW8AcPb2Q_4_2"/>
      <w:bookmarkStart w:id="466" w:name="Tc_0LCOOLV0gUq9CdHy2KhSJA_3_18"/>
      <w:bookmarkStart w:id="467" w:name="Tc_Z4fD8kTj1E69WBRSh3VllA_3_13"/>
      <w:bookmarkStart w:id="468" w:name="Tc__v9yQZ4Vr0yPCIqbvPzOkw_3_10"/>
      <w:bookmarkStart w:id="469" w:name="Tc_-UJmFUJTgEOEWnhsaSUhvg_3_7"/>
      <w:bookmarkStart w:id="470" w:name="Tc_Grjd3rGLS0ubjBz7jk71XA_3_2"/>
      <w:bookmarkStart w:id="471" w:name="Tc_h3NwZNwnB0SduEAbooeeQw_2_18"/>
      <w:bookmarkStart w:id="472" w:name="Tc_eZoyGxdBP06v0HRJnvc08A_2_7"/>
      <w:bookmarkStart w:id="473" w:name="Tc_Pa-EWCCIcEmuUwH4hpax6A_1_2"/>
      <w:bookmarkStart w:id="474" w:name="_dbb584a0_7a49_4b5e_8380_df3b50f1be8a"/>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tbl>
      <w:tblPr>
        <w:tblW w:w="10061" w:type="dxa"/>
        <w:jc w:val="left"/>
        <w:tblInd w:w="0" w:type="dxa"/>
        <w:tblLayout w:type="fixed"/>
        <w:tblCellMar>
          <w:top w:w="0" w:type="dxa"/>
          <w:left w:w="0" w:type="dxa"/>
          <w:bottom w:w="0" w:type="dxa"/>
          <w:right w:w="0" w:type="dxa"/>
        </w:tblCellMar>
      </w:tblPr>
      <w:tblGrid>
        <w:gridCol w:w="2791"/>
        <w:gridCol w:w="206"/>
        <w:gridCol w:w="796"/>
        <w:gridCol w:w="326"/>
        <w:gridCol w:w="196"/>
        <w:gridCol w:w="375"/>
        <w:gridCol w:w="326"/>
        <w:gridCol w:w="181"/>
        <w:gridCol w:w="601"/>
        <w:gridCol w:w="326"/>
        <w:gridCol w:w="181"/>
        <w:gridCol w:w="691"/>
        <w:gridCol w:w="326"/>
        <w:gridCol w:w="511"/>
        <w:gridCol w:w="326"/>
        <w:gridCol w:w="196"/>
        <w:gridCol w:w="375"/>
        <w:gridCol w:w="326"/>
        <w:gridCol w:w="232"/>
        <w:gridCol w:w="773"/>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72285" cy="175260"/>
                      <wp:effectExtent l="0" t="0" r="0" b="0"/>
                      <wp:wrapNone/>
                      <wp:docPr id="39" name="Frame38"/>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0810" cy="175260"/>
                      <wp:effectExtent l="0" t="0" r="0" b="0"/>
                      <wp:wrapNone/>
                      <wp:docPr id="40" name="Frame3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41" name="Frame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2"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3"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8125" cy="175260"/>
                      <wp:effectExtent l="0" t="0" r="0" b="0"/>
                      <wp:wrapNone/>
                      <wp:docPr id="44" name="Frame4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4935" cy="175260"/>
                      <wp:effectExtent l="0" t="0" r="0" b="0"/>
                      <wp:wrapNone/>
                      <wp:docPr id="46" name="Frame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81635" cy="175260"/>
                      <wp:effectExtent l="0" t="0" r="0" b="0"/>
                      <wp:wrapNone/>
                      <wp:docPr id="47" name="Frame4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14935" cy="175260"/>
                      <wp:effectExtent l="0" t="0" r="0" b="0"/>
                      <wp:wrapNone/>
                      <wp:docPr id="49" name="Frame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0" name="Frame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24485" cy="175260"/>
                      <wp:effectExtent l="0" t="0" r="0" b="0"/>
                      <wp:wrapNone/>
                      <wp:docPr id="52" name="Frame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4"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38125" cy="175260"/>
                      <wp:effectExtent l="0" t="0" r="0" b="0"/>
                      <wp:wrapNone/>
                      <wp:docPr id="55" name="Frame5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7320" cy="175260"/>
                      <wp:effectExtent l="0" t="0" r="0" b="0"/>
                      <wp:wrapNone/>
                      <wp:docPr id="57" name="Frame5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0855" cy="175260"/>
                      <wp:effectExtent l="0" t="0" r="0" b="0"/>
                      <wp:wrapNone/>
                      <wp:docPr id="58" name="Frame57"/>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7064"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Thirteen Weeks Ended March 31, 2024</w:t>
            </w:r>
          </w:p>
        </w:tc>
      </w:tr>
      <w:tr>
        <w:trPr/>
        <w:tc>
          <w:tcPr>
            <w:tcW w:w="27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69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4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7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791" w:type="dxa"/>
            <w:tcBorders/>
            <w:shd w:fill="CCEEFF" w:val="clear"/>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Balance as of December 31, 2023</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40,618,206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254,116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(193,205)</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60,952</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983,460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ESPP</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52,043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(396,708)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(5,736)</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(5,736)</w:t>
            </w:r>
          </w:p>
        </w:tc>
      </w:tr>
      <w:tr>
        <w:trPr/>
        <w:tc>
          <w:tcPr>
            <w:tcW w:w="2791"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31, 2024</w:t>
            </w:r>
          </w:p>
        </w:tc>
        <w:tc>
          <w:tcPr>
            <w:tcW w:w="20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41,255,966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256,646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(198,941)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57,746</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5" w:name="_f34fd22e_2456_4e9e_ba8a_13e8eea6fb67"/>
      <w:bookmarkEnd w:id="475"/>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476" w:name="CondensedConsolidatedStatementsofCashFlo"/>
      <w:bookmarkEnd w:id="47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shd w:fill="FFFF00" w:val="clear"/>
        </w:rPr>
      </w:pPr>
      <w:r>
        <w:rPr>
          <w:shd w:fill="FFFF00" w:val="clear"/>
        </w:rPr>
        <w:t>​</w:t>
      </w:r>
    </w:p>
    <w:p>
      <w:pPr>
        <w:pStyle w:val="Normal"/>
        <w:bidi w:val="0"/>
        <w:spacing w:before="0" w:after="0"/>
        <w:jc w:val="left"/>
        <w:rPr>
          <w:sz w:val="4"/>
          <w:szCs w:val="4"/>
        </w:rPr>
      </w:pPr>
      <w:r>
        <w:rPr>
          <w:sz w:val="4"/>
          <w:szCs w:val="4"/>
        </w:rPr>
      </w:r>
      <w:bookmarkStart w:id="477" w:name="Tc_07OKGfg8bUi_jjUY9qMvFw_38_5"/>
      <w:bookmarkStart w:id="478" w:name="Tc_5Yd1De6wxECzjmF1gP_EHQ_37_5"/>
      <w:bookmarkStart w:id="479" w:name="Tc_2wtByIPA8U2tXi4U7Tc0wA_37_2"/>
      <w:bookmarkStart w:id="480" w:name="Tc_5UE4D6Mzwk-WOYwSpoQ1-Q_37_0"/>
      <w:bookmarkStart w:id="481" w:name="Tc_fEAVJB8TjEWT2bTHivtoGg_36_0"/>
      <w:bookmarkStart w:id="482" w:name="Tc_zAQtfCtKlE6vviMr6b9WTQ_35_0"/>
      <w:bookmarkStart w:id="483" w:name="Tc_9Ft7HxB35kuAouP8QEjz9Q_34_0"/>
      <w:bookmarkStart w:id="484" w:name="Tc_kq98rlDZrU6y27awThfAog_33_6"/>
      <w:bookmarkStart w:id="485" w:name="Tc_87DDsqgyo0mJYgErajsSBA_33_0"/>
      <w:bookmarkStart w:id="486" w:name="Tc_qL-pzWt7_UKVpmx3auzIsw_32_0"/>
      <w:bookmarkStart w:id="487" w:name="Tc_Q0NjFfbrj0-mhtag9UHOaw_31_0"/>
      <w:bookmarkStart w:id="488" w:name="Tc_ZEriRJS5h0aihSjfqPxoJA_30_0"/>
      <w:bookmarkStart w:id="489" w:name="Tc_Vo57_RuNoE2JBEvPtYmsJQ_29_0"/>
      <w:bookmarkStart w:id="490" w:name="Tc_OJ3BkPWm8Ea7hcLaFrRdQw_28_3"/>
      <w:bookmarkStart w:id="491" w:name="Tc_PlJ7myIybkCveI5AUg5gAQ_28_0"/>
      <w:bookmarkStart w:id="492" w:name="Tc_EbqhUyLZc0mf5iynsFrhdg_27_0"/>
      <w:bookmarkStart w:id="493" w:name="Tc_Sv9SQ9Usc0CG5EquxwlnMQ_26_0"/>
      <w:bookmarkStart w:id="494" w:name="Tc_grBliwFJQ0KkzPP2iBFkMA_25_0"/>
      <w:bookmarkStart w:id="495" w:name="Tc_m00vq4-920CPqMrBy01TWw_24_0"/>
      <w:bookmarkStart w:id="496" w:name="Tc_yuQHKuT-SUus5k_mc0u3Fg_23_0"/>
      <w:bookmarkStart w:id="497" w:name="Tc_UqfdhU5FCkeH_qU8HGqhsA_22_0"/>
      <w:bookmarkStart w:id="498" w:name="Tc_2g2WfJU0iEC3lrjT-Qr_dQ_21_0"/>
      <w:bookmarkStart w:id="499" w:name="Tc_sEzEPWIepUiyqWmaX6Wcxg_20_0"/>
      <w:bookmarkStart w:id="500" w:name="Tc_qcXn3vcfcEue2__-Az7Vuw_19_0"/>
      <w:bookmarkStart w:id="501" w:name="Tc_Q_lhzkKrVEyeYdlvWiaWcw_18_0"/>
      <w:bookmarkStart w:id="502" w:name="Tc_MCWR8oWKFE-HzOB7cQMJHQ_17_0"/>
      <w:bookmarkStart w:id="503" w:name="Tc_l7L7S2tPok6NRJyCDK2X4w_16_0"/>
      <w:bookmarkStart w:id="504" w:name="Tc_FiSfF-iZkkqOBMB658CHRw_15_0"/>
      <w:bookmarkStart w:id="505" w:name="Tc_eqBcys960EeEkmHr-ji48g_14_0"/>
      <w:bookmarkStart w:id="506" w:name="Tc_CLGCk_kDcku08EkPsbn0Yg_13_0"/>
      <w:bookmarkStart w:id="507" w:name="Tc_9pNDolc4UUuXwc5cjf44pQ_12_0"/>
      <w:bookmarkStart w:id="508" w:name="Tc_xSYtSEn35EOtFwT6nHZB6g_11_0"/>
      <w:bookmarkStart w:id="509" w:name="Tc_xgt3QowZB0ayvceXI6wLyw_10_0"/>
      <w:bookmarkStart w:id="510" w:name="Tc_CxuZH0NMXECibsXdhlXTyA_9_6"/>
      <w:bookmarkStart w:id="511" w:name="Tc_ew8f0lx6XE29NX54pvLgXg_9_0"/>
      <w:bookmarkStart w:id="512" w:name="Tc_MR4RFcTm50iWUZCDuDiBiw_8_0"/>
      <w:bookmarkStart w:id="513" w:name="Tc_Aefo93VfvEWwmjr6ccnuhg_7_0"/>
      <w:bookmarkStart w:id="514" w:name="Tc_R5ZBznOhm0epMPiYHpULQA_6_0"/>
      <w:bookmarkStart w:id="515" w:name="Tc_TnSfxZf20kCHyBHkiYxwDQ_5_5"/>
      <w:bookmarkStart w:id="516" w:name="Tc_QnKsua5_H06B_I5HNRblHg_5_2"/>
      <w:bookmarkStart w:id="517" w:name="Tc_kgFL_S8-ekao1ST96IScwQ_5_0"/>
      <w:bookmarkStart w:id="518" w:name="Tc_zVwKWwyGcUSiIqYRkviu6Q_4_0"/>
      <w:bookmarkStart w:id="519" w:name="Tc_IGGjy3N0nUqPeSs1sg6A8A_3_5"/>
      <w:bookmarkStart w:id="520" w:name="Tc_xJyra8cSl0G1lItopbGJ_g_3_2"/>
      <w:bookmarkStart w:id="521" w:name="Tc_v_KvmFX3fkeEs9f1z6JFbg_2_5"/>
      <w:bookmarkStart w:id="522" w:name="Tc_TGN2Qz7wbUmW3os30AyC1A_2_2"/>
      <w:bookmarkStart w:id="523" w:name="Tc_xxZNSH1W5EuCENfR5dSDtA_1_2"/>
      <w:bookmarkStart w:id="524" w:name="_9e91f264_e05c_4b91_9aa3_8f6652224d63"/>
      <w:bookmarkStart w:id="525" w:name="Tc_07OKGfg8bUi_jjUY9qMvFw_38_5"/>
      <w:bookmarkStart w:id="526" w:name="Tc_5Yd1De6wxECzjmF1gP_EHQ_37_5"/>
      <w:bookmarkStart w:id="527" w:name="Tc_2wtByIPA8U2tXi4U7Tc0wA_37_2"/>
      <w:bookmarkStart w:id="528" w:name="Tc_5UE4D6Mzwk-WOYwSpoQ1-Q_37_0"/>
      <w:bookmarkStart w:id="529" w:name="Tc_fEAVJB8TjEWT2bTHivtoGg_36_0"/>
      <w:bookmarkStart w:id="530" w:name="Tc_zAQtfCtKlE6vviMr6b9WTQ_35_0"/>
      <w:bookmarkStart w:id="531" w:name="Tc_9Ft7HxB35kuAouP8QEjz9Q_34_0"/>
      <w:bookmarkStart w:id="532" w:name="Tc_kq98rlDZrU6y27awThfAog_33_6"/>
      <w:bookmarkStart w:id="533" w:name="Tc_87DDsqgyo0mJYgErajsSBA_33_0"/>
      <w:bookmarkStart w:id="534" w:name="Tc_qL-pzWt7_UKVpmx3auzIsw_32_0"/>
      <w:bookmarkStart w:id="535" w:name="Tc_Q0NjFfbrj0-mhtag9UHOaw_31_0"/>
      <w:bookmarkStart w:id="536" w:name="Tc_ZEriRJS5h0aihSjfqPxoJA_30_0"/>
      <w:bookmarkStart w:id="537" w:name="Tc_Vo57_RuNoE2JBEvPtYmsJQ_29_0"/>
      <w:bookmarkStart w:id="538" w:name="Tc_OJ3BkPWm8Ea7hcLaFrRdQw_28_3"/>
      <w:bookmarkStart w:id="539" w:name="Tc_PlJ7myIybkCveI5AUg5gAQ_28_0"/>
      <w:bookmarkStart w:id="540" w:name="Tc_EbqhUyLZc0mf5iynsFrhdg_27_0"/>
      <w:bookmarkStart w:id="541" w:name="Tc_Sv9SQ9Usc0CG5EquxwlnMQ_26_0"/>
      <w:bookmarkStart w:id="542" w:name="Tc_grBliwFJQ0KkzPP2iBFkMA_25_0"/>
      <w:bookmarkStart w:id="543" w:name="Tc_m00vq4-920CPqMrBy01TWw_24_0"/>
      <w:bookmarkStart w:id="544" w:name="Tc_yuQHKuT-SUus5k_mc0u3Fg_23_0"/>
      <w:bookmarkStart w:id="545" w:name="Tc_UqfdhU5FCkeH_qU8HGqhsA_22_0"/>
      <w:bookmarkStart w:id="546" w:name="Tc_2g2WfJU0iEC3lrjT-Qr_dQ_21_0"/>
      <w:bookmarkStart w:id="547" w:name="Tc_sEzEPWIepUiyqWmaX6Wcxg_20_0"/>
      <w:bookmarkStart w:id="548" w:name="Tc_qcXn3vcfcEue2__-Az7Vuw_19_0"/>
      <w:bookmarkStart w:id="549" w:name="Tc_Q_lhzkKrVEyeYdlvWiaWcw_18_0"/>
      <w:bookmarkStart w:id="550" w:name="Tc_MCWR8oWKFE-HzOB7cQMJHQ_17_0"/>
      <w:bookmarkStart w:id="551" w:name="Tc_l7L7S2tPok6NRJyCDK2X4w_16_0"/>
      <w:bookmarkStart w:id="552" w:name="Tc_FiSfF-iZkkqOBMB658CHRw_15_0"/>
      <w:bookmarkStart w:id="553" w:name="Tc_eqBcys960EeEkmHr-ji48g_14_0"/>
      <w:bookmarkStart w:id="554" w:name="Tc_CLGCk_kDcku08EkPsbn0Yg_13_0"/>
      <w:bookmarkStart w:id="555" w:name="Tc_9pNDolc4UUuXwc5cjf44pQ_12_0"/>
      <w:bookmarkStart w:id="556" w:name="Tc_xSYtSEn35EOtFwT6nHZB6g_11_0"/>
      <w:bookmarkStart w:id="557" w:name="Tc_xgt3QowZB0ayvceXI6wLyw_10_0"/>
      <w:bookmarkStart w:id="558" w:name="Tc_CxuZH0NMXECibsXdhlXTyA_9_6"/>
      <w:bookmarkStart w:id="559" w:name="Tc_ew8f0lx6XE29NX54pvLgXg_9_0"/>
      <w:bookmarkStart w:id="560" w:name="Tc_MR4RFcTm50iWUZCDuDiBiw_8_0"/>
      <w:bookmarkStart w:id="561" w:name="Tc_Aefo93VfvEWwmjr6ccnuhg_7_0"/>
      <w:bookmarkStart w:id="562" w:name="Tc_R5ZBznOhm0epMPiYHpULQA_6_0"/>
      <w:bookmarkStart w:id="563" w:name="Tc_TnSfxZf20kCHyBHkiYxwDQ_5_5"/>
      <w:bookmarkStart w:id="564" w:name="Tc_QnKsua5_H06B_I5HNRblHg_5_2"/>
      <w:bookmarkStart w:id="565" w:name="Tc_kgFL_S8-ekao1ST96IScwQ_5_0"/>
      <w:bookmarkStart w:id="566" w:name="Tc_zVwKWwyGcUSiIqYRkviu6Q_4_0"/>
      <w:bookmarkStart w:id="567" w:name="Tc_IGGjy3N0nUqPeSs1sg6A8A_3_5"/>
      <w:bookmarkStart w:id="568" w:name="Tc_xJyra8cSl0G1lItopbGJ_g_3_2"/>
      <w:bookmarkStart w:id="569" w:name="Tc_v_KvmFX3fkeEs9f1z6JFbg_2_5"/>
      <w:bookmarkStart w:id="570" w:name="Tc_TGN2Qz7wbUmW3os30AyC1A_2_2"/>
      <w:bookmarkStart w:id="571" w:name="Tc_xxZNSH1W5EuCENfR5dSDtA_1_2"/>
      <w:bookmarkStart w:id="572" w:name="_9e91f264_e05c_4b91_9aa3_8f6652224d63"/>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tbl>
      <w:tblPr>
        <w:tblW w:w="8787" w:type="dxa"/>
        <w:jc w:val="left"/>
        <w:tblInd w:w="0" w:type="dxa"/>
        <w:tblLayout w:type="fixed"/>
        <w:tblCellMar>
          <w:top w:w="0" w:type="dxa"/>
          <w:left w:w="0" w:type="dxa"/>
          <w:bottom w:w="0" w:type="dxa"/>
          <w:right w:w="0" w:type="dxa"/>
        </w:tblCellMar>
      </w:tblPr>
      <w:tblGrid>
        <w:gridCol w:w="6181"/>
        <w:gridCol w:w="326"/>
        <w:gridCol w:w="202"/>
        <w:gridCol w:w="653"/>
        <w:gridCol w:w="326"/>
        <w:gridCol w:w="202"/>
        <w:gridCol w:w="743"/>
        <w:gridCol w:w="154"/>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924935" cy="175260"/>
                      <wp:effectExtent l="0" t="0" r="0" b="0"/>
                      <wp:wrapNone/>
                      <wp:docPr id="59" name="Frame58"/>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8270" cy="175260"/>
                      <wp:effectExtent l="0" t="0" r="0" b="0"/>
                      <wp:wrapNone/>
                      <wp:docPr id="61" name="Frame60"/>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4655" cy="175260"/>
                      <wp:effectExtent l="0" t="0" r="0" b="0"/>
                      <wp:wrapNone/>
                      <wp:docPr id="62" name="Frame61"/>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8270" cy="175260"/>
                      <wp:effectExtent l="0" t="0" r="0" b="0"/>
                      <wp:wrapNone/>
                      <wp:docPr id="64" name="Frame63"/>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71805" cy="175260"/>
                      <wp:effectExtent l="0" t="0" r="0" b="0"/>
                      <wp:wrapNone/>
                      <wp:docPr id="65" name="Frame64"/>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7790" cy="175260"/>
                      <wp:effectExtent l="0" t="0" r="0" b="0"/>
                      <wp:wrapNone/>
                      <wp:docPr id="66" name="Frame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2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4" w:type="dxa"/>
            <w:tcBorders/>
            <w:vAlign w:val="center"/>
          </w:tcPr>
          <w:p>
            <w:pPr>
              <w:pStyle w:val="TableContents"/>
              <w:bidi w:val="0"/>
              <w:spacing w:before="0" w:after="0"/>
              <w:ind w:left="0" w:right="0" w:hanging="0"/>
              <w:jc w:val="center"/>
              <w:rPr/>
            </w:pPr>
            <w:r>
              <w:rPr/>
              <w:t>​</w: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618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(7,998)</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(5,736)</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lease modification</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expense</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1,474</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1,934</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(5,632)</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(1,951)</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21,198</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20,053</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8,322</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software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revolving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revolving line of credit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(12,000)</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Employee Stock Purchase Plan (ESPP)</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 obligations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Payments for tax withholdings related to vesting of RSUs </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(3,599)</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 xml:space="preserve">Net increase in cash and cash equivalents </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2,983</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8,616</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5,489</w:t>
            </w:r>
          </w:p>
        </w:tc>
        <w:tc>
          <w:tcPr>
            <w:tcW w:w="154" w:type="dxa"/>
            <w:tcBorders/>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3" w:name="Tc_19J-Dd-D3UiMg29UveK0KQ_15_6"/>
      <w:bookmarkStart w:id="574" w:name="Tc_wFy_TCrvE0ahEwDdwHtHJg_14_6"/>
      <w:bookmarkStart w:id="575" w:name="Tc_0Dge0KBej0WJ7tH5rDoh4g_14_5"/>
      <w:bookmarkStart w:id="576" w:name="Tc_Equ_sAjRBUWnFjVOtAR4zw_14_2"/>
      <w:bookmarkStart w:id="577" w:name="Tc_-I_jix-YvU2aLY5Wz9Lc3w_14_0"/>
      <w:bookmarkStart w:id="578" w:name="Tc_0d-hiWr8dEezyoijlKkbRQ_13_5"/>
      <w:bookmarkStart w:id="579" w:name="Tc_WPckReFf5UOZ0zpxzSGFQQ_13_2"/>
      <w:bookmarkStart w:id="580" w:name="Tc_fRRjlpv-lEeitNZLFW6lHQ_13_0"/>
      <w:bookmarkStart w:id="581" w:name="Tc_RmPT1YpzK0KoA5wulPlMNQ_12_6"/>
      <w:bookmarkStart w:id="582" w:name="Tc_OY14tKzE40ueXLfIHu8HEQ_12_5"/>
      <w:bookmarkStart w:id="583" w:name="Tc_oYndvZcjaEK3o9iwrsxbsQ_12_2"/>
      <w:bookmarkStart w:id="584" w:name="Tc_LdBc-kNj8kicHxZ_cnNuXA_12_0"/>
      <w:bookmarkStart w:id="585" w:name="Tc_8P0vB9YQnUCzBHNJTLfjkA_11_0"/>
      <w:bookmarkStart w:id="586" w:name="Tc_M2ME8DAiFEeder9lO3Us2Q_9_5"/>
      <w:bookmarkStart w:id="587" w:name="Tc_kv_aBz_7W0yfhfKO_BXBXA_9_2"/>
      <w:bookmarkStart w:id="588" w:name="Tc_6k1X_e8EaEuxBoGsGu-MLw_9_0"/>
      <w:bookmarkStart w:id="589" w:name="Tc_XDEV5RXHrEqTIne5KHbD-A_8_5"/>
      <w:bookmarkStart w:id="590" w:name="Tc_yg9Khnl-BEmvGSYSY75tcw_8_2"/>
      <w:bookmarkStart w:id="591" w:name="Tc_2euWtuVMtEew6gb8GG8ATg_8_0"/>
      <w:bookmarkStart w:id="592" w:name="Tc_uTQNlAWpuEuE8H0airad6g_7_5"/>
      <w:bookmarkStart w:id="593" w:name="Tc_-2LESNUhDUyQFMDBSpIP-Q_7_2"/>
      <w:bookmarkStart w:id="594" w:name="Tc_JOvvoIuhr0mgTSfAf2kIrA_7_0"/>
      <w:bookmarkStart w:id="595" w:name="Tc_CYV8xJvlzUCMiHUbWjFUIQ_6_5"/>
      <w:bookmarkStart w:id="596" w:name="Tc_IGM71CIH00akKAk7v_c4vQ_6_2"/>
      <w:bookmarkStart w:id="597" w:name="Tc_zj9YzqjeFU6yMmrq_Tj4XA_6_0"/>
      <w:bookmarkStart w:id="598" w:name="Tc_Crm5zYC1wEWbXN91x5-FwQ_5_0"/>
      <w:bookmarkStart w:id="599" w:name="Tc_rN_Bc9RAIUmSfyZi3qI3CA_4_0"/>
      <w:bookmarkStart w:id="600" w:name="Tc_JbwZlggj5Eupgsvty_1XWw_3_5"/>
      <w:bookmarkStart w:id="601" w:name="Tc_CSUNlo-LBEaLdehmTZRL6A_3_2"/>
      <w:bookmarkStart w:id="602" w:name="Tc_u7Oy2Jd0pEG2J12muXlH9g_2_5"/>
      <w:bookmarkStart w:id="603" w:name="Tc_BjklLa9jJ0CDVexwrV_Hog_2_2"/>
      <w:bookmarkStart w:id="604" w:name="Tc_pYozMH355UqQzVuwfzUWPg_1_2"/>
      <w:bookmarkStart w:id="605" w:name="_e8ebb597_397a_4e9b_8c17_daa6018deb26"/>
      <w:bookmarkStart w:id="606" w:name="Tc_19J-Dd-D3UiMg29UveK0KQ_15_6"/>
      <w:bookmarkStart w:id="607" w:name="Tc_wFy_TCrvE0ahEwDdwHtHJg_14_6"/>
      <w:bookmarkStart w:id="608" w:name="Tc_0Dge0KBej0WJ7tH5rDoh4g_14_5"/>
      <w:bookmarkStart w:id="609" w:name="Tc_Equ_sAjRBUWnFjVOtAR4zw_14_2"/>
      <w:bookmarkStart w:id="610" w:name="Tc_-I_jix-YvU2aLY5Wz9Lc3w_14_0"/>
      <w:bookmarkStart w:id="611" w:name="Tc_0d-hiWr8dEezyoijlKkbRQ_13_5"/>
      <w:bookmarkStart w:id="612" w:name="Tc_WPckReFf5UOZ0zpxzSGFQQ_13_2"/>
      <w:bookmarkStart w:id="613" w:name="Tc_fRRjlpv-lEeitNZLFW6lHQ_13_0"/>
      <w:bookmarkStart w:id="614" w:name="Tc_RmPT1YpzK0KoA5wulPlMNQ_12_6"/>
      <w:bookmarkStart w:id="615" w:name="Tc_OY14tKzE40ueXLfIHu8HEQ_12_5"/>
      <w:bookmarkStart w:id="616" w:name="Tc_oYndvZcjaEK3o9iwrsxbsQ_12_2"/>
      <w:bookmarkStart w:id="617" w:name="Tc_LdBc-kNj8kicHxZ_cnNuXA_12_0"/>
      <w:bookmarkStart w:id="618" w:name="Tc_8P0vB9YQnUCzBHNJTLfjkA_11_0"/>
      <w:bookmarkStart w:id="619" w:name="Tc_M2ME8DAiFEeder9lO3Us2Q_9_5"/>
      <w:bookmarkStart w:id="620" w:name="Tc_kv_aBz_7W0yfhfKO_BXBXA_9_2"/>
      <w:bookmarkStart w:id="621" w:name="Tc_6k1X_e8EaEuxBoGsGu-MLw_9_0"/>
      <w:bookmarkStart w:id="622" w:name="Tc_XDEV5RXHrEqTIne5KHbD-A_8_5"/>
      <w:bookmarkStart w:id="623" w:name="Tc_yg9Khnl-BEmvGSYSY75tcw_8_2"/>
      <w:bookmarkStart w:id="624" w:name="Tc_2euWtuVMtEew6gb8GG8ATg_8_0"/>
      <w:bookmarkStart w:id="625" w:name="Tc_uTQNlAWpuEuE8H0airad6g_7_5"/>
      <w:bookmarkStart w:id="626" w:name="Tc_-2LESNUhDUyQFMDBSpIP-Q_7_2"/>
      <w:bookmarkStart w:id="627" w:name="Tc_JOvvoIuhr0mgTSfAf2kIrA_7_0"/>
      <w:bookmarkStart w:id="628" w:name="Tc_CYV8xJvlzUCMiHUbWjFUIQ_6_5"/>
      <w:bookmarkStart w:id="629" w:name="Tc_IGM71CIH00akKAk7v_c4vQ_6_2"/>
      <w:bookmarkStart w:id="630" w:name="Tc_zj9YzqjeFU6yMmrq_Tj4XA_6_0"/>
      <w:bookmarkStart w:id="631" w:name="Tc_Crm5zYC1wEWbXN91x5-FwQ_5_0"/>
      <w:bookmarkStart w:id="632" w:name="Tc_rN_Bc9RAIUmSfyZi3qI3CA_4_0"/>
      <w:bookmarkStart w:id="633" w:name="Tc_JbwZlggj5Eupgsvty_1XWw_3_5"/>
      <w:bookmarkStart w:id="634" w:name="Tc_CSUNlo-LBEaLdehmTZRL6A_3_2"/>
      <w:bookmarkStart w:id="635" w:name="Tc_u7Oy2Jd0pEG2J12muXlH9g_2_5"/>
      <w:bookmarkStart w:id="636" w:name="Tc_BjklLa9jJ0CDVexwrV_Hog_2_2"/>
      <w:bookmarkStart w:id="637" w:name="Tc_pYozMH355UqQzVuwfzUWPg_1_2"/>
      <w:bookmarkStart w:id="638" w:name="_e8ebb597_397a_4e9b_8c17_daa6018deb26"/>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tbl>
      <w:tblPr>
        <w:tblW w:w="9149" w:type="dxa"/>
        <w:jc w:val="left"/>
        <w:tblInd w:w="0" w:type="dxa"/>
        <w:tblLayout w:type="fixed"/>
        <w:tblCellMar>
          <w:top w:w="0" w:type="dxa"/>
          <w:left w:w="0" w:type="dxa"/>
          <w:bottom w:w="0" w:type="dxa"/>
          <w:right w:w="0" w:type="dxa"/>
        </w:tblCellMar>
      </w:tblPr>
      <w:tblGrid>
        <w:gridCol w:w="6316"/>
        <w:gridCol w:w="326"/>
        <w:gridCol w:w="202"/>
        <w:gridCol w:w="653"/>
        <w:gridCol w:w="326"/>
        <w:gridCol w:w="196"/>
        <w:gridCol w:w="976"/>
        <w:gridCol w:w="154"/>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010660" cy="175260"/>
                      <wp:effectExtent l="0" t="0" r="0" b="0"/>
                      <wp:wrapNone/>
                      <wp:docPr id="67" name="Frame66"/>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8270" cy="175260"/>
                      <wp:effectExtent l="0" t="0" r="0" b="0"/>
                      <wp:wrapNone/>
                      <wp:docPr id="69" name="Frame68"/>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14655" cy="175260"/>
                      <wp:effectExtent l="0" t="0" r="0" b="0"/>
                      <wp:wrapNone/>
                      <wp:docPr id="70" name="Frame69"/>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2"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19760" cy="175260"/>
                      <wp:effectExtent l="0" t="0" r="0" b="0"/>
                      <wp:wrapNone/>
                      <wp:docPr id="73" name="Frame7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97790" cy="175260"/>
                      <wp:effectExtent l="0" t="0" r="0" b="0"/>
                      <wp:wrapNone/>
                      <wp:docPr id="74" name="Frame7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26" w:type="dxa"/>
            <w:tcBorders/>
            <w:vAlign w:val="center"/>
          </w:tcPr>
          <w:p>
            <w:pPr>
              <w:pStyle w:val="TableContents"/>
              <w:bidi w:val="0"/>
              <w:spacing w:before="0" w:after="0"/>
              <w:ind w:left="0" w:right="0" w:hanging="0"/>
              <w:jc w:val="left"/>
              <w:rPr/>
            </w:pPr>
            <w:r>
              <w:rPr/>
              <w:t>​</w:t>
            </w:r>
          </w:p>
        </w:tc>
        <w:tc>
          <w:tcPr>
            <w:tcW w:w="11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(refunded) during the period for:</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taxes, net </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771</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Remeasurement of operating lease right-of-use assets for lease modification</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Capitalized software development costs included in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(Concluded)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39" w:name="_Hlk182216626"/>
      <w:bookmarkStart w:id="640" w:name="_cp_change_3"/>
      <w:bookmarkStart w:id="641" w:name="DescriptionofBusinessOrganizationandLiqu"/>
      <w:bookmarkStart w:id="642" w:name="_cp_change_4"/>
      <w:bookmarkEnd w:id="639"/>
      <w:bookmarkEnd w:id="640"/>
      <w:bookmarkEnd w:id="641"/>
      <w:bookmarkEnd w:id="642"/>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 Organization and Liquidity</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Business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a reorganization, Lulu’s Fashion Lounge Holdings, Inc., a Delaware Corporation (“Lulus”, “we”, “our”, or the “Company”), was formed on August 25, 2017 as a holding company and its primary asset is an indirect membership interest in Lulu’s Fashion Lounge, LLC (“Lulus LLC”). Prior to the Company’s initial public offering, the Company was majority-owned by Lulu’s Holdings, L.P. (the “LP”). In connection with the Company’s initial public offering, the LP was liquidated.</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LLC was founded in 1996, starting as a vintage boutique in Chico, California that began selling online in 2005 and transitioned to a purely online business in 2008. The LP was formed in 2014 as a holding company and purchased 100% of Lulus LLC’s outstanding common stock in 2014. The Company, based in Chico, California, through Lulus LLC, is a customer-driven, digitally-native, attainable luxury fashion brand for women, offering modern, unapologetically feminine designs at accessible prices for all of life’s fashionable moments.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Macroeconomic Trends on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student loan repayment resumption, tariffs or bans, world events, wars and domestic and international conflicts, existing and future laws and regulations, directives (including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going concern basis, which contemplates the realization of assets and the satisfaction of liabilities in the normal course of business. During the thirteen weeks ended March 30, 2025, and March 31, 2024, the Company incurred net losses of $8.0 million and $5.7 million, respectively. As of March 30, 2025, we had $8.6 million in cash and cash equivalents and $10.1 million in outstanding amounts under the credit agreement with Bank of America for the Company’s revolving facility (“2021 Credit Agreement”), as amended, classified within total current liabilities. During the thirteen weeks ended March 30, 2025, we borrowed no amounts under the 2021 Credit Agreement, as amended, and repaid $3.0 million of the outstanding balance. See Note 5, </w:t>
      </w:r>
      <w:r>
        <w:rPr>
          <w:rFonts w:ascii="Times New Roman;Times;serif" w:hAnsi="Times New Roman;Times;serif"/>
          <w:i/>
          <w:sz w:val="20"/>
        </w:rPr>
        <w:t>Debt</w:t>
      </w:r>
      <w:r>
        <w:rPr>
          <w:rFonts w:ascii="Times New Roman;Times;serif" w:hAnsi="Times New Roman;Times;serif"/>
          <w:sz w:val="20"/>
        </w:rPr>
        <w:t> of the accompanying notes to our condensed consolidated financial statements for further information on the 2021 Credit Agreement, as amended</w:t>
      </w:r>
      <w:r>
        <w:rPr>
          <w:rFonts w:ascii="Times New Roman;Times;serif" w:hAnsi="Times New Roman;Times;serif"/>
          <w:color w:val="212529"/>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We are actively seeking alternative debt financing and continuing to take certain cash conservation measures, including adjustments to marketing and other fixed and variable costs and capital spend to meet our obligations as needed.  As the ability to raise additional debt financing is outside of management’s control, we cannot conclude that management’s plans will be effectively implemented within twelve months from the date the condensed consolidated financial statements are issued. Accordingly, we have concluded that these plans do not alleviate substantial doubt about the Company's ability to continue as a going concern. The condensed consolidated financial statements do not reflect any adjustments </w:t>
      </w:r>
      <w:r>
        <w:rPr>
          <w:rFonts w:ascii="Times New Roman;Times;serif" w:hAnsi="Times New Roman;Times;serif"/>
          <w:sz w:val="20"/>
        </w:rPr>
        <w:t>that might result from</w:t>
      </w:r>
      <w:r>
        <w:rPr>
          <w:rFonts w:ascii="Times New Roman;Times;serif" w:hAnsi="Times New Roman;Times;serif"/>
          <w:color w:val="212529"/>
          <w:sz w:val="20"/>
          <w:shd w:fill="FFFFFF" w:val="clear"/>
        </w:rPr>
        <w:t> the outcome of this uncertainty</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52-week or 53-week period ending on the Sunday nearest to December 31. The fiscal years ending December 28, 2025 and ended December 29, 2024 consist of 52-weeks.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United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30, 2025 and its results of operations for the thirteen weeks ended March 30, 2025 and March 31, 2024 and its cash flows for the thirteen weeks ended March 30, 2025 and March 31, 2024. The results of operations for the thirteen weeks ended March 30, 2025 are not necessarily indicative of the results to be expected for the fiscal year ending December 28, 2025 or for any other future annual or interim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condensed consolidated balance sheet as of December 29, 2024 was derived from the Company’s audited consolidated financial statements, which are included in the Company’s Annual Report on Form 10-K as filed with the SEC on March 27, 2025</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shd w:fill="FFFFFF" w:val="clear"/>
        </w:rPr>
        <w:t>significant accounting policies used in preparation of these condensed consolidated financial statements are consistent with those discussed in Note 2 to the audited consolidated financial statements included in the Company’s Annual Report on Form 10-K for the year ended December 29, 2024, except as noted below and within the "Recently Issued Accounting Pronouncements" section.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fair value of equity awards and valuation of goodwill and other long-lived assets.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condensed consolidated financial statements in future periods. As future events and their effects cannot be determined with precision, actual results could materially differ from those estimates and assumptions.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cash and cash equivalents. Such amounts may exceed federally insured limits. The Company reduces credit risk by depositing its cash with a major credit-worthy financial institution within the United States. To date, the Company has not experienced any losses on its cash deposits. As of March 30, 2025, </w:t>
      </w:r>
      <w:r>
        <w:rPr>
          <w:rFonts w:ascii="Times New Roman;Times;serif" w:hAnsi="Times New Roman;Times;serif"/>
          <w:color w:val="212529"/>
          <w:sz w:val="20"/>
          <w:shd w:fill="FFFFFF" w:val="clear"/>
        </w:rPr>
        <w:t>a single wholesale customer represented 12% of the Company’s accounts receivable balance</w:t>
      </w:r>
      <w:r>
        <w:rPr>
          <w:rFonts w:ascii="Times New Roman;Times;serif" w:hAnsi="Times New Roman;Times;serif"/>
          <w:sz w:val="20"/>
        </w:rPr>
        <w:t>. As of December 29, 2024, no single customer represented greater than 10% of the Company’s accounts receivable balance. No single customer accounted for greater than 10% of the Company’s net revenue during the thirteen weeks ended March 30, 2025 and March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sells stored-value gift cards to customers and offers merchandise credit stored-value cards for certain returns and promotions.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weeks ended March 30, 2025 and March 31, 2024 was not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643" w:name="Tc_Gg1-153CTECzoLm28xzRDg_9_0"/>
      <w:bookmarkStart w:id="644" w:name="Tc_t8PBYiXNzkC8ZsXnXqOEkQ_8_2"/>
      <w:bookmarkStart w:id="645" w:name="Tc_fntR3MBQIEa9sjrTSJUXOw_8_0"/>
      <w:bookmarkStart w:id="646" w:name="Tc_YLTX1k1izEyKmcZ8kTP5Bw_7_0"/>
      <w:bookmarkStart w:id="647" w:name="Tc_ki7blYtwVEm65TXv00laTw_6_0"/>
      <w:bookmarkStart w:id="648" w:name="Tc_sBqxrIyBJEq0A_mMBJkD-Q_5_0"/>
      <w:bookmarkStart w:id="649" w:name="Tc_lCo8TpHOYE6C5Spp9zZ5yA_4_2"/>
      <w:bookmarkStart w:id="650" w:name="Tc_vhQyTbWbSEyjjYgfx4wmQQ_4_0"/>
      <w:bookmarkStart w:id="651" w:name="Tc_9MAy4e2qyEiic1o5OEp_uA_3_0"/>
      <w:bookmarkStart w:id="652" w:name="Tc_t93unnLP3U-_70yCjn5DBQ_2_4"/>
      <w:bookmarkStart w:id="653" w:name="Tc_mOGujt-sDUO9A2K6bEOg3g_2_2"/>
      <w:bookmarkStart w:id="654" w:name="Tc_vNIPpheO6Uqes5Hpbjhcdg_1_2"/>
      <w:bookmarkStart w:id="655" w:name="Tc_-o5L_I1Os0mp1l8TPWEjLw_6_0"/>
      <w:bookmarkStart w:id="656" w:name="Tc_QzeDAOjpsE-4TaL2wA_FqA_5_0"/>
      <w:bookmarkStart w:id="657" w:name="Tc_ZQ72lzcFqkqdXyssQbi0EA_4_0"/>
      <w:bookmarkStart w:id="658" w:name="Tc_Uc2uA1NQfka3S4ydR9K_cQ_3_5"/>
      <w:bookmarkStart w:id="659" w:name="Tc_bkN70Tzxs0eyp4XcPclnmg_3_2"/>
      <w:bookmarkStart w:id="660" w:name="Tc_kI3XFq6rp0adAziFLpcUfQ_3_0"/>
      <w:bookmarkStart w:id="661" w:name="Tc_HhOkQ1Ped0G9GvQHnTjAjg_2_5"/>
      <w:bookmarkStart w:id="662" w:name="Tc_2jaNB1Fbd06GKkHnZeCsCw_2_2"/>
      <w:bookmarkStart w:id="663" w:name="Tc_yn51bPNT906LUWZeLXeZYQ_1_5"/>
      <w:bookmarkStart w:id="664" w:name="Tc_hvD5j9JDcEmNKLCT0161-w_1_2"/>
      <w:bookmarkStart w:id="665" w:name="_9ccf7e4f_3f92_40c4_bc31_46abeffb666c"/>
      <w:bookmarkStart w:id="666" w:name="Tc_R67tJ6gL7EWbaoc--egt_w_6_0"/>
      <w:bookmarkStart w:id="667" w:name="Tc_jFILO1kqkkOpMCBcvgPKTA_5_0"/>
      <w:bookmarkStart w:id="668" w:name="Tc_KSv4sTkdGkq5zJUTrsrx6Q_4_0"/>
      <w:bookmarkStart w:id="669" w:name="Tc_K23F4Ksiu02ZKHQ-b-Zp5A_3_5"/>
      <w:bookmarkStart w:id="670" w:name="Tc_bXGD0lQofE2r7tjXOXli5A_3_2"/>
      <w:bookmarkStart w:id="671" w:name="Tc_NNPgHmIuukGCvPh5k4ZfTQ_3_0"/>
      <w:bookmarkStart w:id="672" w:name="Tc_z4a_89KLgUWe3FubvzJF0A_2_5"/>
      <w:bookmarkStart w:id="673" w:name="Tc_ZmtXURmgYEigyP4jqIJVrA_2_2"/>
      <w:bookmarkStart w:id="674" w:name="Tc_2WM7s8ISGEWo3PN5mndegA_1_5"/>
      <w:bookmarkStart w:id="675" w:name="Tc_MTicPFWGvkONEGE4a31ywQ_1_2"/>
      <w:bookmarkStart w:id="676" w:name="_47da9e46_bd4d_4bef_ab6b_3c71838dc47f"/>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Fonts w:ascii="Times New Roman;Times;serif" w:hAnsi="Times New Roman;Times;serif"/>
          <w:sz w:val="20"/>
        </w:rPr>
        <w:t>The following table summarizes the significant changes in the contract liabilities balances included in accrued expenses and other current liabilities during the thirteen weeks ended March 30, 2025 and March 31, 2024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655"/>
        <w:gridCol w:w="326"/>
        <w:gridCol w:w="261"/>
        <w:gridCol w:w="525"/>
        <w:gridCol w:w="326"/>
        <w:gridCol w:w="236"/>
        <w:gridCol w:w="876"/>
      </w:tblGrid>
      <w:tr>
        <w:trPr/>
        <w:tc>
          <w:tcPr>
            <w:tcW w:w="7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860925" cy="175260"/>
                      <wp:effectExtent l="0" t="0" r="0" b="0"/>
                      <wp:wrapNone/>
                      <wp:docPr id="75" name="Frame74"/>
                      <a:graphic xmlns:a="http://schemas.openxmlformats.org/drawingml/2006/main">
                        <a:graphicData uri="http://schemas.microsoft.com/office/word/2010/wordprocessingShape">
                          <wps:wsp>
                            <wps:cNvSpPr txBox="1"/>
                            <wps:spPr>
                              <a:xfrm>
                                <a:off x="0" y="0"/>
                                <a:ext cx="4860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65735" cy="175260"/>
                      <wp:effectExtent l="0" t="0" r="0" b="0"/>
                      <wp:wrapNone/>
                      <wp:docPr id="77" name="Frame7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33375" cy="175260"/>
                      <wp:effectExtent l="0" t="0" r="0" b="0"/>
                      <wp:wrapNone/>
                      <wp:docPr id="78" name="Frame77"/>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9860" cy="175260"/>
                      <wp:effectExtent l="0" t="0" r="0" b="0"/>
                      <wp:wrapNone/>
                      <wp:docPr id="80" name="Frame7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56260" cy="175260"/>
                      <wp:effectExtent l="0" t="0" r="0" b="0"/>
                      <wp:wrapNone/>
                      <wp:docPr id="81" name="Frame80"/>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Deferred </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29, 2024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17,883</w:t>
            </w:r>
          </w:p>
        </w:tc>
      </w:tr>
      <w:tr>
        <w:trPr/>
        <w:tc>
          <w:tcPr>
            <w:tcW w:w="76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76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(including breakage)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w:t>
            </w:r>
          </w:p>
        </w:tc>
      </w:tr>
      <w:tr>
        <w:trPr/>
        <w:tc>
          <w:tcPr>
            <w:tcW w:w="76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30, 2025</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19,012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91"/>
        <w:gridCol w:w="326"/>
        <w:gridCol w:w="250"/>
        <w:gridCol w:w="501"/>
        <w:gridCol w:w="326"/>
        <w:gridCol w:w="236"/>
        <w:gridCol w:w="875"/>
      </w:tblGrid>
      <w:tr>
        <w:trPr/>
        <w:tc>
          <w:tcPr>
            <w:tcW w:w="7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883785" cy="175260"/>
                      <wp:effectExtent l="0" t="0" r="0" b="0"/>
                      <wp:wrapNone/>
                      <wp:docPr id="82" name="Frame81"/>
                      <a:graphic xmlns:a="http://schemas.openxmlformats.org/drawingml/2006/main">
                        <a:graphicData uri="http://schemas.microsoft.com/office/word/2010/wordprocessingShape">
                          <wps:wsp>
                            <wps:cNvSpPr txBox="1"/>
                            <wps:spPr>
                              <a:xfrm>
                                <a:off x="0" y="0"/>
                                <a:ext cx="488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58750" cy="175260"/>
                      <wp:effectExtent l="0" t="0" r="0" b="0"/>
                      <wp:wrapNone/>
                      <wp:docPr id="84" name="Frame8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18135" cy="175260"/>
                      <wp:effectExtent l="0" t="0" r="0" b="0"/>
                      <wp:wrapNone/>
                      <wp:docPr id="85" name="Frame84"/>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9860" cy="175260"/>
                      <wp:effectExtent l="0" t="0" r="0" b="0"/>
                      <wp:wrapNone/>
                      <wp:docPr id="87" name="Frame8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55625" cy="175260"/>
                      <wp:effectExtent l="0" t="0" r="0" b="0"/>
                      <wp:wrapNone/>
                      <wp:docPr id="88" name="Frame87"/>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26" w:type="dxa"/>
            <w:tcBorders/>
            <w:vAlign w:val="center"/>
          </w:tcPr>
          <w:p>
            <w:pPr>
              <w:pStyle w:val="TableContents"/>
              <w:bidi w:val="0"/>
              <w:spacing w:before="0" w:after="0"/>
              <w:ind w:left="0" w:right="0" w:hanging="0"/>
              <w:jc w:val="center"/>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r>
      <w:tr>
        <w:trPr/>
        <w:tc>
          <w:tcPr>
            <w:tcW w:w="7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76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(including breakage)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r>
      <w:tr>
        <w:trPr/>
        <w:tc>
          <w:tcPr>
            <w:tcW w:w="7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31, 2024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13,209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Advertising costs included in selling and marketing expenses were $12.0 million and $13.0 million for the thirteen weeks ended </w:t>
      </w:r>
      <w:r>
        <w:rPr>
          <w:rFonts w:ascii="Times New Roman;Times;serif" w:hAnsi="Times New Roman;Times;serif"/>
          <w:sz w:val="20"/>
        </w:rPr>
        <w:t>March 30, 2025 and March 31, 2024</w:t>
      </w:r>
      <w:r>
        <w:rPr>
          <w:rFonts w:ascii="Times New Roman;Times;serif" w:hAnsi="Times New Roman;Times;serif"/>
          <w:sz w:val="20"/>
          <w:shd w:fill="FFFFFF" w:val="clear"/>
        </w:rPr>
        <w:t>, respectively.</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Basic net loss per share attributable to common stockholders is computed using net loss attributable to common stockholders divided by the weighted average number of common shares outstanding during the period. Diluted net loss per share attributable to common stockholders represents net loss attributable to common stockholders divided by the weighted average number of common shares outstanding during the period, including the effects of any dilutive securities outstanding. Due to the net loss for all periods presented, no potentially dilutive securities had an impact on diluted loss per share for any period. </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securities were excluded from the computation of diluted net loss per share attributable to common stockholders for the periods presented because including them would have been anti-dilutive (on an as-converted basis)</w:t>
      </w:r>
      <w:r>
        <w:rPr>
          <w:rFonts w:ascii="Times New Roman;Times;serif" w:hAnsi="Times New Roman;Times;serif"/>
          <w:sz w:val="20"/>
        </w:rPr>
        <w:t>:</w:t>
      </w:r>
    </w:p>
    <w:p>
      <w:pPr>
        <w:pStyle w:val="TextBody"/>
        <w:bidi w:val="0"/>
        <w:spacing w:before="0" w:after="240"/>
        <w:ind w:left="0" w:right="0" w:firstLine="360"/>
        <w:jc w:val="both"/>
        <w:rPr/>
      </w:pPr>
      <w:r>
        <w:rPr/>
        <w:t>​</w:t>
      </w:r>
    </w:p>
    <w:tbl>
      <w:tblPr>
        <w:tblW w:w="5055" w:type="dxa"/>
        <w:jc w:val="left"/>
        <w:tblInd w:w="0" w:type="dxa"/>
        <w:tblLayout w:type="fixed"/>
        <w:tblCellMar>
          <w:top w:w="0" w:type="dxa"/>
          <w:left w:w="0" w:type="dxa"/>
          <w:bottom w:w="0" w:type="dxa"/>
          <w:right w:w="0" w:type="dxa"/>
        </w:tblCellMar>
      </w:tblPr>
      <w:tblGrid>
        <w:gridCol w:w="2161"/>
        <w:gridCol w:w="109"/>
        <w:gridCol w:w="1261"/>
        <w:gridCol w:w="109"/>
        <w:gridCol w:w="1261"/>
        <w:gridCol w:w="15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72235" cy="175260"/>
                      <wp:effectExtent l="0" t="0" r="0" b="0"/>
                      <wp:wrapNone/>
                      <wp:docPr id="89" name="Frame88"/>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800735" cy="175260"/>
                      <wp:effectExtent l="0" t="0" r="0" b="0"/>
                      <wp:wrapNone/>
                      <wp:docPr id="91" name="Frame9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2"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800735" cy="175260"/>
                      <wp:effectExtent l="0" t="0" r="0" b="0"/>
                      <wp:wrapNone/>
                      <wp:docPr id="93" name="Frame9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7790" cy="175260"/>
                      <wp:effectExtent l="0" t="0" r="0" b="0"/>
                      <wp:wrapNone/>
                      <wp:docPr id="94" name="Frame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3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 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54"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restricted stock</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15,617</w:t>
            </w:r>
          </w:p>
        </w:tc>
        <w:tc>
          <w:tcPr>
            <w:tcW w:w="154"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RSUs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3,178,651</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4,453,480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PSUs</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2,511,571</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2,161,571</w:t>
            </w:r>
          </w:p>
        </w:tc>
        <w:tc>
          <w:tcPr>
            <w:tcW w:w="154"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ESPP shares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236,335</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161,237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2023 Bonus Plan</w:t>
            </w:r>
          </w:p>
        </w:tc>
        <w:tc>
          <w:tcPr>
            <w:tcW w:w="109"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95,912</w:t>
            </w:r>
          </w:p>
        </w:tc>
        <w:tc>
          <w:tcPr>
            <w:tcW w:w="154"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6,087,954</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7,049,214</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677" w:name="Tc_ZLV94pjKYkmHZGjFzdsg9w_6_7"/>
      <w:bookmarkStart w:id="678" w:name="Tc_4X8uxbVJCk-hWeaK7d0guA_6_0"/>
      <w:bookmarkStart w:id="679" w:name="Tc_k-khRiGhO0iNvc8sZJOt8A_5_10"/>
      <w:bookmarkStart w:id="680" w:name="Tc_ouK6RnbJ5EGPhrCGtCKQBw_5_7"/>
      <w:bookmarkStart w:id="681" w:name="Tc_0vH0i8U5fEKiIgl-0VqE8w_5_4"/>
      <w:bookmarkStart w:id="682" w:name="Tc_71Tkh6dtr06HqwFAPKuVoA_5_0"/>
      <w:bookmarkStart w:id="683" w:name="Tc_pMtWMYvl7kK7juKXbygx_A_4_11"/>
      <w:bookmarkStart w:id="684" w:name="Tc_ILlTFzX_n0i2DnOqGjDiBw_4_7"/>
      <w:bookmarkStart w:id="685" w:name="Tc_CsOcLYWf3k6x0CIvzo-l_g_4_4"/>
      <w:bookmarkStart w:id="686" w:name="Tc_4QFzCR-WEUm4jd_3b2dw-w_4_2"/>
      <w:bookmarkStart w:id="687" w:name="Tc_28Rx1n5bmkO1Cgg-xJH7pg_4_0"/>
      <w:bookmarkStart w:id="688" w:name="Tc_0YlZ4-LT8USqHezh_-MUCQ_3_11"/>
      <w:bookmarkStart w:id="689" w:name="Tc_j2x6pySAXEmnCpSXS81xdw_3_7"/>
      <w:bookmarkStart w:id="690" w:name="Tc_32-tpelMr0C4a7DED2QFKA_3_4"/>
      <w:bookmarkStart w:id="691" w:name="Tc_rSKloGwBW06UwU8YK0X0ig_3_2"/>
      <w:bookmarkStart w:id="692" w:name="Tc_9nTv6hepD02SjbkFzuh0IQ_2_11"/>
      <w:bookmarkStart w:id="693" w:name="Tc_JYqaBQk_20GAgzpTLArlTQ_2_7"/>
      <w:bookmarkStart w:id="694" w:name="Tc_WIXsefFwYkaSxHkSBnIPng_2_4"/>
      <w:bookmarkStart w:id="695" w:name="Tc_tEQ-s2YyokGO85LXaN-bMg_2_2"/>
      <w:bookmarkStart w:id="696" w:name="Tc_7Kq4RkbmxkWflscNikmnQw_1_11"/>
      <w:bookmarkStart w:id="697" w:name="_7e49239c_6c12_4e5f_9ef0_afd7ec790ea4"/>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Pr>
          <w:rFonts w:ascii="Times New Roman;Times;serif" w:hAnsi="Times New Roman;Times;serif"/>
          <w:b/>
          <w:i/>
          <w:sz w:val="20"/>
          <w:shd w:fill="FFFFFF" w:val="clear"/>
        </w:rPr>
        <w:t>2024 Stock</w:t>
      </w:r>
      <w:r>
        <w:rPr>
          <w:rFonts w:ascii="Times New Roman;Times;serif" w:hAnsi="Times New Roman;Times;serif"/>
          <w:sz w:val="20"/>
        </w:rPr>
        <w:t xml:space="preserve"> </w:t>
      </w:r>
      <w:r>
        <w:rPr>
          <w:rFonts w:ascii="Times New Roman;Times;serif" w:hAnsi="Times New Roman;Times;serif"/>
          <w:b/>
          <w:i/>
          <w:sz w:val="20"/>
        </w:rPr>
        <w:t>Repurchase Program</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3, 2024, the Company's Board of Directors authorized a stock repurchase program to repurchase up to $2.5 million of our common stock (the “2024 Repurchase Program”). During the thirteen weeks ended March 30, 2025, we repurchased 242,068 shares of common stock in open market transactions pursuant to a 10b5-1 purchase plan</w:t>
      </w:r>
      <w:r>
        <w:rPr>
          <w:rFonts w:ascii="Times New Roman;Times;serif" w:hAnsi="Times New Roman;Times;serif"/>
          <w:sz w:val="20"/>
          <w:shd w:fill="FFFFFF" w:val="clear"/>
        </w:rPr>
        <w: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30, 2025, $1.8 million remained available under the 2024 Repurchase Program authorization. </w:t>
      </w:r>
      <w:r>
        <w:rPr>
          <w:rFonts w:ascii="Times New Roman;Times;serif" w:hAnsi="Times New Roman;Times;serif"/>
          <w:sz w:val="20"/>
          <w:shd w:fill="FFFFFF" w:val="clear"/>
        </w:rPr>
        <w:t xml:space="preserve">The actual timing, number, and value of shares repurchased in the future will be determined by the Company in its discretion and will depend on a number of factors, </w:t>
      </w:r>
      <w:r>
        <w:rPr>
          <w:rFonts w:ascii="Times New Roman;Times;serif" w:hAnsi="Times New Roman;Times;serif"/>
          <w:sz w:val="20"/>
        </w:rPr>
        <w:t>including market conditions, applicable legal requirements, our capital needs, and whether there is a better alternative use of capital. The 2024 Stock Repurchase Program does not require us to purchase a minimum number of shares, and may be suspended, modified or discontinued at any time without prior notice.</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table below summarizes the share repurchase activity during the thirteen weeks ended March 30, 2025 under our 2024 Repurchase Program:</w:t>
      </w:r>
    </w:p>
    <w:p>
      <w:pPr>
        <w:pStyle w:val="TextBody"/>
        <w:bidi w:val="0"/>
        <w:spacing w:before="0" w:after="0"/>
        <w:ind w:left="0" w:right="0" w:hanging="0"/>
        <w:jc w:val="left"/>
        <w:rPr/>
      </w:pPr>
      <w:r>
        <w:rPr/>
        <w:t>​</w:t>
      </w:r>
    </w:p>
    <w:tbl>
      <w:tblPr>
        <w:tblW w:w="9487" w:type="dxa"/>
        <w:jc w:val="left"/>
        <w:tblInd w:w="0" w:type="dxa"/>
        <w:tblLayout w:type="fixed"/>
        <w:tblCellMar>
          <w:top w:w="0" w:type="dxa"/>
          <w:left w:w="0" w:type="dxa"/>
          <w:bottom w:w="0" w:type="dxa"/>
          <w:right w:w="0" w:type="dxa"/>
        </w:tblCellMar>
      </w:tblPr>
      <w:tblGrid>
        <w:gridCol w:w="3226"/>
        <w:gridCol w:w="326"/>
        <w:gridCol w:w="1126"/>
        <w:gridCol w:w="326"/>
        <w:gridCol w:w="373"/>
        <w:gridCol w:w="828"/>
        <w:gridCol w:w="109"/>
        <w:gridCol w:w="211"/>
        <w:gridCol w:w="781"/>
        <w:gridCol w:w="109"/>
        <w:gridCol w:w="211"/>
        <w:gridCol w:w="186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48510" cy="175260"/>
                      <wp:effectExtent l="0" t="0" r="0" b="0"/>
                      <wp:wrapNone/>
                      <wp:docPr id="95" name="Frame94"/>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15010" cy="175260"/>
                      <wp:effectExtent l="0" t="0" r="0" b="0"/>
                      <wp:wrapNone/>
                      <wp:docPr id="97" name="Frame9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36855" cy="175260"/>
                      <wp:effectExtent l="0" t="0" r="0" b="0"/>
                      <wp:wrapNone/>
                      <wp:docPr id="99" name="Frame98"/>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25780" cy="175260"/>
                      <wp:effectExtent l="0" t="0" r="0" b="0"/>
                      <wp:wrapNone/>
                      <wp:docPr id="100" name="Frame99"/>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1"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2"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3"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4"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181735" cy="175260"/>
                      <wp:effectExtent l="0" t="0" r="0" b="0"/>
                      <wp:wrapNone/>
                      <wp:docPr id="106" name="Frame105"/>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w:t>
            </w:r>
          </w:p>
        </w:tc>
      </w:tr>
      <w:tr>
        <w:trPr/>
        <w:tc>
          <w:tcPr>
            <w:tcW w:w="32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Purchased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Thirteen weeks ended March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242,068</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239,120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1,765,142</w:t>
            </w:r>
          </w:p>
        </w:tc>
      </w:tr>
      <w:tr>
        <w:trPr/>
        <w:tc>
          <w:tcPr>
            <w:tcW w:w="32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242,068</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239,120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8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shares of common stock were purchased in open market transactions pursuant to a 10b5-1 purchase plan entered into by the Company</w:t>
            </w:r>
            <w:r>
              <w:rPr>
                <w:rFonts w:ascii="Times New Roman;Times;serif" w:hAnsi="Times New Roman;Times;serif"/>
                <w:b w:val="false"/>
                <w:i w:val="false"/>
                <w:caps w:val="false"/>
                <w:smallCaps w:val="false"/>
                <w:sz w:val="20"/>
              </w:rPr>
              <w:t>.</w:t>
            </w:r>
          </w:p>
        </w:tc>
      </w:tr>
    </w:tbl>
    <w:tbl>
      <w:tblPr>
        <w:tblW w:w="3711" w:type="dxa"/>
        <w:jc w:val="left"/>
        <w:tblInd w:w="0" w:type="dxa"/>
        <w:tblLayout w:type="fixed"/>
        <w:tblCellMar>
          <w:top w:w="28" w:type="dxa"/>
          <w:left w:w="28" w:type="dxa"/>
          <w:bottom w:w="28" w:type="dxa"/>
          <w:right w:w="28" w:type="dxa"/>
        </w:tblCellMar>
      </w:tblPr>
      <w:tblGrid>
        <w:gridCol w:w="124"/>
        <w:gridCol w:w="331"/>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broker commissions.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Goodwill, Tradename and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tests for goodwill impairment at the reporting unit level on the first day of the fourth quarter of each year and between annual tests if significant indicators exist that would suggest the Company's goodwill and intangible assets could potentially be impaired.  The Company monitors macroeconomic conditions, industry, competitive environment conditions, overall financial performance, reporting unit specific events and market considerations, among others, for events which could trigger the need for an interim impairment analysis.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performed a qualitative assessment of its goodwill, tradename and intangible assets as of March 30, 2025 and determined that it is more likely than not that the fair value of its reporting unit exceeds the carrying value of the reporting unit. As a result, there was no impairment related to the goodwill, tradename and intangible assets as of March 30,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FASB issued ASU 2023-09, </w:t>
      </w:r>
      <w:r>
        <w:rPr>
          <w:rFonts w:ascii="Times New Roman;Times;serif" w:hAnsi="Times New Roman;Times;serif"/>
          <w:i/>
          <w:sz w:val="20"/>
        </w:rPr>
        <w:t>Income Taxes (Topic 740): Improvements to Income Tax Disclosures, </w:t>
      </w:r>
      <w:r>
        <w:rPr>
          <w:rFonts w:ascii="Times New Roman;Times;serif" w:hAnsi="Times New Roman;Times;serif"/>
          <w:sz w:val="20"/>
        </w:rPr>
        <w:t>which amends existing income tax disclosure guidance, primarily requiring more detailed disclosure for income taxes paid and the effective tax rate reconciliation. ASU 2023-09 is effective for annual reporting periods beginning after December 15, 2024, with early adoption permitted and can be applied on either a prospective or retroactive basis. We are currently evaluating this pronouncement to determine its impact on our income tax disclosures.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March 2024, FASB issued ASU 2024-01, </w:t>
      </w:r>
      <w:r>
        <w:rPr>
          <w:rFonts w:ascii="Times New Roman;Times;serif" w:hAnsi="Times New Roman;Times;serif"/>
          <w:i/>
          <w:sz w:val="20"/>
        </w:rPr>
        <w:t>Compensation—Stock Compensation (Topic 718): Scope Application of Profits Interest and Similar Awards, </w:t>
      </w:r>
      <w:r>
        <w:rPr>
          <w:rFonts w:ascii="Times New Roman;Times;serif" w:hAnsi="Times New Roman;Times;serif"/>
          <w:sz w:val="20"/>
        </w:rPr>
        <w:t xml:space="preserve">which is intended to reduce complexity in determining whether a profits interest award is subject to the guidance in Topic 718 and existing diversity in practice. ASU 2024-01 is effective for annual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reporting periods beginning after December 15, 2024, with early adoption permitted and can be applied on either a prospective or retroactive basis. We are currently evaluating this pronouncement to determine its impact on our equity-based compensation expense.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March 2024, FASB issued ASU 2024-02, </w:t>
      </w:r>
      <w:r>
        <w:rPr>
          <w:rFonts w:ascii="Times New Roman;Times;serif" w:hAnsi="Times New Roman;Times;serif"/>
          <w:i/>
          <w:sz w:val="20"/>
        </w:rPr>
        <w:t>Codification Improvements—Amendments to Remove References to the Concepts Statements, </w:t>
      </w:r>
      <w:r>
        <w:rPr>
          <w:rFonts w:ascii="Times New Roman;Times;serif" w:hAnsi="Times New Roman;Times;serif"/>
          <w:sz w:val="20"/>
        </w:rPr>
        <w:t xml:space="preserve">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We are currently evaluating this pronouncement to determine its impact on our </w:t>
      </w:r>
      <w:r>
        <w:rPr>
          <w:rFonts w:ascii="Times New Roman;Times;serif" w:hAnsi="Times New Roman;Times;serif"/>
          <w:color w:val="212529"/>
          <w:sz w:val="20"/>
        </w:rPr>
        <w:t>condensed consolidated financial statements and related disclosures</w:t>
      </w:r>
      <w:r>
        <w:rPr>
          <w:rFonts w:ascii="Times New Roman;Times;serif" w:hAnsi="Times New Roman;Times;serif"/>
          <w:sz w:val="20"/>
        </w:rPr>
        <w: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In November 2024, the FASB issued ASU 2024-03, </w:t>
      </w:r>
      <w:r>
        <w:rPr>
          <w:rFonts w:ascii="Times New Roman;Times;serif" w:hAnsi="Times New Roman;Times;serif"/>
          <w:i/>
          <w:color w:val="212529"/>
          <w:sz w:val="20"/>
        </w:rPr>
        <w:t>Income Statement—Reporting Comprehensive Income—Expense Disaggregation Disclosures (Subtopic 220-40)</w:t>
      </w:r>
      <w:r>
        <w:rPr>
          <w:rFonts w:ascii="Times New Roman;Times;serif" w:hAnsi="Times New Roman;Times;serif"/>
          <w:color w:val="212529"/>
          <w:sz w:val="20"/>
        </w:rPr>
        <w:t>, and in January 2025, the FASB issued ASU No. 2025-01, Income Statement—Reporting Comprehensive Income—Expense Disaggregation Disclosures (</w:t>
      </w:r>
      <w:r>
        <w:rPr>
          <w:rFonts w:ascii="Times New Roman;Times;serif" w:hAnsi="Times New Roman;Times;serif"/>
          <w:i/>
          <w:color w:val="212529"/>
          <w:sz w:val="20"/>
        </w:rPr>
        <w:t>Subtopic 220-40</w:t>
      </w:r>
      <w:r>
        <w:rPr>
          <w:rFonts w:ascii="Times New Roman;Times;serif" w:hAnsi="Times New Roman;Times;serif"/>
          <w:color w:val="212529"/>
          <w:sz w:val="20"/>
        </w:rPr>
        <w:t xml:space="preserve">): Clarifying the Effective Date, which clarified the effective date of ASU 2024-03. ASU 2024-03 </w:t>
      </w:r>
      <w:r>
        <w:rPr>
          <w:rFonts w:ascii="Times New Roman;Times;serif" w:hAnsi="Times New Roman;Times;serif"/>
          <w:sz w:val="20"/>
        </w:rPr>
        <w:t xml:space="preserve">is intended to disclose specific information about certain costs and expenses in the notes to its financial statements for interim and annual reporting periods. ASU 2024-03 is effective for annual reporting periods beginning after December 15, 2026, and interim periods within annual reporting periods beginning after December 15, 2027. Early adoption of ASU 2024-03 is permitted. </w:t>
      </w:r>
      <w:r>
        <w:rPr>
          <w:rFonts w:ascii="Times New Roman;Times;serif" w:hAnsi="Times New Roman;Times;serif"/>
          <w:color w:val="212529"/>
          <w:sz w:val="20"/>
        </w:rPr>
        <w:t xml:space="preserve">We are currently evaluating this pronouncement to determine its impact on our condensed consolidated financial statements and related disclosures. </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In November 2024, FASB issued ASU 2024-04, </w:t>
      </w:r>
      <w:r>
        <w:rPr>
          <w:rFonts w:ascii="Times New Roman;Times;serif" w:hAnsi="Times New Roman;Times;serif"/>
          <w:i/>
          <w:color w:val="212529"/>
          <w:sz w:val="20"/>
        </w:rPr>
        <w:t>Debt—Debt with Conversion and Other Options (Subtopic 470-20): Induced Conversions of Convertible Debt Instruments</w:t>
      </w:r>
      <w:r>
        <w:rPr>
          <w:rFonts w:ascii="Times New Roman;Times;serif" w:hAnsi="Times New Roman;Times;serif"/>
          <w:color w:val="212529"/>
          <w:sz w:val="20"/>
        </w:rPr>
        <w:t>, which amends ASC 470-20 to clarify the requirements related to accounting for the settlement of a debt instrument as an induced conversion. ASU 2024-04 is effective for annual reporting periods beginning after December 15, 2025 (and interim reporting periods within those annual reporting periods). Early adoption is permitted as of the beginning of a reporting period if the entity has also adopted ASU 2020-06 for that period. We are currently evaluating this pronouncement to determine its impact on our financial statements and related disclosures.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Company’s financial instruments consist of cash and cash equivalents, accounts payable, accounts receivable, accrued expenses, revolving line of credit, goodwill and tradename. As of March 30, 2025 and</w:t>
      </w:r>
      <w:r>
        <w:rPr>
          <w:rFonts w:ascii="Times New Roman;Times;serif" w:hAnsi="Times New Roman;Times;serif"/>
          <w:sz w:val="20"/>
        </w:rPr>
        <w:t xml:space="preserve"> December 29, 2024</w:t>
      </w:r>
      <w:r>
        <w:rPr>
          <w:rFonts w:ascii="Times New Roman;Times;serif" w:hAnsi="Times New Roman;Times;serif"/>
          <w:sz w:val="20"/>
          <w:shd w:fill="FFFFFF" w:val="clear"/>
        </w:rPr>
        <w:t xml:space="preserve">, the carrying values of cash and cash equivalents, accounts payable and accrued expenses and other current liabilities approximate their fair value, due to their short-term maturities. As of </w:t>
      </w:r>
      <w:r>
        <w:rPr>
          <w:rFonts w:ascii="Times New Roman;Times;serif" w:hAnsi="Times New Roman;Times;serif"/>
          <w:sz w:val="20"/>
        </w:rPr>
        <w:t>March 30, 2025, t</w:t>
      </w:r>
      <w:r>
        <w:rPr>
          <w:rFonts w:ascii="Times New Roman;Times;serif" w:hAnsi="Times New Roman;Times;serif"/>
          <w:sz w:val="20"/>
          <w:shd w:fill="FFFFFF" w:val="clear"/>
        </w:rPr>
        <w:t>he fair value of the Company’s 2021 Credit Agreement, as amended, (see Note 5, </w:t>
      </w:r>
      <w:r>
        <w:rPr>
          <w:rFonts w:ascii="Times New Roman;Times;serif" w:hAnsi="Times New Roman;Times;serif"/>
          <w:i/>
          <w:sz w:val="20"/>
          <w:shd w:fill="FFFFFF" w:val="clear"/>
        </w:rPr>
        <w:t>Debt</w:t>
      </w:r>
      <w:r>
        <w:rPr>
          <w:rFonts w:ascii="Times New Roman;Times;serif" w:hAnsi="Times New Roman;Times;serif"/>
          <w:sz w:val="20"/>
          <w:shd w:fill="FFFFFF" w:val="clear"/>
        </w:rPr>
        <w:t xml:space="preserve">) approximates its carrying value as the stated interest rates reset daily at the daily secured overnight financing rate (“SOFR”) plus an applicable margin and, as such, approximates market rates currently available to the Company.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performed a qualitative assessment of its goodwill, tradename and intangible assets as of March 30, 2025 and determined that it is more likely than not that the fair value of its reporting unit exceeds the carrying value of the reporting unit </w:t>
      </w:r>
      <w:r>
        <w:rPr>
          <w:rFonts w:ascii="Times New Roman;Times;serif" w:hAnsi="Times New Roman;Times;serif"/>
          <w:sz w:val="20"/>
          <w:shd w:fill="FFFFFF" w:val="clear"/>
        </w:rPr>
        <w:t xml:space="preserve">and that no </w:t>
      </w:r>
      <w:r>
        <w:rPr>
          <w:rFonts w:ascii="Times New Roman;Times;serif" w:hAnsi="Times New Roman;Times;serif"/>
          <w:color w:val="212529"/>
          <w:sz w:val="20"/>
          <w:shd w:fill="FFFFFF" w:val="clear"/>
        </w:rPr>
        <w:t xml:space="preserve">impairment related to the goodwill, tradename and intangible assets existed. </w:t>
      </w:r>
      <w:r>
        <w:rPr>
          <w:rFonts w:ascii="Times New Roman;Times;serif" w:hAnsi="Times New Roman;Times;serif"/>
          <w:color w:val="212529"/>
          <w:sz w:val="20"/>
        </w:rPr>
        <w:t>The Company does not have any financial instruments that were determined to be Level 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98" w:name="Tc_dNhrermb8EyX44RTr_u9Rw_8_5"/>
      <w:bookmarkStart w:id="699" w:name="Tc_Dvww6N-Zb0SsQCGBza30Pw_8_2"/>
      <w:bookmarkStart w:id="700" w:name="Tc_pSsHAM9iLEeDp04lmerAWg_8_0"/>
      <w:bookmarkStart w:id="701" w:name="Tc_tgQhsvpiK0-MIxJ7T8TKMQ_7_0"/>
      <w:bookmarkStart w:id="702" w:name="Tc_VbdGVW8pFE2dbjcjMjBurA_6_0"/>
      <w:bookmarkStart w:id="703" w:name="Tc_tGp8fnbxT02jfz1nF48i3g_5_0"/>
      <w:bookmarkStart w:id="704" w:name="Tc_f2TWq-eOh0iXcNEYme_C-w_4_0"/>
      <w:bookmarkStart w:id="705" w:name="Tc_qVxUa9JtF0SnBphhchTO-g_3_5"/>
      <w:bookmarkStart w:id="706" w:name="Tc_MNMmwvKKCEOUWXHDqzYH2Q_3_2"/>
      <w:bookmarkStart w:id="707" w:name="Tc_GINZ_N5X50if8Sa4WpPq9g_3_0"/>
      <w:bookmarkStart w:id="708" w:name="Tc_qRPeLay_3E2hZnFJsvyFIQ_2_5"/>
      <w:bookmarkStart w:id="709" w:name="Tc_0hB5IJpYpkypsyMszV_fNQ_2_2"/>
      <w:bookmarkStart w:id="710" w:name="Tc_bUbNEbqUFUmsz2Xq2zQ0kQ_1_5"/>
      <w:bookmarkStart w:id="711" w:name="Tc_TyIorhOsdUaC9V-J_r6lmA_1_2"/>
      <w:bookmarkStart w:id="712" w:name="_460b0449_a0d3_4593_8467_82a82ef1c094"/>
      <w:bookmarkStart w:id="713" w:name="Tc_y_lahH0E5kyxDUDczKZPAA_8_7"/>
      <w:bookmarkStart w:id="714" w:name="Tc_sg2vG6DxkEGWtzd0H_Rh6g_8_4"/>
      <w:bookmarkStart w:id="715" w:name="Tc__MWLbxbV8USfHXae4LF-wg_8_0"/>
      <w:bookmarkStart w:id="716" w:name="Tc_rhgVzedQLkWp1Mi_g-wzNw_7_0"/>
      <w:bookmarkStart w:id="717" w:name="Tc_VsQADIv3PESU_2tSswPWpw_6_0"/>
      <w:bookmarkStart w:id="718" w:name="Tc_z_pkWktn6EqhXnj9AH5RWA_5_2"/>
      <w:bookmarkStart w:id="719" w:name="Tc_5a6HO-eihEC140dMnJeH-g_5_0"/>
      <w:bookmarkStart w:id="720" w:name="Tc_-FemMCIbQEG5gxPXoybenQ_4_2"/>
      <w:bookmarkStart w:id="721" w:name="Tc_9k4xvX42ekG9i_MMpgytHQ_4_0"/>
      <w:bookmarkStart w:id="722" w:name="Tc_0Zm6SwjZ2k-YdpDIgv4DqQ_3_7"/>
      <w:bookmarkStart w:id="723" w:name="Tc_H4-YsLWkzUigSzJEGY9mvw_3_4"/>
      <w:bookmarkStart w:id="724" w:name="Tc_NzUzpO_OwEi6lZ-J04kjrg_3_2"/>
      <w:bookmarkStart w:id="725" w:name="Tc_NyE9HFAuUEurbO2ZB7g3bg_3_0"/>
      <w:bookmarkStart w:id="726" w:name="Tc_uMnEgGayBEqKMErQ2Ax4SA_2_7"/>
      <w:bookmarkStart w:id="727" w:name="Tc_uoPBToQb2UWgnDwjxfNoUA_2_4"/>
      <w:bookmarkStart w:id="728" w:name="Tc_L0JjvzyrBUiXLVf8BkW5Og_2_2"/>
      <w:bookmarkStart w:id="729" w:name="Tc_a5qsu7KE3ku0BCnKGBEggA_1_7"/>
      <w:bookmarkStart w:id="730" w:name="Tc_sIvBVzN7Xk-hFTgSZXSXPw_1_4"/>
      <w:bookmarkStart w:id="731" w:name="Tc_-NYd7xjfE0KA9E4ikdZVEw_1_2"/>
      <w:bookmarkStart w:id="732" w:name="_4783ab0d_9cbd_42c1_a325_d295bf15ac19"/>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firstLine="360"/>
        <w:jc w:val="both"/>
        <w:rPr/>
      </w:pPr>
      <w:r>
        <w:rPr/>
        <w:t>​</w:t>
      </w:r>
    </w:p>
    <w:tbl>
      <w:tblPr>
        <w:tblW w:w="8872" w:type="dxa"/>
        <w:jc w:val="left"/>
        <w:tblInd w:w="0" w:type="dxa"/>
        <w:tblLayout w:type="fixed"/>
        <w:tblCellMar>
          <w:top w:w="0" w:type="dxa"/>
          <w:left w:w="0" w:type="dxa"/>
          <w:bottom w:w="0" w:type="dxa"/>
          <w:right w:w="0" w:type="dxa"/>
        </w:tblCellMar>
      </w:tblPr>
      <w:tblGrid>
        <w:gridCol w:w="4111"/>
        <w:gridCol w:w="326"/>
        <w:gridCol w:w="1741"/>
        <w:gridCol w:w="326"/>
        <w:gridCol w:w="211"/>
        <w:gridCol w:w="691"/>
        <w:gridCol w:w="326"/>
        <w:gridCol w:w="254"/>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610485" cy="175260"/>
                      <wp:effectExtent l="0" t="0" r="0" b="0"/>
                      <wp:wrapNone/>
                      <wp:docPr id="107" name="Frame106"/>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105535" cy="175260"/>
                      <wp:effectExtent l="0" t="0" r="0" b="0"/>
                      <wp:wrapNone/>
                      <wp:docPr id="109" name="Frame108"/>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38785" cy="175260"/>
                      <wp:effectExtent l="0" t="0" r="0" b="0"/>
                      <wp:wrapNone/>
                      <wp:docPr id="112" name="Frame1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61290" cy="175260"/>
                      <wp:effectExtent l="0" t="0" r="0" b="0"/>
                      <wp:wrapNone/>
                      <wp:docPr id="114" name="Frame11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2610" cy="175260"/>
                      <wp:effectExtent l="0" t="0" r="0" b="0"/>
                      <wp:wrapNone/>
                      <wp:docPr id="115" name="Frame1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8,848</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10,508</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(5,428)</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3,420</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3,642</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Depreciation and amortization of property and equipment was $0.8 million for each of the thirteen weeks ended March 30, 2025 and March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Expenses and Other 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360"/>
        <w:jc w:val="both"/>
        <w:rPr/>
      </w:pPr>
      <w:r>
        <w:rPr/>
        <w:t>​</w:t>
      </w:r>
    </w:p>
    <w:tbl>
      <w:tblPr>
        <w:tblW w:w="6288" w:type="dxa"/>
        <w:jc w:val="left"/>
        <w:tblInd w:w="0" w:type="dxa"/>
        <w:tblLayout w:type="fixed"/>
        <w:tblCellMar>
          <w:top w:w="0" w:type="dxa"/>
          <w:left w:w="0" w:type="dxa"/>
          <w:bottom w:w="0" w:type="dxa"/>
          <w:right w:w="0" w:type="dxa"/>
        </w:tblCellMar>
      </w:tblPr>
      <w:tblGrid>
        <w:gridCol w:w="3826"/>
        <w:gridCol w:w="326"/>
        <w:gridCol w:w="211"/>
        <w:gridCol w:w="676"/>
        <w:gridCol w:w="109"/>
        <w:gridCol w:w="242"/>
        <w:gridCol w:w="898"/>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29510" cy="175260"/>
                      <wp:effectExtent l="0" t="0" r="0" b="0"/>
                      <wp:wrapNone/>
                      <wp:docPr id="116" name="Frame115"/>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8"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19" name="Frame1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0"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3670" cy="175260"/>
                      <wp:effectExtent l="0" t="0" r="0" b="0"/>
                      <wp:wrapNone/>
                      <wp:docPr id="121" name="Frame12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0230" cy="175260"/>
                      <wp:effectExtent l="0" t="0" r="0" b="0"/>
                      <wp:wrapNone/>
                      <wp:docPr id="122" name="Frame12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3,813</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8,463</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9,227</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4,353</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freight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28,254</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15,985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733" w:name="_Hlk197524812"/>
      <w:bookmarkEnd w:id="733"/>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Facility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15, 2021, the Company entered into the 2021 Credit Agreement with Bank of America (the “lender”) </w:t>
      </w:r>
      <w:r>
        <w:rPr>
          <w:rFonts w:ascii="Times New Roman;Times;serif" w:hAnsi="Times New Roman;Times;serif"/>
          <w:color w:val="212529"/>
          <w:sz w:val="20"/>
          <w:shd w:fill="FFFFFF" w:val="clear"/>
        </w:rPr>
        <w:t xml:space="preserve">to provide a revolving facility </w:t>
      </w:r>
      <w:r>
        <w:rPr>
          <w:rFonts w:ascii="Times New Roman;Times;serif" w:hAnsi="Times New Roman;Times;serif"/>
          <w:sz w:val="20"/>
        </w:rPr>
        <w:t xml:space="preserve">that provided for borrowings up to $50.0 million with a maturity date of November 15, 2024. </w:t>
      </w:r>
      <w:r>
        <w:rPr>
          <w:rFonts w:ascii="Times New Roman;Times;serif" w:hAnsi="Times New Roman;Times;serif"/>
          <w:sz w:val="20"/>
          <w:shd w:fill="FFFFFF" w:val="clear"/>
        </w:rPr>
        <w:t>All borrowings under the 2021 Credit Agreement accrued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w:t>
      </w:r>
      <w:r>
        <w:rPr>
          <w:rFonts w:ascii="Times New Roman;Times;serif" w:hAnsi="Times New Roman;Times;serif"/>
          <w:sz w:val="20"/>
        </w:rPr>
        <w:t xml:space="preserve"> </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July 22, 2024, the Company entered into an amendment to the 2021 Credit Agreement (the “First Credit Amendment”) which extended the maturity date from November 15, 2024, to August 15, 2025, and reduced the revolving facility from $50.0 million to $15.0 million, with a further reduction to $10.0 million on or about March 31, 2025. Under the First Credit Amendment, the Company could increase the aggregate amount of the facility by $10.0 million, subject to the satisfaction of certain conditions, including an asset coverage ratio of at least 1.50:1.00, recalculated as of the last day of the most recently ended month for which financial statements are internally available. The First Credit Amendment also reduced the previous letters of credit sublimit from $7.5 million to $5.0 million. </w:t>
      </w:r>
    </w:p>
    <w:p>
      <w:pPr>
        <w:pStyle w:val="TextBody"/>
        <w:bidi w:val="0"/>
        <w:spacing w:before="0" w:after="0"/>
        <w:ind w:left="0" w:right="0" w:firstLine="360"/>
        <w:jc w:val="both"/>
        <w:rPr>
          <w:color w:val="212529"/>
          <w:shd w:fill="FFFFFF" w:val="clear"/>
        </w:rPr>
      </w:pPr>
      <w:r>
        <w:rPr>
          <w:color w:val="212529"/>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First Credit Amendment revised the applicable interest rates for borrowings for the period commencing on July 22, 2024, through (but excluding) November 15, 2024, as follows: at the Company’s option, the base rate plus 1.25% (increased from 0.75%) or Term SOFR (subject to a credit spread adjustment of 10 basis points) plus 2.25% (increased from 1.75%). Additionally, the First Credit Amendment reduced the SOFR credit spread adjustment to 0.10%, which previously ranged from 0.11448% to 0.71513% depending on the SOFR tenor. The previous Commitment Fee of 37.5 basis points to be assessed on unused commitments, including the sum of outstanding borrowings and letter of credit obligations, remained unchanged under the First Credit Amendment. The First Credit Amendment retained the previous maximum total leverage ratio covenant of 2.00:1.00 and added a financial covenant that requires a fixed charge coverage ratio as of the end of any period of four consecutive quarters, commencing June 30, 2024, to be less than 1.15:1.00.</w:t>
      </w:r>
    </w:p>
    <w:p>
      <w:pPr>
        <w:pStyle w:val="TextBody"/>
        <w:bidi w:val="0"/>
        <w:spacing w:before="0" w:after="24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On November 12, 2024, the Company entered into a second amendment to the 2021 Credit Agreement (the “Second Credit Amendment”) that extended the Company's reporting deadline for its financial statements and covenant compliance certificate for the third quarter 2024 to December 16, 2024, and required us to test the financial covenants no later than December 16, 2024. It also required that the consolidated total leverage ratio and consolidated fixed charge coverage ratio financial covenants for the third quarter 2024 be tested on the earlier of the date the Company delivers the financial statements and compliance certificate for the third quarter of 2024 or December 16, 2024. The Second Credit Amendment provided that the failure to deliver the financial statements and compliance certificate for the third quarter 2024 within the original time period required by the First Credit Amendment would not constitute an event of default.</w:t>
      </w:r>
    </w:p>
    <w:p>
      <w:pPr>
        <w:pStyle w:val="TextBody"/>
        <w:pBdr/>
        <w:bidi w:val="0"/>
        <w:spacing w:before="0" w:after="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Second Credit Amendment prohibited the Company from requesting any additional borrowing or letter of credit extension until the financial statements and the compliance certificate for the third quarter of 2024 had been delivered. The Second Credit Amendment also revised the applicable interest rates for borrowings for the period commencing on November 12, 2024 as follows: at the Company’s option, the base rate plus 2.75% (increased from 1.25%) or Term SOFR (subject to a credit spread adjustment of 10 basis points) plus 3.75% (increased from 2.25%). The Second Credit Amendment also added a requirement to deliver certain cash flow information on a weekly basis commencing November 22, 2024.</w:t>
      </w:r>
    </w:p>
    <w:p>
      <w:pPr>
        <w:pStyle w:val="TextBody"/>
        <w:pBdr/>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On December 13, 2024, the Company entered into a third amendment to the 2021 Credit Agreement (the “Third Credit Amendment”). The Third Credit Amendment provided a limited waiver to the provision under the First Credit Amendment that requires the Company to comply with the financial covenants for the period of four fiscal quarters ended on or about September 30, 2024. Under the Third Credit Amendment, the Company is required to, among other things, not permit unrestricted cash and cash equivalents as determined on a consolidated basis and tested weekly to be less than certain specified minimum amounts. The Third Credit Amendment also requires the payment of certain consent fees and increases the interest rates payable under the First Credit Amendment for periods commencing on or after December 13, 2024 and February 1, 2025, respectively, as follows: (a) in the case of Base Rate Loans, the Base Rate plus (i) 3.25% commencing on December 13, 2024 and (ii) 4.00% commencing on February 1, 2025 (increased from a margin of 2.75%), (b) in the case of Term SOFR Loans, Term SOFR (subject to a credit spread adjustment of 10 basis points) plus (i) 4.25% commencing on December 13, 2024 and (ii) 5.00% commencing on February 1, 2025 (increased from a margin of 3.75%), and (c) the Letter of Credit Fee of (i) 4.25% commencing on December 13, 2024 and (ii) 5.00% commencing on February 1, 2025 (increased from 3.75%).</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Pursuant to the Third Credit Amendment, there was no financial covenant test for the quarter ended September 29, 2024. From the execution of the Third Credit Amendment on December 13, 2024 through March 30, 2025, the Company maintained cash and cash equivalents above the specified weekly minimum balances.</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 xml:space="preserve">On March 27, 2025, the Company entered into a fourth amendment to the 2021 Credit Agreement (the “Fourth Credit Amendment”). The Fourth Credit Amendment provided a limited waiver for the Company to comply with the financial covenants for the period of four fiscal quarters ended on or about December 31, 2024. It also suspends measurement of the Consolidated Total Leverage Ratio and Consolidated Fixed Charge Covenant Ratio for the fiscal quarter ending on or about March 31, 2025. Pursuant to the Fourth Credit Amendment, the Revolving Commitment reduces from $10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 xml:space="preserve">to $7.5 million on April 30, 2025 and to $6 million on May 31, 2025. The Fourth Credit Amendment prohibits the Company from requesting any further borrowings under the 2021 Credit Agreement, as amended. The Fourth Credit Amendment includes a timeline of milestones for a refinancing transaction with a third-party lender and contemplates a refinancing on or before June 15, 2025, and limits the Company’s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 as amended, for periods commencing on or after March 27, 2025, as follows: (a) in the case of Base Rate Loans, the Base Rate plus (i) 5% (increased from a margin of 4%), (b) in the case of Term SOFR Loans, Term SOFR (subject to a credit spread adjustment of 10 basis points) plus (i) 6% (increased from a margin of 5%), and (c) the Letter of Credit Fee of (i) 6% (increased from 5%). Although the Company has secured these limited waivers, the Company cannot guarantee that it will be able to satisfy all of the necessary conditions or that it will not incur another covenant violation in the future. </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All capitalized terms used above and not otherwise defined herein are defined in the 2021 Credit Agreement, as amended.</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During the thirteen weeks ended March 30, 2025, the Company borrowed no amounts under the 2021 Credit Agreement, as amended, and repaid $3.0 million of the outstanding balance. As of </w:t>
      </w:r>
      <w:r>
        <w:rPr>
          <w:rFonts w:ascii="Times New Roman;Times;serif" w:hAnsi="Times New Roman;Times;serif"/>
          <w:sz w:val="20"/>
        </w:rPr>
        <w:t>March 30, 2025</w:t>
      </w:r>
      <w:r>
        <w:rPr>
          <w:rFonts w:ascii="Times New Roman;Times;serif" w:hAnsi="Times New Roman;Times;serif"/>
          <w:color w:val="212529"/>
          <w:sz w:val="20"/>
        </w:rPr>
        <w:t xml:space="preserve">, the Company had $0.5 million in letters of credit outstanding. The weighted average interest rate on the $10.1 million outstanding balance as of </w:t>
      </w:r>
      <w:r>
        <w:rPr>
          <w:rFonts w:ascii="Times New Roman;Times;serif" w:hAnsi="Times New Roman;Times;serif"/>
          <w:sz w:val="20"/>
        </w:rPr>
        <w:t>March 30, 2025</w:t>
      </w:r>
      <w:r>
        <w:rPr>
          <w:rFonts w:ascii="Times New Roman;Times;serif" w:hAnsi="Times New Roman;Times;serif"/>
          <w:color w:val="212529"/>
          <w:sz w:val="20"/>
        </w:rPr>
        <w:t xml:space="preserve">, was 10.2%, and during the thirteen weeks ended March 30, 2025, the effective interest rate was 9.4%. </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Amounts borrowed under the 2021 Credit Agreement, as amended,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w:t>
      </w:r>
    </w:p>
    <w:p>
      <w:pPr>
        <w:pStyle w:val="TextBody"/>
        <w:shd w:fill="FFFFFF" w:val="clear"/>
        <w:bidi w:val="0"/>
        <w:spacing w:before="0" w:after="0"/>
        <w:ind w:left="0" w:right="0" w:hanging="0"/>
        <w:jc w:val="both"/>
        <w:rPr/>
      </w:pPr>
      <w:r>
        <w:rPr/>
        <w:t>​</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Debt Discounts and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Debt discounts and issuance costs are deferred and amortized over the life of the related loan using the effective interest method. The associated expense is included in interest expense in the condensed consolidated statements of operations and comprehensive loss. Debt issuance costs related to the 2021 Credit Agreement, as amended, are included in prepaids and other current assets in the condensed consolidated balance sheets. As of March 30, 2025 and December 29, 2024, unamortized debt issuance costs recorded within prepaids and other current assets were $0.4 million and $0.1 million, respectively.</w:t>
      </w:r>
    </w:p>
    <w:p>
      <w:pPr>
        <w:pStyle w:val="TextBody"/>
        <w:bidi w:val="0"/>
        <w:spacing w:before="0" w:after="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 lessee under various lease agreements. The determination of whether an arrangement contains a lease and the lease classification is made at lease commencement (date on which a lessor makes an underlying asset available for use by the lessee).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734" w:name="Tc_EoUqQ1m6VUa9_2jI3JkTXQ_12_8"/>
      <w:bookmarkStart w:id="735" w:name="Tc_U2RstfT2-ESPy2b5ABuEJw_12_2"/>
      <w:bookmarkStart w:id="736" w:name="Tc__wj-e1ii4Ua3CWtsAXXM5w_10_0"/>
      <w:bookmarkStart w:id="737" w:name="Tc_R3QNDz4nFUWFoRRawBmRnw_9_0"/>
      <w:bookmarkStart w:id="738" w:name="Tc_5hbshFxAn0S0Bx7a6KB9tg_8_0"/>
      <w:bookmarkStart w:id="739" w:name="Tc_YsxD5K7b60anaxp8mNpYtQ_7_6"/>
      <w:bookmarkStart w:id="740" w:name="Tc_DHMmMxtn_Eq1euUqwHAr_Q_7_0"/>
      <w:bookmarkStart w:id="741" w:name="Tc_kzyxmqcv9EG3ihHxIaAMLA_6_0"/>
      <w:bookmarkStart w:id="742" w:name="Tc_tUStvQmSv02OOJ4ADjNJzg_5_0"/>
      <w:bookmarkStart w:id="743" w:name="Tc_puGKh1micEOOIVGLtOmSgA_4_0"/>
      <w:bookmarkStart w:id="744" w:name="Tc_SkdWUEZx-U-2kJDJNh6CBA_3_0"/>
      <w:bookmarkStart w:id="745" w:name="Tc_ZHdVhZ2s8E6uWRFgM5SNWg_2_8"/>
      <w:bookmarkStart w:id="746" w:name="Tc_hPoIa-b8I0OjjMP-ayIs4w_2_5"/>
      <w:bookmarkStart w:id="747" w:name="Tc_SrQu6a1zQkyvcwaPntqcJQ_2_2"/>
      <w:bookmarkStart w:id="748" w:name="Tc_zYLJcpRal0qXwaTdQh3W4w_2_0"/>
      <w:bookmarkStart w:id="749" w:name="Tc_VhDnrySt1kezRdfxJYIHGg_1_8"/>
      <w:bookmarkStart w:id="750" w:name="Tc_fqCbNwSVW0mD9mTdCPYtmA_1_5"/>
      <w:bookmarkStart w:id="751" w:name="Tc_FIpkK6Y-60y6ly9wIaiQOw_1_3"/>
      <w:bookmarkStart w:id="752" w:name="Tc_zofyTWUBck-4g_eiXOAwCQ_1_0"/>
      <w:bookmarkStart w:id="753" w:name="_748cb571_f8bc_4f39_b7a3_beaebdfb2a8e"/>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sz w:val="20"/>
        </w:rPr>
        <w:t xml:space="preserve">The Company primarily leases its distribution facilities, corporate offices and retail stores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w:t>
      </w:r>
      <w:r>
        <w:rPr>
          <w:rFonts w:ascii="Times New Roman;Times;serif" w:hAnsi="Times New Roman;Times;serif"/>
          <w:sz w:val="20"/>
          <w:shd w:fill="FFFFFF" w:val="clear"/>
        </w:rPr>
        <w:t xml:space="preserve">In early 2025 the Company consolidated two of its distribution facilities by moving operations from its former distribution facility in Chico, California to its existing distribution facility in Ontario, California. During </w:t>
      </w:r>
      <w:r>
        <w:rPr>
          <w:rFonts w:ascii="Times New Roman;Times;serif" w:hAnsi="Times New Roman;Times;serif"/>
          <w:sz w:val="20"/>
        </w:rPr>
        <w:t>the thirteen weeks ended March 30, 2025, the Company modified the terms and discount rate of two of its operating leases. As a result of the modification, the Company derecognized the related right-of-use asset and lease liability of $3.1 million and $3.2 million, respectively. The modification resulted in the recognition of a gain of $0.1 million. The Company had no remaining obligations for the base rent related to the short-term leases as of March 30, 2025 and immaterial remaining obligations as of March 31,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April 2029.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30, 2025, the future minimum lease payments for the Company’s operating and finance leases for each of the fiscal years were as follows (in thousands):</w:t>
      </w:r>
    </w:p>
    <w:p>
      <w:pPr>
        <w:pStyle w:val="TextBody"/>
        <w:bidi w:val="0"/>
        <w:spacing w:before="0" w:after="0"/>
        <w:ind w:left="0" w:right="0" w:firstLine="360"/>
        <w:jc w:val="both"/>
        <w:rPr/>
      </w:pPr>
      <w:r>
        <w:rPr/>
        <w:t>​</w:t>
      </w:r>
    </w:p>
    <w:tbl>
      <w:tblPr>
        <w:tblW w:w="7644" w:type="dxa"/>
        <w:jc w:val="left"/>
        <w:tblInd w:w="0" w:type="dxa"/>
        <w:tblLayout w:type="fixed"/>
        <w:tblCellMar>
          <w:top w:w="0" w:type="dxa"/>
          <w:left w:w="0" w:type="dxa"/>
          <w:bottom w:w="0" w:type="dxa"/>
          <w:right w:w="0" w:type="dxa"/>
        </w:tblCellMar>
      </w:tblPr>
      <w:tblGrid>
        <w:gridCol w:w="2911"/>
        <w:gridCol w:w="326"/>
        <w:gridCol w:w="211"/>
        <w:gridCol w:w="1591"/>
        <w:gridCol w:w="109"/>
        <w:gridCol w:w="326"/>
        <w:gridCol w:w="1069"/>
        <w:gridCol w:w="109"/>
        <w:gridCol w:w="211"/>
        <w:gridCol w:w="78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848485" cy="175260"/>
                      <wp:effectExtent l="0" t="0" r="0" b="0"/>
                      <wp:wrapNone/>
                      <wp:docPr id="123" name="Frame12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010285" cy="175260"/>
                      <wp:effectExtent l="0" t="0" r="0" b="0"/>
                      <wp:wrapNone/>
                      <wp:docPr id="126" name="Frame12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7"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78815" cy="175260"/>
                      <wp:effectExtent l="0" t="0" r="0" b="0"/>
                      <wp:wrapNone/>
                      <wp:docPr id="129" name="Frame128"/>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0"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1"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2"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2025 remaining 9 months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5,164</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w:t>
            </w:r>
          </w:p>
        </w:tc>
      </w:tr>
      <w:tr>
        <w:trPr/>
        <w:tc>
          <w:tcPr>
            <w:tcW w:w="2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(4,889)</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15,170</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and Other</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condensed consolidated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financial statements. As of March 30, 2025, the Company was not aware of any currently pending legal matters or claims, individually or in the aggregate, that are expected to have a material adverse impact on its condensed consolidated financial statements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and officers. To date, the Company has not incurred any material costs and has not accrued any liabilities in the condensed consolidated financial statements as a result of these provisions.</w:t>
      </w:r>
    </w:p>
    <w:p>
      <w:pPr>
        <w:pStyle w:val="TextBody"/>
        <w:bidi w:val="0"/>
        <w:spacing w:before="0" w:after="240"/>
        <w:ind w:left="0" w:right="0" w:hanging="0"/>
        <w:jc w:val="left"/>
        <w:rPr>
          <w:rFonts w:ascii="Times New Roman;Times;serif" w:hAnsi="Times New Roman;Times;serif"/>
          <w:b/>
          <w:sz w:val="20"/>
        </w:rPr>
      </w:pPr>
      <w:bookmarkStart w:id="754" w:name="_d6a797db_1331_4c43_9654_c2a5770d6fda_3"/>
      <w:bookmarkStart w:id="755" w:name="_d6a797db_1331_4c43_9654_c2a5770d6fda_2"/>
      <w:bookmarkStart w:id="756" w:name="_d6a797db_1331_4c43_9654_c2a5770d6fda"/>
      <w:bookmarkEnd w:id="754"/>
      <w:bookmarkEnd w:id="755"/>
      <w:bookmarkEnd w:id="756"/>
      <w:r>
        <w:rPr>
          <w:rFonts w:ascii="Times New Roman;Times;serif" w:hAnsi="Times New Roman;Times;serif"/>
          <w:b/>
          <w:i w:val="false"/>
          <w:caps w:val="false"/>
          <w:smallCaps w:val="false"/>
          <w:sz w:val="20"/>
        </w:rPr>
        <w:t>8.</w:t>
      </w:r>
      <w:r>
        <w:rPr>
          <w:rFonts w:ascii="Times New Roman;Times;serif" w:hAnsi="Times New Roman;Times;serif"/>
          <w:b/>
          <w:sz w:val="20"/>
        </w:rPr>
        <w:t>Preferred Stock</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March 30, 2025 and December 29, 2024, no shares of preferred stock were issued and outstanding.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 xml:space="preserve">Common Stock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 has authorized the issuance of 250,000,000 shares of common stock, $0.001 par value (“common stock”) as of March 30, 2025 and December 29, 2024, respectively.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March 30, 2025, the Company has reserved 161,397 shares of common stock for issuance upon the exercise of stock options, and 2,903,612 shares of common stock available for future issuance under the Lulu's Fashion Lounge Holdings, Inc. Omnibus Equity Plan (the “Omnibus Equity Plan”) and 1,251,330 shares of common stock available for future issuance under the 2021 Employee Stock Purchase Plan (the “ESPP”), respectively.</w:t>
      </w:r>
      <w:r>
        <w:rPr>
          <w:rFonts w:ascii="Times New Roman;Times;serif" w:hAnsi="Times New Roman;Times;serif"/>
          <w:sz w:val="20"/>
        </w:rPr>
        <w:t xml:space="preserve"> Both equity plans are further described in Note 10, Equity-Based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Equity-Based Compensation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closing of the IPO, the Company adopted the Omnibus Equity Plan and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w:t>
      </w:r>
    </w:p>
    <w:p>
      <w:pPr>
        <w:pStyle w:val="TextBody"/>
        <w:shd w:fill="FFFFFF" w:val="clear"/>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240"/>
        <w:ind w:left="0" w:right="0" w:firstLine="360"/>
        <w:jc w:val="both"/>
        <w:rPr>
          <w:rFonts w:ascii="Times New Roman;Times;serif" w:hAnsi="Times New Roman;Times;serif"/>
          <w:sz w:val="20"/>
        </w:rPr>
      </w:pPr>
      <w:bookmarkStart w:id="757" w:name="Tc_8rNpRlebr0uquwoSq_K2qA_5_3"/>
      <w:bookmarkStart w:id="758" w:name="Tc_m7gGmVCKyUev9WvZaD0yGw_5_2"/>
      <w:bookmarkStart w:id="759" w:name="Tc_Byf01YCFX0CWAz9mmcR21w_5_0"/>
      <w:bookmarkStart w:id="760" w:name="Tc_Oi3GmuOrWkWEZVwp23LIxA_4_3"/>
      <w:bookmarkStart w:id="761" w:name="Tc_Ci9IeZt8Bki4NMsiNJOyTQ_4_0"/>
      <w:bookmarkStart w:id="762" w:name="Tc_rhkNX1kzn0mixd8okBzDZA_3_4"/>
      <w:bookmarkStart w:id="763" w:name="Tc_d7YXv69InEO8MzZAS0GcOw_3_3"/>
      <w:bookmarkStart w:id="764" w:name="Tc_kLdYBS6fq0GsWxspLo0L6A_3_0"/>
      <w:bookmarkStart w:id="765" w:name="Tc_81rrtwywNEelnENBV1Vy4g_2_4"/>
      <w:bookmarkStart w:id="766" w:name="Tc_T7tkibNgQ0aMwJ4EEXOF1Q_2_3"/>
      <w:bookmarkStart w:id="767" w:name="Tc_hZW4Da81mEijPgc6vKp9Lw_2_0"/>
      <w:bookmarkStart w:id="768" w:name="Tc_M611VzX0Vk265K9SGs56IQ_1_3"/>
      <w:bookmarkStart w:id="769" w:name="Tc_T2kHwBrC0ka4qj88FKMkGA_1_0"/>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sz w:val="20"/>
        </w:rPr>
        <w:t>On April 1, 2022, the Company filed a Registration Statement on Form S-8 with the SEC for the purpose of registering an additional 5,921,056 shares of the Company’s common stock, inclusive of 1,536,845 and 384,211 shares associated with automatic increases that occurred on January 3, 2022 under the Omnibus Equity Plan and ESPP, respectively. This registration also included 3,200,000 and 800,000 shares for the Omnibus Equity Plan and the ESPP, respectively, representing two years’ worth of estimated future automatic increases in availability for these plans.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March 8, 2023, the Company’s Board of Directors approved the Fiscal 2023 Bonus Plan (the “2023 Bonus Plan”) that granted RSUs to eligible employees on April 1, 2024, in lieu of a cash bonus. </w:t>
      </w:r>
      <w:r>
        <w:rPr>
          <w:rFonts w:ascii="Times New Roman;Times;serif" w:hAnsi="Times New Roman;Times;serif"/>
          <w:sz w:val="20"/>
          <w:shd w:fill="FFFFFF" w:val="clear"/>
        </w:rPr>
        <w:t>On April 1, 2024, 95,912 RSUs were awarded to eligible employees under the 2023 Bonus Plan, and all such RSUs vested fully</w:t>
      </w:r>
      <w:r>
        <w:rPr>
          <w:rFonts w:ascii="Times New Roman;Times;serif" w:hAnsi="Times New Roman;Times;serif"/>
          <w:sz w:val="20"/>
        </w:rPr>
        <w: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29, 2023, the Company filed a Registration Statement on Form S-8 with the SEC for the purpose of registering an additional 2,000,000 shares of the Company's common stock under the Omnibus Equity Plan corresponding to the increase in shares approved by stockholders at the 2023 annual meeting of stockholders.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30, 2025, the Company had 2,903,612 and 1,251,330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Equity-based compensation expense is included in general and administrative expenses in the condensed consolidated statements of operations and comprehensive loss.</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weeks ended March 30, 2025, equity-based compensation expense related to our ESPP was immaterial. During the thirteen weeks ended March 30, 2025 and March 31, 2024, the Company issued 59,265 shares and 52,043 shares, respectively, pursuant to the ESPP six-month purchase periods ended February 25, 2025 and February 26, 2024, respectively.</w:t>
      </w:r>
      <w:r>
        <w:rPr>
          <w:rFonts w:ascii="Times New Roman;Times;serif" w:hAnsi="Times New Roman;Times;serif"/>
          <w:color w:val="212529"/>
          <w:sz w:val="20"/>
          <w:shd w:fill="FFFFFF" w:val="clear"/>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used the Black-Scholes model to estimate the fair value of the purchase rights under the ESPP. For the thirteen weeks ended March 30, 2025, the Company utilized the following assumptions:</w:t>
      </w:r>
    </w:p>
    <w:p>
      <w:pPr>
        <w:pStyle w:val="TextBody"/>
        <w:bidi w:val="0"/>
        <w:spacing w:before="0" w:after="0"/>
        <w:ind w:left="0" w:right="0" w:hanging="0"/>
        <w:jc w:val="both"/>
        <w:rPr/>
      </w:pPr>
      <w:r>
        <w:rPr/>
        <w:t>​</w:t>
      </w:r>
    </w:p>
    <w:tbl>
      <w:tblPr>
        <w:tblW w:w="7043" w:type="dxa"/>
        <w:jc w:val="left"/>
        <w:tblInd w:w="0" w:type="dxa"/>
        <w:tblLayout w:type="fixed"/>
        <w:tblCellMar>
          <w:top w:w="0" w:type="dxa"/>
          <w:left w:w="0" w:type="dxa"/>
          <w:bottom w:w="0" w:type="dxa"/>
          <w:right w:w="0" w:type="dxa"/>
        </w:tblCellMar>
      </w:tblPr>
      <w:tblGrid>
        <w:gridCol w:w="5116"/>
        <w:gridCol w:w="109"/>
        <w:gridCol w:w="211"/>
        <w:gridCol w:w="1291"/>
        <w:gridCol w:w="31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248660" cy="175260"/>
                      <wp:effectExtent l="0" t="0" r="0" b="0"/>
                      <wp:wrapNone/>
                      <wp:docPr id="133" name="Frame132"/>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4"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19785" cy="175260"/>
                      <wp:effectExtent l="0" t="0" r="0" b="0"/>
                      <wp:wrapNone/>
                      <wp:docPr id="136" name="Frame13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0660" cy="175260"/>
                      <wp:effectExtent l="0" t="0" r="0" b="0"/>
                      <wp:wrapNone/>
                      <wp:docPr id="137" name="Frame1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0.50 to 1.00</w:t>
            </w:r>
          </w:p>
        </w:tc>
        <w:tc>
          <w:tcPr>
            <w:tcW w:w="316" w:type="dxa"/>
            <w:tcBorders/>
            <w:shd w:fill="CCEEFF" w:val="clear"/>
            <w:vAlign w:val="center"/>
          </w:tcPr>
          <w:p>
            <w:pPr>
              <w:pStyle w:val="TableContents"/>
              <w:bidi w:val="0"/>
              <w:spacing w:before="0" w:after="1"/>
              <w:ind w:left="0" w:right="0" w:hanging="0"/>
              <w:jc w:val="righ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84.72 to 85.54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 to 4.28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fair value per share of ESPP awards granted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 to 0.33</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770" w:name="Tc_AizKuHrlZ0mP2sLNxR5ksQ_11_10"/>
      <w:bookmarkStart w:id="771" w:name="Tc_26SENmQWf0e9CpSJtMMNiw_11_9"/>
      <w:bookmarkStart w:id="772" w:name="Tc_RXBPn9ByYkOS4VmNy17g3Q_11_4"/>
      <w:bookmarkStart w:id="773" w:name="Tc_ikPUK70VoUurhTDA82bZ4A_11_0"/>
      <w:bookmarkStart w:id="774" w:name="Tc_vZgyNhrfIUGElqVUIg9ibw_10_10"/>
      <w:bookmarkStart w:id="775" w:name="Tc_NB0kVODSh0ucbCPXEOoanA_10_9"/>
      <w:bookmarkStart w:id="776" w:name="Tc_4TuKHTMeTE6ecW5cVG33mg_10_4"/>
      <w:bookmarkStart w:id="777" w:name="Tc_8yOCWAV150K_qhbsdfSfqw_10_0"/>
      <w:bookmarkStart w:id="778" w:name="Tc_u_6c2SGW90iXPnOF61aXyQ_9_4"/>
      <w:bookmarkStart w:id="779" w:name="Tc_cqsHd97KzkSwpZxGs6lMCg_9_0"/>
      <w:bookmarkStart w:id="780" w:name="Tc_5sgZUsH6EECzgDEU9oUQUw_8_7"/>
      <w:bookmarkStart w:id="781" w:name="Tc_9OlD2kbMa0uLQqTVRwo4SA_8_5"/>
      <w:bookmarkStart w:id="782" w:name="Tc_dFEK1z8P-0iPlvcDsaWVPg_8_2"/>
      <w:bookmarkStart w:id="783" w:name="Tc_-mPfgmXjUUqP-XDQcUCIew_8_0"/>
      <w:bookmarkStart w:id="784" w:name="Tc_ZTyvIzSBQU66tCulp_Bing_7_7"/>
      <w:bookmarkStart w:id="785" w:name="Tc_UDwpvdxmR0GOfKTLaqMUkA_7_5"/>
      <w:bookmarkStart w:id="786" w:name="Tc_dmOcrOpaa0OC4caYbWemkg_7_2"/>
      <w:bookmarkStart w:id="787" w:name="Tc_brqU1VuttUWrKtKms_yiBw_7_0"/>
      <w:bookmarkStart w:id="788" w:name="Tc_dh5n-xlMQUCT6Zs4I6V8kg_6_4"/>
      <w:bookmarkStart w:id="789" w:name="Tc_VZCoVj9viUi43Y1twK71ig_6_0"/>
      <w:bookmarkStart w:id="790" w:name="Tc_EIGWDpXakEia9Kt7Pl33pQ_5_9"/>
      <w:bookmarkStart w:id="791" w:name="Tc_dejXi4WDWU-aXzBYVtw25A_5_7"/>
      <w:bookmarkStart w:id="792" w:name="Tc_FdibZknxW0C-lc_ajOfC3w_5_4"/>
      <w:bookmarkStart w:id="793" w:name="Tc_IbqFqERjNECkAS1BapNwyA_5_2"/>
      <w:bookmarkStart w:id="794" w:name="Tc_etL50nc3GkinOa5dz7-Hig_4_9"/>
      <w:bookmarkStart w:id="795" w:name="Tc_8TUxunaIx0i8Vqa1zCr6qQ_4_7"/>
      <w:bookmarkStart w:id="796" w:name="Tc_cVntL8tZOkSw9bS7QpxlIg_4_4"/>
      <w:bookmarkStart w:id="797" w:name="Tc_kOrMkZojP0-Vft5PUdfvzA_4_2"/>
      <w:bookmarkStart w:id="798" w:name="Tc_4WOGkU4fx0OceqlRY9tsYg_3_9"/>
      <w:bookmarkStart w:id="799" w:name="Tc_VBVt5YMIdUGxY3mRV-Ewcg_3_7"/>
      <w:bookmarkStart w:id="800" w:name="Tc_df6g3x_q2EyH48yXjouDZw_3_4"/>
      <w:bookmarkStart w:id="801" w:name="Tc_MAfuvrhiWUWAhpgaSmJTXA_2_7"/>
      <w:bookmarkStart w:id="802" w:name="Tc_mPlLmuWFL0qDJjxiZpbuHQ_2_4"/>
      <w:bookmarkStart w:id="803" w:name="Tc_viVZf1Pkd0mL4C4BNMSsHQ_1_7"/>
      <w:bookmarkStart w:id="804" w:name="Tc_QgXc3EMNPkCbGA5XQZPoGw_1_4"/>
      <w:bookmarkStart w:id="805" w:name="_d87b9053_b183_4a57_8e12_061bafe0b814"/>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r>
        <w:rPr>
          <w:rFonts w:ascii="Times New Roman;Times;serif" w:hAnsi="Times New Roman;Times;serif"/>
          <w:b/>
          <w:i/>
          <w:sz w:val="20"/>
        </w:rPr>
        <w:t xml:space="preserve">2021 Equity Plan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During April 2021, the Company’s Board of Directors adopted the 2021 Equity Plan. The 2021 Equity Plan provided for the issuance of incentive stock options, restricted stock, restricted stock units and other equity-based and cash-based awards to the Company’s employees, directors, and consultants. The maximum aggregate number of shares reserved for issuance under the 2021 Equity Plan was 925,000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 summary of stock option activity is as follows (in thousands, except per share amounts and years):</w:t>
      </w:r>
    </w:p>
    <w:tbl>
      <w:tblPr>
        <w:tblW w:w="9213" w:type="dxa"/>
        <w:jc w:val="left"/>
        <w:tblInd w:w="0" w:type="dxa"/>
        <w:tblLayout w:type="fixed"/>
        <w:tblCellMar>
          <w:top w:w="0" w:type="dxa"/>
          <w:left w:w="0" w:type="dxa"/>
          <w:bottom w:w="0" w:type="dxa"/>
          <w:right w:w="0" w:type="dxa"/>
        </w:tblCellMar>
      </w:tblPr>
      <w:tblGrid>
        <w:gridCol w:w="4141"/>
        <w:gridCol w:w="326"/>
        <w:gridCol w:w="1006"/>
        <w:gridCol w:w="326"/>
        <w:gridCol w:w="230"/>
        <w:gridCol w:w="625"/>
        <w:gridCol w:w="326"/>
        <w:gridCol w:w="991"/>
        <w:gridCol w:w="326"/>
        <w:gridCol w:w="291"/>
        <w:gridCol w:w="625"/>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629535" cy="175260"/>
                      <wp:effectExtent l="0" t="0" r="0" b="0"/>
                      <wp:wrapNone/>
                      <wp:docPr id="138" name="Frame137"/>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38810" cy="175260"/>
                      <wp:effectExtent l="0" t="0" r="0" b="0"/>
                      <wp:wrapNone/>
                      <wp:docPr id="140" name="Frame13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6050" cy="175260"/>
                      <wp:effectExtent l="0" t="0" r="0" b="0"/>
                      <wp:wrapNone/>
                      <wp:docPr id="142" name="Frame14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96875" cy="175260"/>
                      <wp:effectExtent l="0" t="0" r="0" b="0"/>
                      <wp:wrapNone/>
                      <wp:docPr id="143" name="Frame142"/>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29285" cy="175260"/>
                      <wp:effectExtent l="0" t="0" r="0" b="0"/>
                      <wp:wrapNone/>
                      <wp:docPr id="145" name="Frame14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4785" cy="175260"/>
                      <wp:effectExtent l="0" t="0" r="0" b="0"/>
                      <wp:wrapNone/>
                      <wp:docPr id="147" name="Frame146"/>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96875" cy="175260"/>
                      <wp:effectExtent l="0" t="0" r="0" b="0"/>
                      <wp:wrapNone/>
                      <wp:docPr id="148" name="Frame147"/>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1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29, 2024</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March 30, 2025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Exercisable as of March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Vested and expected to vest as of March 30, 2025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Company had no equity-based compensation expense and unrecognized compensation cost related to stock options during the </w:t>
      </w:r>
      <w:r>
        <w:rPr>
          <w:rFonts w:ascii="Times New Roman;Times;serif" w:hAnsi="Times New Roman;Times;serif"/>
          <w:sz w:val="20"/>
        </w:rPr>
        <w:t xml:space="preserve">thirteen weeks ended March 30, 2025 and </w:t>
      </w:r>
      <w:r>
        <w:rPr>
          <w:rFonts w:ascii="Times New Roman;Times;serif" w:hAnsi="Times New Roman;Times;serif"/>
          <w:sz w:val="20"/>
          <w:shd w:fill="FFFFFF" w:val="clear"/>
        </w:rPr>
        <w:t xml:space="preserve">March 31, 2024. </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Restricted Stock and Restricted Stock Units (“RSUs”)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Immediately before the completion of the IPO, the LP was liquidated and the unit holders of the LP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The Company recognized the final $0.3 million of equity-based compensation expense related to exchanged restricted stock during 2024</w:t>
      </w:r>
      <w:r>
        <w:rPr>
          <w:rFonts w:ascii="Times New Roman;Times;serif" w:hAnsi="Times New Roman;Times;serif"/>
          <w:sz w:val="20"/>
        </w:rPr>
        <w:t xml:space="preserve">. </w:t>
      </w:r>
      <w:r>
        <w:rPr>
          <w:rFonts w:ascii="Times New Roman;Times;serif" w:hAnsi="Times New Roman;Times;serif"/>
          <w:sz w:val="20"/>
          <w:shd w:fill="FFFFFF" w:val="clear"/>
        </w:rPr>
        <w:t>As of December 29, 2024, the exchanged restricted stock was settled in fully-vested shares of the Company</w:t>
      </w:r>
      <w:r>
        <w:rPr>
          <w:rFonts w:ascii="Times New Roman;Times;serif" w:hAnsi="Times New Roman;Times;serif"/>
          <w:sz w:val="20"/>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March 20, 2025, Mark Vos, the Company’s President and Chief Information Officer, and Laura Deady Holt, the Company’s Chief Merchandising Officer, received grants of 360,000 RSUs and 50,000 RSUs, respectively, pursuant to their respective employment agreements and RSU Award Agreements, which vest </w:t>
      </w:r>
      <w:r>
        <w:rPr>
          <w:rFonts w:ascii="Times New Roman;Times;serif" w:hAnsi="Times New Roman;Times;serif"/>
          <w:color w:val="212529"/>
          <w:sz w:val="20"/>
        </w:rPr>
        <w:t>in equal, quarterly installments on the last day of each calendar quarter, starting on March 31, 2025, and are subject to continued service requirements.</w:t>
      </w:r>
      <w:r>
        <w:rPr>
          <w:rFonts w:ascii="Times New Roman;Times;serif" w:hAnsi="Times New Roman;Times;serif"/>
          <w:sz w:val="20"/>
        </w:rPr>
        <w:t xml:space="preserve"> On March 20, 2025, the Company granted a total of 54,728 RSUs, to certain employees, which vest </w:t>
      </w:r>
      <w:r>
        <w:rPr>
          <w:rFonts w:ascii="Times New Roman;Times;serif" w:hAnsi="Times New Roman;Times;serif"/>
          <w:color w:val="212529"/>
          <w:sz w:val="20"/>
        </w:rPr>
        <w:t>in equal</w:t>
      </w:r>
      <w:r>
        <w:rPr>
          <w:rFonts w:ascii="Times New Roman;Times;serif" w:hAnsi="Times New Roman;Times;serif"/>
          <w:sz w:val="20"/>
        </w:rPr>
        <w:t xml:space="preserve"> installments over a three-year service period.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equity-based compensation expense of $1.2 million and $1.6 million during the thirteen weeks ended March 30, 2025 and March 31, 2024, respectively, related to the RSUs. As of March 30, 2025, the unrecognized equity-based compensation expense is $5.8 million and will be recognized over a weighted-average period of 1.46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shd w:fill="FFFFFF" w:val="clear"/>
        </w:rPr>
      </w:pPr>
      <w:bookmarkStart w:id="806" w:name="Tc_ybBh8ouij0qWGDEIKbgoqg_8_4"/>
      <w:bookmarkStart w:id="807" w:name="Tc_SKWHworTzEKl-_MvkNkzHg_8_0"/>
      <w:bookmarkStart w:id="808" w:name="Tc_qDts91tjskKe-TuG5cHrMw_7_5"/>
      <w:bookmarkStart w:id="809" w:name="Tc_hTnGKc_3H0G7MEYKOVCgGw_7_2"/>
      <w:bookmarkStart w:id="810" w:name="Tc_LhUWZgu4vUS2Y-OYXym47A_7_0"/>
      <w:bookmarkStart w:id="811" w:name="Tc_3TkQnf_5NEGs5KsFc5eoBw_6_5"/>
      <w:bookmarkStart w:id="812" w:name="Tc__aYjTEx8XE-iDsOCO-EWBw_6_2"/>
      <w:bookmarkStart w:id="813" w:name="Tc_j190LWjJkECV4b5k2cEaGQ_6_0"/>
      <w:bookmarkStart w:id="814" w:name="Tc_Zh-08mQDpUu6eVNSC0vswA_5_0"/>
      <w:bookmarkStart w:id="815" w:name="Tc_5ERtn59XzU-BGPgz2tvbjg_4_4"/>
      <w:bookmarkStart w:id="816" w:name="Tc_gF4XGgGsUESsHRWYS-4yaw_4_0"/>
      <w:bookmarkStart w:id="817" w:name="Tc_eVXtq3gRRE-9gj-meLiO6A_3_4"/>
      <w:bookmarkStart w:id="818" w:name="Tc_Dx3rBLTX50q3UTTBxaVZWQ_3_2"/>
      <w:bookmarkStart w:id="819" w:name="Tc_z5f5oWNTi0WTjNGwWf6NFw_2_4"/>
      <w:bookmarkStart w:id="820" w:name="Tc_jQc2S0RGP02g23nBl3ii8A_2_2"/>
      <w:bookmarkStart w:id="821" w:name="Tc_yWkSK-b4LUGDZJmgCMdQHQ_1_4"/>
      <w:bookmarkStart w:id="822" w:name="Tc_rsMvhVAKfUqdoErbB6D-pQ_8_4"/>
      <w:bookmarkStart w:id="823" w:name="Tc_a2Y2cl2aZEat_lB_H9TJ2g_8_0"/>
      <w:bookmarkStart w:id="824" w:name="Tc_LAAQyC8hE0GbRoaAuqdA1Q_7_0"/>
      <w:bookmarkStart w:id="825" w:name="Tc_jB1lgLzIJE2K4WooISp9XQ_6_0"/>
      <w:bookmarkStart w:id="826" w:name="Tc_h2O4fb-6x0SIqHECI1smCg_5_0"/>
      <w:bookmarkStart w:id="827" w:name="Tc_h7ZjjzWEm0uMItC01ZvRHw_4_4"/>
      <w:bookmarkStart w:id="828" w:name="Tc_zu7S9_QKxEWWJxPsn_-SDA_4_0"/>
      <w:bookmarkStart w:id="829" w:name="Tc_FKxyHdHV3U2s6xvgRBHXoA_3_4"/>
      <w:bookmarkStart w:id="830" w:name="Tc_Qja8o2UmXku27ent-xX8UA_3_2"/>
      <w:bookmarkStart w:id="831" w:name="Tc_ps_kWtPVtEyovcG3qN2qbw_2_4"/>
      <w:bookmarkStart w:id="832" w:name="Tc_D7zeKeGDQ0SDirt43sbkdw_2_2"/>
      <w:bookmarkStart w:id="833" w:name="Tc_HKDkZgatZUq-GLprb6nAsA_1_4"/>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sz w:val="20"/>
          <w:shd w:fill="FFFFFF" w:val="clear"/>
        </w:rPr>
        <w:t>The following table summarizes the roll forward of unvested RSUs during the thirteen weeks ended March 30, 2025:</w:t>
      </w:r>
    </w:p>
    <w:p>
      <w:pPr>
        <w:pStyle w:val="TextBody"/>
        <w:bidi w:val="0"/>
        <w:spacing w:before="0" w:after="240"/>
        <w:ind w:left="0" w:right="0" w:firstLine="360"/>
        <w:jc w:val="both"/>
        <w:rPr>
          <w:shd w:fill="FFFFFF" w:val="clear"/>
        </w:rPr>
      </w:pPr>
      <w:r>
        <w:rPr>
          <w:shd w:fill="FFFFFF" w:val="clear"/>
        </w:rPr>
        <w:t>​</w:t>
      </w:r>
    </w:p>
    <w:tbl>
      <w:tblPr>
        <w:tblW w:w="5065" w:type="dxa"/>
        <w:jc w:val="left"/>
        <w:tblInd w:w="0" w:type="dxa"/>
        <w:tblLayout w:type="fixed"/>
        <w:tblCellMar>
          <w:top w:w="0" w:type="dxa"/>
          <w:left w:w="0" w:type="dxa"/>
          <w:bottom w:w="0" w:type="dxa"/>
          <w:right w:w="0" w:type="dxa"/>
        </w:tblCellMar>
      </w:tblPr>
      <w:tblGrid>
        <w:gridCol w:w="2596"/>
        <w:gridCol w:w="109"/>
        <w:gridCol w:w="931"/>
        <w:gridCol w:w="109"/>
        <w:gridCol w:w="383"/>
        <w:gridCol w:w="9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48460" cy="175260"/>
                      <wp:effectExtent l="0" t="0" r="0" b="0"/>
                      <wp:wrapNone/>
                      <wp:docPr id="149" name="Frame14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0"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91185" cy="175260"/>
                      <wp:effectExtent l="0" t="0" r="0" b="0"/>
                      <wp:wrapNone/>
                      <wp:docPr id="151" name="Frame1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2"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43205" cy="175260"/>
                      <wp:effectExtent l="0" t="0" r="0" b="0"/>
                      <wp:wrapNone/>
                      <wp:docPr id="153" name="Frame152"/>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94995" cy="175260"/>
                      <wp:effectExtent l="0" t="0" r="0" b="0"/>
                      <wp:wrapNone/>
                      <wp:docPr id="154" name="Frame153"/>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29, 2024</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3,653,726</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464,728</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(895,954)</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(43,849)</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30, 2025</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3,178,651</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Stock Units (“PSUs”)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On March 20, 2025, Mark Vos, also received a grant of 300,000 PSUs, which will vest on the date when both of the following have occurred: (i) Performance Achievement: the Volume-Weighted Average Price (“VWAP”) of the Company’s common stock over trailing ten (10) trading days equals or exceeds $10.00 on a date when Mr. Vos remains employed by the Company or within ninety (90) days following termination of Mr. Vos' employment; and (ii) Service Achievement: Mr. Vos remains employed with the Company through December 31, 2025. On March 20, 2025, Laura Deady Holt also received a grant of 50,000 PSUs, which vest on the date when both of the following have occurred, provided that Ms. Deady Holt remains employed with the Company through such date: (i) the Company files a Form 10-Q or Form 10-K with the SEC indicating that the Company has trailing twelve months’ net revenue that is at least $150 million more than the Company’s net revenue in the fiscal year ended December 31, 2023 and (ii) the second anniversary of Ms. Holt's start date has occurred</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recognized equity-based compensation expense of $0.3 million and $0.6 million during the thirteen weeks ended March 30, 2025, and March 31, 2024, respectively, related to the PSUs. As of March 30, 2025, the unrecognized equity-based compensation expense is $0.5 million for the financial milestones that were considered probable of achievement, which will be recognized over a weighted-average period of 1.26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roll forward of unvested PSUs during the thirteen weeks ended March 30, 2025:</w:t>
      </w:r>
    </w:p>
    <w:p>
      <w:pPr>
        <w:pStyle w:val="TextBody"/>
        <w:bidi w:val="0"/>
        <w:spacing w:before="0" w:after="0"/>
        <w:ind w:left="0" w:right="0" w:hanging="0"/>
        <w:jc w:val="left"/>
        <w:rPr/>
      </w:pPr>
      <w:r>
        <w:rPr/>
        <w:t>​</w:t>
      </w:r>
    </w:p>
    <w:tbl>
      <w:tblPr>
        <w:tblW w:w="5065" w:type="dxa"/>
        <w:jc w:val="left"/>
        <w:tblInd w:w="0" w:type="dxa"/>
        <w:tblLayout w:type="fixed"/>
        <w:tblCellMar>
          <w:top w:w="0" w:type="dxa"/>
          <w:left w:w="0" w:type="dxa"/>
          <w:bottom w:w="0" w:type="dxa"/>
          <w:right w:w="0" w:type="dxa"/>
        </w:tblCellMar>
      </w:tblPr>
      <w:tblGrid>
        <w:gridCol w:w="2596"/>
        <w:gridCol w:w="109"/>
        <w:gridCol w:w="931"/>
        <w:gridCol w:w="109"/>
        <w:gridCol w:w="383"/>
        <w:gridCol w:w="9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48460" cy="175260"/>
                      <wp:effectExtent l="0" t="0" r="0" b="0"/>
                      <wp:wrapNone/>
                      <wp:docPr id="155" name="Frame15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6"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91185" cy="175260"/>
                      <wp:effectExtent l="0" t="0" r="0" b="0"/>
                      <wp:wrapNone/>
                      <wp:docPr id="157" name="Frame1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8"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43205" cy="175260"/>
                      <wp:effectExtent l="0" t="0" r="0" b="0"/>
                      <wp:wrapNone/>
                      <wp:docPr id="159" name="Frame15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94995" cy="175260"/>
                      <wp:effectExtent l="0" t="0" r="0" b="0"/>
                      <wp:wrapNone/>
                      <wp:docPr id="160" name="Frame159"/>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29, 2024</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2,161,571</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forfeited</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30, 2025</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2,511,571</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4" w:name="_Hlk180477403"/>
      <w:bookmarkStart w:id="835" w:name="Tc_f6UbD6AzwU2VOVTvHXLbHg_6_7"/>
      <w:bookmarkStart w:id="836" w:name="Tc_JDuxhK3JE02jEJrRXPzgvA_6_4"/>
      <w:bookmarkStart w:id="837" w:name="Tc_AggovIp-sEmu23gFFJc2dg_6_0"/>
      <w:bookmarkStart w:id="838" w:name="Tc_FY9dw9zLtEexAF7VnbtBAA_5_0"/>
      <w:bookmarkStart w:id="839" w:name="Tc_a0ANY7VqgUKXEcTCAtIXMg_4_5"/>
      <w:bookmarkStart w:id="840" w:name="Tc_xZY3XQQnI0aCXmyZS_bqjQ_4_2"/>
      <w:bookmarkStart w:id="841" w:name="Tc_gPj_fbzZLEKfvo3FiHfjPA_4_0"/>
      <w:bookmarkStart w:id="842" w:name="Tc_uGQE9cfFdEOyf5mNyJICYQ_3_5"/>
      <w:bookmarkStart w:id="843" w:name="Tc_paXOtcNDuUOxOgYMLiqVmQ_3_2"/>
      <w:bookmarkStart w:id="844" w:name="Tc_J0hHMrlHc06ZjjBEHSoiGg_2_5"/>
      <w:bookmarkStart w:id="845" w:name="Tc_WXJcCCerOEaLcHIZz0_q2g_2_2"/>
      <w:bookmarkStart w:id="846" w:name="Tc_awP7vrUrekWejmtn1zbf5w_1_2"/>
      <w:bookmarkStart w:id="847" w:name="_3d95aeb4_8976_44c5_9501_78b82425d041"/>
      <w:bookmarkStart w:id="848" w:name="_Hlk18047738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loss before income taxes is from the United States. The following table presents the components of the benefit for income taxes (in thousands):</w:t>
      </w:r>
    </w:p>
    <w:p>
      <w:pPr>
        <w:pStyle w:val="TextBody"/>
        <w:bidi w:val="0"/>
        <w:spacing w:before="0" w:after="0"/>
        <w:ind w:left="0" w:right="0" w:hanging="0"/>
        <w:jc w:val="left"/>
        <w:rPr/>
      </w:pPr>
      <w:r>
        <w:rPr/>
        <w:t>​</w:t>
      </w:r>
    </w:p>
    <w:tbl>
      <w:tblPr>
        <w:tblW w:w="5818" w:type="dxa"/>
        <w:jc w:val="left"/>
        <w:tblInd w:w="0" w:type="dxa"/>
        <w:tblLayout w:type="fixed"/>
        <w:tblCellMar>
          <w:top w:w="0" w:type="dxa"/>
          <w:left w:w="0" w:type="dxa"/>
          <w:bottom w:w="0" w:type="dxa"/>
          <w:right w:w="0" w:type="dxa"/>
        </w:tblCellMar>
      </w:tblPr>
      <w:tblGrid>
        <w:gridCol w:w="3046"/>
        <w:gridCol w:w="326"/>
        <w:gridCol w:w="211"/>
        <w:gridCol w:w="691"/>
        <w:gridCol w:w="326"/>
        <w:gridCol w:w="211"/>
        <w:gridCol w:w="691"/>
        <w:gridCol w:w="316"/>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34210" cy="175260"/>
                      <wp:effectExtent l="0" t="0" r="0" b="0"/>
                      <wp:wrapNone/>
                      <wp:docPr id="161" name="Frame160"/>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3"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8785" cy="175260"/>
                      <wp:effectExtent l="0" t="0" r="0" b="0"/>
                      <wp:wrapNone/>
                      <wp:docPr id="164" name="Frame1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6"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38785" cy="175260"/>
                      <wp:effectExtent l="0" t="0" r="0" b="0"/>
                      <wp:wrapNone/>
                      <wp:docPr id="167" name="Frame1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0660" cy="175260"/>
                      <wp:effectExtent l="0" t="0" r="0" b="0"/>
                      <wp:wrapNone/>
                      <wp:docPr id="168" name="Frame16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center"/>
              <w:rPr/>
            </w:pPr>
            <w:r>
              <w:rPr/>
              <w:t>​</w:t>
            </w:r>
          </w:p>
        </w:tc>
      </w:tr>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16"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left"/>
              <w:rPr/>
            </w:pPr>
            <w:r>
              <w:rPr/>
              <w:t> </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16"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benefits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For fiscal year 2025, due to the uncertain and evolving impacts related to tariffs, the Company believed that using the year-to-date actual operating result was more reasonable. As such, beginning with the thirteen weeks ended March 30, 2025, the Company’s tax provision for interim periods was determined using a discrete effective tax rate method, as allowed by ASC Topic 740-270, Income Taxes, Interim Reporting.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thirteen weeks ended March 30, 2025, the Company's effective tax rate differs from the federal income tax rate of 21% primarily due to the valuation allowance adjustment against its deferred taxes as the Company could not provide sufficient positive evidence that the deferred tax assets will be more-likely-than-not realized in the future. For the thirteen weeks ended March 31, 2024, the Company's effective tax rate differs from the federal income tax rate of 21% primarily due to non-deductible executive compensation and non-deductible equity-based compensation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established a valuation allowance of $14.9 million as of December 29, 2024 and maintained the same position for the period ended March 30, 2025.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Related Party Transactions</w:t>
      </w:r>
    </w:p>
    <w:p>
      <w:pPr>
        <w:pStyle w:val="TextBody"/>
        <w:bidi w:val="0"/>
        <w:spacing w:lineRule="auto" w:line="328" w:before="120" w:after="120"/>
        <w:ind w:left="0" w:right="0" w:hanging="0"/>
        <w:jc w:val="left"/>
        <w:rPr>
          <w:rFonts w:ascii="Times New Roman;Times;serif" w:hAnsi="Times New Roman;Times;serif"/>
          <w:b/>
          <w:i/>
          <w:sz w:val="20"/>
        </w:rPr>
      </w:pPr>
      <w:r>
        <w:rPr>
          <w:rFonts w:ascii="Times New Roman;Times;serif" w:hAnsi="Times New Roman;Times;serif"/>
          <w:b/>
          <w:i/>
          <w:sz w:val="20"/>
        </w:rPr>
        <w:t>Significant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long-lived assets are located in the United States and substantially all revenue is attributable to customers based in the United States. International sales are not significant.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accounting policies of the one reportable segment are the same as those described in the summary of significant accounting policies. The measurement of segment assets is reported on the condensed consolidated balance sheet as total condensed consolidated assets. All assets, liabilities, cash flows, revenue and expenses are reported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849" w:name="Tc_tyOPgw6yi0-kcg2HfOBXZg_15_4"/>
      <w:bookmarkStart w:id="850" w:name="Tc_0YoOKMZagEWZA2NYzlUZnw_15_1"/>
      <w:bookmarkStart w:id="851" w:name="Tc_wWevX1BxzEatUNlJFOuLxw_15_0"/>
      <w:bookmarkStart w:id="852" w:name="Tc_D8BdUtxkQkCVIE0VV4WE4w_14_0"/>
      <w:bookmarkStart w:id="853" w:name="Tc_XRnd2Xu2lEiDSa99Z5TQIQ_13_0"/>
      <w:bookmarkStart w:id="854" w:name="Tc_8EqJ7BjIsU-qn9-04dfopw_12_0"/>
      <w:bookmarkStart w:id="855" w:name="Tc__WxOcQYim0uOp_swJjiGvw_11_0"/>
      <w:bookmarkStart w:id="856" w:name="Tc_XvSwSSIt50Opjv6Z3aQ5Ug_10_0"/>
      <w:bookmarkStart w:id="857" w:name="Tc_mUu_gwS4IUOiHO0teL7HEA_9_0"/>
      <w:bookmarkStart w:id="858" w:name="Tc_CyS4NlIWCUOxDqHD2mJ9yw_8_0"/>
      <w:bookmarkStart w:id="859" w:name="Tc_EM-taQV-aEyttL5z0SJiEA_7_0"/>
      <w:bookmarkStart w:id="860" w:name="Tc_eWfnyR6LU0WEoWdYSEByQw_6_0"/>
      <w:bookmarkStart w:id="861" w:name="Tc_0Ff8GdzL7EKjgKdPggoCFg_5_4"/>
      <w:bookmarkStart w:id="862" w:name="Tc_4eZg2afcOEuO4Yg1B5hWMA_5_1"/>
      <w:bookmarkStart w:id="863" w:name="Tc_rSuYRy7Sy0uv3rOP-NnCyQ_5_0"/>
      <w:bookmarkStart w:id="864" w:name="Tc_iQB0JPy2EEWgILXobB77_A_3_4"/>
      <w:bookmarkStart w:id="865" w:name="Tc_LLi3QVi200KrtWJdn3x8Vg_3_1"/>
      <w:bookmarkStart w:id="866" w:name="Tc_e6FRrWxSqk6l_7E5MIYtOQ_2_4"/>
      <w:bookmarkStart w:id="867" w:name="Tc_3oERuP4IB02FKHALlELchw_2_1"/>
      <w:bookmarkStart w:id="868" w:name="Tc_7d11DxLoW0eFDkbT4lxNHg_1_1"/>
      <w:bookmarkStart w:id="869" w:name="_96c89278_d65b_4db8_9209_4ace4600faca"/>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sz w:val="20"/>
        </w:rPr>
        <w:t>Company’s one reportable segment. When evaluating the Company’s financial performance and making strategic decisions, the Chief Operating Decision Maker (“CODM”) focuses their review of expenses incurred by the nature of those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table below is a summary of the segment profit or loss, including significant segment expenses (in thousands):</w:t>
      </w:r>
    </w:p>
    <w:p>
      <w:pPr>
        <w:pStyle w:val="TextBody"/>
        <w:bidi w:val="0"/>
        <w:spacing w:before="0" w:after="0"/>
        <w:ind w:left="0" w:right="0" w:hanging="0"/>
        <w:jc w:val="both"/>
        <w:rPr>
          <w:shd w:fill="FFFFFF" w:val="clear"/>
        </w:rPr>
      </w:pPr>
      <w:r>
        <w:rPr>
          <w:shd w:fill="FFFFFF" w:val="clear"/>
        </w:rPr>
        <w:t>​</w:t>
      </w:r>
    </w:p>
    <w:tbl>
      <w:tblPr>
        <w:tblW w:w="7985" w:type="dxa"/>
        <w:jc w:val="left"/>
        <w:tblInd w:w="0" w:type="dxa"/>
        <w:tblLayout w:type="fixed"/>
        <w:tblCellMar>
          <w:top w:w="0" w:type="dxa"/>
          <w:left w:w="0" w:type="dxa"/>
          <w:bottom w:w="0" w:type="dxa"/>
          <w:right w:w="0" w:type="dxa"/>
        </w:tblCellMar>
      </w:tblPr>
      <w:tblGrid>
        <w:gridCol w:w="5701"/>
        <w:gridCol w:w="211"/>
        <w:gridCol w:w="691"/>
        <w:gridCol w:w="326"/>
        <w:gridCol w:w="211"/>
        <w:gridCol w:w="691"/>
        <w:gridCol w:w="154"/>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0135" cy="175260"/>
                      <wp:effectExtent l="0" t="0" r="0" b="0"/>
                      <wp:wrapNone/>
                      <wp:docPr id="169" name="Frame168"/>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0"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38785" cy="175260"/>
                      <wp:effectExtent l="0" t="0" r="0" b="0"/>
                      <wp:wrapNone/>
                      <wp:docPr id="171"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74" name="Frame1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7790" cy="175260"/>
                      <wp:effectExtent l="0" t="0" r="0" b="0"/>
                      <wp:wrapNone/>
                      <wp:docPr id="175" name="Frame17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1"/>
              <w:ind w:left="0" w:right="0" w:hanging="0"/>
              <w:jc w:val="righ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righ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4" w:type="dxa"/>
            <w:tcBorders/>
            <w:vAlign w:val="center"/>
          </w:tcPr>
          <w:p>
            <w:pPr>
              <w:pStyle w:val="TableContents"/>
              <w:bidi w:val="0"/>
              <w:spacing w:before="0" w:after="1"/>
              <w:ind w:left="0" w:right="0" w:hanging="0"/>
              <w:jc w:val="left"/>
              <w:rPr/>
            </w:pPr>
            <w:r>
              <w:rPr/>
              <w:t>​</w:t>
            </w:r>
          </w:p>
        </w:tc>
      </w:tr>
      <w:tr>
        <w:trPr/>
        <w:tc>
          <w:tcPr>
            <w:tcW w:w="5701" w:type="dxa"/>
            <w:tcBorders/>
            <w:vAlign w:val="center"/>
          </w:tcPr>
          <w:p>
            <w:pPr>
              <w:pStyle w:val="TableContents"/>
              <w:bidi w:val="0"/>
              <w:spacing w:before="0" w:after="1"/>
              <w:ind w:left="0" w:right="0" w:hanging="0"/>
              <w:jc w:val="righ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left"/>
              <w:rPr/>
            </w:pPr>
            <w:r>
              <w:rPr/>
              <w:t>​</w:t>
            </w:r>
          </w:p>
        </w:tc>
      </w:tr>
      <w:tr>
        <w:trPr/>
        <w:tc>
          <w:tcPr>
            <w:tcW w:w="570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64,155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77,259</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38,314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44,613</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expenses (excluding equity-based compensation expense)</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13,695</w:t>
            </w:r>
          </w:p>
        </w:tc>
        <w:tc>
          <w:tcPr>
            <w:tcW w:w="154"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 expense</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1,934</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 expenses</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13,044</w:t>
            </w:r>
          </w:p>
        </w:tc>
        <w:tc>
          <w:tcPr>
            <w:tcW w:w="154"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 costs (1)</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9,234</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(2)</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154"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154"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net loss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(5,736)</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net costs include professional services fees, other selling costs, other general and administrative costs, technology and software costs, facilities costs, interest income, non-operating income and expenses, and other immaterial expenses that do not align with the separately presented expense categories.</w:t>
            </w:r>
          </w:p>
        </w:tc>
      </w:tr>
    </w:tbl>
    <w:tbl>
      <w:tblPr>
        <w:tblW w:w="7971" w:type="dxa"/>
        <w:jc w:val="left"/>
        <w:tblInd w:w="0" w:type="dxa"/>
        <w:tblLayout w:type="fixed"/>
        <w:tblCellMar>
          <w:top w:w="28" w:type="dxa"/>
          <w:left w:w="28" w:type="dxa"/>
          <w:bottom w:w="28" w:type="dxa"/>
          <w:right w:w="28" w:type="dxa"/>
        </w:tblCellMar>
      </w:tblPr>
      <w:tblGrid>
        <w:gridCol w:w="124"/>
        <w:gridCol w:w="331"/>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Excludes depreciation expense related to distribution facilities recorded in cost of revenue.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Amendment to the Company's Non-Employee Director Compensation Program</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28, 2025 the Compensation Committee of the Board of Directors of the Company (the “Compensation Committee”) approved an amendment to the Company's Non-Employee Director Compensation Program to (i) eliminate the additional annual RSU award for the Non-Employee Board Chair and increase the applicable cash retainer to $75,000 for the Non-Employee Board Chair, (ii) provide that each award of RSUs may be limited by a share price floor established from time to time by the Compensation Committee, (iii) permit the Compensation Committee to annually determine whether to allow Non-Employee directors to elect to convert all or a portion of their annual retainers into awards of RSUs, (iv) allow for Non-Employee Directors to waive their right to receive compensation under the Non-Employee Director Compensation Program entirely or for a specific period, and (v) permit for cash to be paid in lieu of any RSU grant or portion of any RSU grant under the Non-Employee Director Compensation Program and provide for flexibility relating to the timing of any cash payment or award of RSUs as the Compensation Committee may deem appropriate.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full text of the Fourth Amendment to the Company's Non-Employee Director Compensation Program is filed as Exhibit 10.2 to this Quarterly Report on Form 10-Q and incorporated hereto by reference.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Easton, Pennsylvania Fourth Lease Amendment</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7, 2025, the Company entered into an extension of the lease for its distribution center in Easton, Pennsylvania. The lease has been extended for an additional three-year term, beginning February 1, 2026, and two five-year renewal options.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bookmarkStart w:id="870" w:name="_Hlk196645562"/>
      <w:bookmarkEnd w:id="870"/>
      <w:r>
        <w:rPr>
          <w:rFonts w:ascii="Times New Roman;Times;serif" w:hAnsi="Times New Roman;Times;serif"/>
          <w:b/>
          <w:i/>
          <w:sz w:val="20"/>
        </w:rPr>
        <w:t>One-Time Cash Payment to Directors in Lieu of 2025 Annual RSU Awards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After evaluating the potential dilutive impact of the non-employee director RSU awards pursuant to the Company’s Amended Non-Employee Director Compensation Program, on May 1, 2025, the Board approved a one-time, cash payment of $50,000 to each eligible non-employee director in lieu of his or her $100,000 fiscal year 2025 annual RSU award. This cash payment will be payable on the date of the 2026 annual meeting of stockholders, subject to each non-employee director’s continued service on the Board of Directors through such payment date.</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Reduction in Amounts Outstanding under 2021 Credit Agreement, as Amended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Subsequent to March 30, 2025, the Company repaid $2.8 million of the revolving line of credit balance, reduced its outstanding letters of credit by $0.3 million and reduced the Company’s Revolving Commitment to $7.5 million. As of the filing date of this Quarterly Report on Form 10-Q, the Company had $7.3 million outstanding on the revolving line of credit and $0.2 million in outstanding letters of credit. The Fourth Credit Amendment also provides for a further reduction of the Company’s Revolving Commitment to $6.0 million on May 31, 2025.</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Trade Policy and Tariff Uncertainties</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Subsequent to March 30, 2025, the United States government imposed significant tariffs on imports from various countries, including Canada, Mexico and China. On April 4, 2025, a global reciprocal tariff program was announced, establishing a minimum 10% tariff on most imported goods. These country-specific tariffs significantly increased, reaching 145% on Chinese imports and 125% on certain U.S. goods imported into China. However, a major development occurred on May 12, 2025, resulting in a 90-day agreement between the U.S. and China to substantially reduce these tariffs. With this agreement, U.S. tariffs on Chinese imports fell from 145% to approximately 30% (including pre-existing tariffs), while Chinese tariffs on some U.S. imports decreased from 125% to 10%. This 90-day period will allow for further negotiations. The potential impact on the Company’s results and financial condition remains uncertain. The Company’s management continues to monitor the impacts of the tariffs on its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71" w:name="Item2ManagementsDiscussionandAnalysisofF"/>
      <w:bookmarkStart w:id="872" w:name="_aa96b47d_7a68_45af_a27c_bad100ca63d7"/>
      <w:bookmarkEnd w:id="871"/>
      <w:bookmarkEnd w:id="872"/>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December 29, 2024, filed with the Securities and Exchange Commission (“SEC”) on March 27, 2025 (the “2024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in the 2024 10-K and Part II, Item 1A, “Risk Factors” in this Quarterly Report on Form 10-Q for the quarter ended March 30, 2025.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Lulu’s Fashion Lounge Holdings, Inc., a Delaware Corporation (“Lulus”, “we”, “our”, or the “Company”) is a customer-driven, digitally-native attainable luxury fashion brand for women, offering modern, unapologetically feminine designs at attainable prices for all of life’s fashionable moments. Our goal is to become the most trusted and number one destination for dresses, helping every woman feel confident and celebrated, supporting her for all of life's occasions.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r>
        <w:rPr>
          <w:rFonts w:ascii="Times New Roman;Times;serif" w:hAnsi="Times New Roman;Times;serif"/>
          <w:sz w:val="20"/>
        </w:rPr>
        <w: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Impact of Macroeconomic Trends on Business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student loan repayment resumption, tariffs or bans, world events, wars and domestic and international conflicts, existing and future laws and regulations, directives (including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accompanying condensed consolidated financial statements have been prepared on a going concern basis, which contemplates the realization of assets and the satisfaction of liabilities in the normal course of business. During the thirteen weeks ended March 30, 2025, and March 31, 2024, the Company incurred net losses of $8.0 million and $5.7 million, respectively. As of March 30, 2025, we had total cash and cash equivalents of $8.6 million and $10.1 million in outstanding amounts under the credit agreement with Bank of America for the Company’s revolving facility (“2021 Credit Agreement”), as amended, classified within total current liabilities. During the thirteen weeks ended March 30, 2025, we borrowed no amounts under the 2021 Credit Agreement, as amended, and repaid $3.0 million of the outstanding balance. Subsequent to March 30, 2025 and through the filing date of this Quarterly Report on Form 10-Q, the Company repaid an additional $2.8 million of the revolving line of credit balance and reduced its outstanding letters of credit by $0.3 million. See Note 5, </w:t>
      </w:r>
      <w:r>
        <w:rPr>
          <w:rFonts w:ascii="Times New Roman;Times;serif" w:hAnsi="Times New Roman;Times;serif"/>
          <w:i/>
          <w:sz w:val="20"/>
          <w:shd w:fill="FFFFFF" w:val="clear"/>
        </w:rPr>
        <w:t>Debt</w:t>
      </w:r>
      <w:r>
        <w:rPr>
          <w:rFonts w:ascii="Times New Roman;Times;serif" w:hAnsi="Times New Roman;Times;serif"/>
          <w:sz w:val="20"/>
          <w:shd w:fill="FFFFFF" w:val="clear"/>
        </w:rPr>
        <w:t> of the accompanying notes to our condensed consolidated financial statements for further information on the 2021 Credit Agreement, as amended</w:t>
      </w:r>
      <w:r>
        <w:rPr>
          <w:rFonts w:ascii="Times New Roman;Times;serif" w:hAnsi="Times New Roman;Times;serif"/>
          <w:sz w:val="20"/>
        </w:rPr>
        <w: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We are actively seeking alternative debt financing and will continue to take certain cash conservation measures, including adjustments to marketing and other fixed and variable costs and capital spend to meet our obligations as needed. As the ability to raise additional debt financing is outside of management’s control, we cannot conclude that management’s plans will be effectively implemented within twelve months from the date the condensed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are issued. Accordingly, we have concluded that these plans do not alleviate substantial doubt about the Company's ability to continue as a going concern. The condensed consolidated financial statements do not reflect any adjustments that might result from the outcome of this uncertainty.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w:t>
      </w:r>
    </w:p>
    <w:tbl>
      <w:tblPr>
        <w:tblW w:w="7522" w:type="dxa"/>
        <w:jc w:val="left"/>
        <w:tblInd w:w="0" w:type="dxa"/>
        <w:tblLayout w:type="fixed"/>
        <w:tblCellMar>
          <w:top w:w="0" w:type="dxa"/>
          <w:left w:w="0" w:type="dxa"/>
          <w:bottom w:w="0" w:type="dxa"/>
          <w:right w:w="0" w:type="dxa"/>
        </w:tblCellMar>
      </w:tblPr>
      <w:tblGrid>
        <w:gridCol w:w="2491"/>
        <w:gridCol w:w="326"/>
        <w:gridCol w:w="373"/>
        <w:gridCol w:w="1116"/>
        <w:gridCol w:w="638"/>
        <w:gridCol w:w="258"/>
        <w:gridCol w:w="373"/>
        <w:gridCol w:w="1116"/>
        <w:gridCol w:w="640"/>
        <w:gridCol w:w="19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81785" cy="175260"/>
                      <wp:effectExtent l="0" t="0" r="0" b="0"/>
                      <wp:wrapNone/>
                      <wp:docPr id="176" name="Frame175"/>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7"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36855" cy="175260"/>
                      <wp:effectExtent l="0" t="0" r="0" b="0"/>
                      <wp:wrapNone/>
                      <wp:docPr id="178" name="Frame177"/>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08660" cy="175260"/>
                      <wp:effectExtent l="0" t="0" r="0" b="0"/>
                      <wp:wrapNone/>
                      <wp:docPr id="179" name="Frame178"/>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05130" cy="175260"/>
                      <wp:effectExtent l="0" t="0" r="0" b="0"/>
                      <wp:wrapNone/>
                      <wp:docPr id="180" name="Frame179"/>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3830" cy="175260"/>
                      <wp:effectExtent l="0" t="0" r="0" b="0"/>
                      <wp:wrapNone/>
                      <wp:docPr id="181" name="Frame18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36855" cy="175260"/>
                      <wp:effectExtent l="0" t="0" r="0" b="0"/>
                      <wp:wrapNone/>
                      <wp:docPr id="182" name="Frame181"/>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08660" cy="175260"/>
                      <wp:effectExtent l="0" t="0" r="0" b="0"/>
                      <wp:wrapNone/>
                      <wp:docPr id="183" name="Frame182"/>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06400" cy="175260"/>
                      <wp:effectExtent l="0" t="0" r="0" b="0"/>
                      <wp:wrapNone/>
                      <wp:docPr id="184" name="Frame183"/>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1285" cy="175260"/>
                      <wp:effectExtent l="0" t="0" r="0" b="0"/>
                      <wp:wrapNone/>
                      <wp:docPr id="185" name="Frame18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91"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258" w:type="dxa"/>
            <w:tcBorders/>
            <w:vAlign w:val="center"/>
          </w:tcPr>
          <w:p>
            <w:pPr>
              <w:pStyle w:val="TableContents"/>
              <w:bidi w:val="0"/>
              <w:spacing w:before="0" w:after="0"/>
              <w:ind w:left="0" w:right="0" w:hanging="0"/>
              <w:jc w:val="left"/>
              <w:rPr/>
            </w:pPr>
            <w:r>
              <w:rPr/>
              <w:t>​</w:t>
            </w:r>
          </w:p>
        </w:tc>
        <w:tc>
          <w:tcPr>
            <w:tcW w:w="212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8" w:type="dxa"/>
            <w:tcBorders/>
            <w:vAlign w:val="center"/>
          </w:tcPr>
          <w:p>
            <w:pPr>
              <w:pStyle w:val="TableContents"/>
              <w:bidi w:val="0"/>
              <w:spacing w:before="0" w:after="0"/>
              <w:ind w:left="0" w:right="0" w:hanging="0"/>
              <w:jc w:val="left"/>
              <w:rPr/>
            </w:pPr>
            <w:r>
              <w:rPr/>
              <w:t>​</w:t>
            </w:r>
          </w:p>
        </w:tc>
        <w:tc>
          <w:tcPr>
            <w:tcW w:w="212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w:t>
            </w:r>
          </w:p>
        </w:tc>
      </w:tr>
      <w:tr>
        <w:trPr/>
        <w:tc>
          <w:tcPr>
            <w:tcW w:w="752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Average Order Value)</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6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8" w:type="dxa"/>
            <w:tcBorders/>
            <w:shd w:fill="CCEEFF" w:val="clear"/>
            <w:vAlign w:val="center"/>
          </w:tcPr>
          <w:p>
            <w:pPr>
              <w:pStyle w:val="TableContents"/>
              <w:bidi w:val="0"/>
              <w:spacing w:before="0" w:after="0"/>
              <w:ind w:left="0" w:right="0" w:hanging="0"/>
              <w:jc w:val="left"/>
              <w:rPr/>
            </w:pPr>
            <w:r>
              <w:rPr/>
              <w:t> </w:t>
            </w:r>
          </w:p>
        </w:tc>
        <w:tc>
          <w:tcPr>
            <w:tcW w:w="373"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638"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640"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(1)</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638"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c>
          <w:tcPr>
            <w:tcW w:w="640"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 (1)</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6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58"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6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26" w:type="dxa"/>
            <w:tcBorders/>
            <w:shd w:fill="CCEEFF" w:val="clear"/>
            <w:vAlign w:val="center"/>
          </w:tcPr>
          <w:p>
            <w:pPr>
              <w:pStyle w:val="TableContents"/>
              <w:bidi w:val="0"/>
              <w:spacing w:before="0" w:after="0"/>
              <w:ind w:left="0" w:right="0" w:hanging="0"/>
              <w:jc w:val="left"/>
              <w:rPr/>
            </w:pPr>
            <w:r>
              <w:rPr/>
              <w:t>    </w:t>
            </w:r>
          </w:p>
        </w:tc>
        <w:tc>
          <w:tcPr>
            <w:tcW w:w="373"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c>
          <w:tcPr>
            <w:tcW w:w="638"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w:t>
            </w:r>
          </w:p>
        </w:tc>
        <w:tc>
          <w:tcPr>
            <w:tcW w:w="64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638"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640"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8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 a reconciliation of non-GAAP financial measures to the most directly comparable GAAP financial measure and why we consider them useful, see “Management’s Discussion and Analysis of Financial Condition and Results of Operations - Non-GAAP Financial Measures.”</w:t>
            </w:r>
          </w:p>
        </w:tc>
      </w:tr>
    </w:tbl>
    <w:p>
      <w:pPr>
        <w:pStyle w:val="TextBody"/>
        <w:pBdr/>
        <w:bidi w:val="0"/>
        <w:spacing w:before="0" w:after="0"/>
        <w:ind w:left="0" w:right="0" w:hanging="369"/>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Active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Average Order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Orders Placed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shd w:fill="FFFFFF" w:val="clear"/>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Adjusted EBITDA, Adjusted EBITDA Margin, and Free Cash Flow</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net loss before interest expense, income taxes,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 We believe that adjusted EBITDA and Adjusted EBITDA margin provide useful information to investors and others in understanding and evaluating our operating results and in comparing operating results across periods. We view Free Cash Flow as an important indicator of our liquidity because it measures the amount of cash we generate.</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supplement our condensed consolidated financial statements which are prepared in accordance with GAAP, we use “Adjusted EBITDA”, “Adjusted EBITDA Margin” (collectively referred to as “Adjusted EBITDA”) and “Free Cash Flow”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does not reflect certain non-routine expenses that may represent a reduction in cash available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excludes equity-based compensation which has been, and will continue to be for the foreseeable future, a significant recurring expense in our business and an important part of our compensation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Although depreciation and amortization are non-cash charges, the assets being depreciated and amortized will often have to be replaced in the future and such measures do not reflect any cash requirements for such replacements;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Free Cash Flow does not represent the total residual cash flow available for discretionary purposes;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32"/>
        <w:jc w:val="both"/>
        <w:rPr>
          <w:rFonts w:ascii="Times New Roman;Times;serif" w:hAnsi="Times New Roman;Times;serif"/>
          <w:sz w:val="20"/>
          <w:shd w:fill="FFFFFF" w:val="clear"/>
        </w:rPr>
      </w:pPr>
      <w:r>
        <w:rPr>
          <w:rFonts w:ascii="Times New Roman;Times;serif" w:hAnsi="Times New Roman;Times;serif"/>
          <w:sz w:val="20"/>
          <w:shd w:fill="FFFFFF" w:val="clear"/>
        </w:rPr>
        <w:t>Due to these limitations, Adjusted EBITDA, Adjusted EBITDA Margin, and Free Cash Flow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equity-based compensation and goodwill impairment.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6169" w:type="dxa"/>
        <w:jc w:val="left"/>
        <w:tblInd w:w="0" w:type="dxa"/>
        <w:tblLayout w:type="fixed"/>
        <w:tblCellMar>
          <w:top w:w="0" w:type="dxa"/>
          <w:left w:w="0" w:type="dxa"/>
          <w:bottom w:w="0" w:type="dxa"/>
          <w:right w:w="0" w:type="dxa"/>
        </w:tblCellMar>
      </w:tblPr>
      <w:tblGrid>
        <w:gridCol w:w="3361"/>
        <w:gridCol w:w="109"/>
        <w:gridCol w:w="211"/>
        <w:gridCol w:w="691"/>
        <w:gridCol w:w="271"/>
        <w:gridCol w:w="109"/>
        <w:gridCol w:w="211"/>
        <w:gridCol w:w="691"/>
        <w:gridCol w:w="361"/>
        <w:gridCol w:w="15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34235" cy="175260"/>
                      <wp:effectExtent l="0" t="0" r="0" b="0"/>
                      <wp:wrapNone/>
                      <wp:docPr id="186" name="Frame185"/>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7"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8"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89" name="Frame1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72085" cy="175260"/>
                      <wp:effectExtent l="0" t="0" r="0" b="0"/>
                      <wp:wrapNone/>
                      <wp:docPr id="190" name="Frame18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1"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93" name="Frame1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9235" cy="175260"/>
                      <wp:effectExtent l="0" t="0" r="0" b="0"/>
                      <wp:wrapNone/>
                      <wp:docPr id="194" name="Frame1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97790" cy="175260"/>
                      <wp:effectExtent l="0" t="0" r="0" b="0"/>
                      <wp:wrapNone/>
                      <wp:docPr id="195" name="Frame1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4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616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4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361"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thirteen weeks ended March 30, 2025 include equity-based compensation expense for performance stock units (“PSUs”) and restricted stock units (“RSUs”) granted during the period and prior periods. </w:t>
            </w:r>
            <w:r>
              <w:rPr>
                <w:rFonts w:ascii="Times New Roman;Times;serif" w:hAnsi="Times New Roman;Times;serif"/>
                <w:b w:val="false"/>
                <w:i w:val="false"/>
                <w:caps w:val="false"/>
                <w:smallCaps w:val="false"/>
                <w:color w:val="212529"/>
                <w:sz w:val="20"/>
                <w:shd w:fill="FFFFFF" w:val="clear"/>
              </w:rPr>
              <w:t>The thirteen weeks ended March 31, 2024 includes equity-based compensation expense for PSUs and RSUs granted during the period and prior periods, as well as equity-based awards granted in prior periods</w:t>
            </w:r>
            <w:r>
              <w:rPr>
                <w:rFonts w:ascii="Times New Roman;Times;serif" w:hAnsi="Times New Roman;Times;serif"/>
                <w:b w:val="false"/>
                <w:i w:val="false"/>
                <w:caps w:val="false"/>
                <w:smallCaps w:val="false"/>
                <w:sz w:val="20"/>
              </w:rPr>
              <w:t>.</w:t>
            </w:r>
          </w:p>
        </w:tc>
      </w:tr>
    </w:tbl>
    <w:p>
      <w:pPr>
        <w:pStyle w:val="TextBody"/>
        <w:pBdr/>
        <w:bidi w:val="0"/>
        <w:spacing w:before="0" w:after="0"/>
        <w:ind w:left="0" w:right="0" w:hanging="369"/>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Free Cash Flow</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Free Cash Flow from net cash provided by operating activities for the thirteen weeks ended March 30, 2025 and March 31, 2024 is as follows:</w:t>
      </w:r>
    </w:p>
    <w:tbl>
      <w:tblPr>
        <w:tblW w:w="6361" w:type="dxa"/>
        <w:jc w:val="left"/>
        <w:tblInd w:w="0" w:type="dxa"/>
        <w:tblLayout w:type="fixed"/>
        <w:tblCellMar>
          <w:top w:w="0" w:type="dxa"/>
          <w:left w:w="0" w:type="dxa"/>
          <w:bottom w:w="0" w:type="dxa"/>
          <w:right w:w="0" w:type="dxa"/>
        </w:tblCellMar>
      </w:tblPr>
      <w:tblGrid>
        <w:gridCol w:w="3466"/>
        <w:gridCol w:w="109"/>
        <w:gridCol w:w="339"/>
        <w:gridCol w:w="921"/>
        <w:gridCol w:w="112"/>
        <w:gridCol w:w="339"/>
        <w:gridCol w:w="921"/>
        <w:gridCol w:w="154"/>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00910" cy="175260"/>
                      <wp:effectExtent l="0" t="0" r="0" b="0"/>
                      <wp:wrapNone/>
                      <wp:docPr id="196" name="Frame195"/>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7"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5265" cy="175260"/>
                      <wp:effectExtent l="0" t="0" r="0" b="0"/>
                      <wp:wrapNone/>
                      <wp:docPr id="198" name="Frame197"/>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84835" cy="175260"/>
                      <wp:effectExtent l="0" t="0" r="0" b="0"/>
                      <wp:wrapNone/>
                      <wp:docPr id="199" name="Frame198"/>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1120" cy="175260"/>
                      <wp:effectExtent l="0" t="0" r="0" b="0"/>
                      <wp:wrapNone/>
                      <wp:docPr id="200" name="Frame199"/>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5265" cy="175260"/>
                      <wp:effectExtent l="0" t="0" r="0" b="0"/>
                      <wp:wrapNone/>
                      <wp:docPr id="201" name="Frame20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84835" cy="175260"/>
                      <wp:effectExtent l="0" t="0" r="0" b="0"/>
                      <wp:wrapNone/>
                      <wp:docPr id="202" name="Frame201"/>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7790" cy="175260"/>
                      <wp:effectExtent l="0" t="0" r="0" b="0"/>
                      <wp:wrapNone/>
                      <wp:docPr id="203" name="Frame20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 2025</w:t>
            </w:r>
          </w:p>
        </w:tc>
        <w:tc>
          <w:tcPr>
            <w:tcW w:w="112"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54"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8,322</w:t>
            </w:r>
          </w:p>
        </w:tc>
        <w:tc>
          <w:tcPr>
            <w:tcW w:w="112"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112"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54"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12" w:type="dxa"/>
            <w:tcBorders/>
            <w:shd w:fill="CCEEFF" w:val="clear"/>
            <w:vAlign w:val="center"/>
          </w:tcPr>
          <w:p>
            <w:pPr>
              <w:pStyle w:val="TableContents"/>
              <w:bidi w:val="0"/>
              <w:spacing w:before="0" w:after="0"/>
              <w:ind w:left="0" w:right="0" w:hanging="0"/>
              <w:jc w:val="righ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09"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7,755</w:t>
            </w:r>
          </w:p>
        </w:tc>
        <w:tc>
          <w:tcPr>
            <w:tcW w:w="112" w:type="dxa"/>
            <w:tcBorders/>
            <w:vAlign w:val="center"/>
          </w:tcPr>
          <w:p>
            <w:pPr>
              <w:pStyle w:val="TableContents"/>
              <w:bidi w:val="0"/>
              <w:spacing w:before="0" w:after="0"/>
              <w:ind w:left="0" w:right="0" w:hanging="0"/>
              <w:jc w:val="righ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Our financial condition and results of operations have been, and will continue to be, affected by a number of factors that present significant opportunities for us but also pose risks and challenges, including what is discussed below. See Part I, Item 1A, “Risk Factors” in our 2024 10-K and Part II, Item 1A, </w:t>
      </w:r>
      <w:r>
        <w:rPr>
          <w:rFonts w:ascii="Times New Roman;Times;serif" w:hAnsi="Times New Roman;Times;serif"/>
          <w:sz w:val="20"/>
        </w:rPr>
        <w:t>“Risk Factors”</w:t>
      </w:r>
      <w:r>
        <w:rPr>
          <w:rFonts w:ascii="Times New Roman;Times;serif" w:hAnsi="Times New Roman;Times;serif"/>
          <w:sz w:val="20"/>
          <w:shd w:fill="FFFFFF" w:val="clear"/>
        </w:rPr>
        <w:t xml:space="preserve"> of this Quarterly Report on Form 10-Q for the quarter ended March 30, 2025</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w:t>
      </w:r>
      <w:r>
        <w:rPr>
          <w:rFonts w:ascii="Times New Roman;Times;serif" w:hAnsi="Times New Roman;Times;serif"/>
          <w:sz w:val="20"/>
        </w:rPr>
        <w:t>. During the trailing 12 months ended March 30, 2025, we served 2.6 million Active Customers compared to 2.8 million for the trailing 12 months ended March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will continue to invest in our operations and infrastructure to facilitate further operational efficiencies and growth of our business, while managing expenses to align with our net revenue expectations and goals to return to profitability. We will continue to set a high bar for any new investments or capital spending initiatives as we believe that a disciplined approach to capital spending will enable us to generate positive returns on our investments over the long term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 and Gross Margin</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revenue consists of the product costs of merchandise sold to customers; shipping and handling costs, including all inbound, outbound, and return shipping expenses; rent, insurance, business property tax, utilities, depreciation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continue to increase our legal and financial compliance costs and will make some activities more time-consuming and costly.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shd w:fill="FFFFFF" w:val="clear"/>
        </w:rPr>
        <w:t>Interest Expense</w:t>
      </w:r>
      <w:r>
        <w:rPr>
          <w:rFonts w:ascii="Times New Roman;Times;serif" w:hAnsi="Times New Roman;Times;serif"/>
          <w:b/>
          <w:i/>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Interest expense consists of interest expense related to the revolving facility under the 2021 Credit Agreement, as amended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bookmarkStart w:id="873" w:name="_Hlk180477594"/>
      <w:bookmarkStart w:id="874" w:name="_Hlk180477505"/>
      <w:bookmarkEnd w:id="873"/>
      <w:bookmarkEnd w:id="874"/>
      <w:r>
        <w:rPr>
          <w:rFonts w:ascii="Times New Roman;Times;serif" w:hAnsi="Times New Roman;Times;serif"/>
          <w:b/>
          <w:i/>
          <w:sz w:val="20"/>
        </w:rPr>
        <w:t>Income Tax Benefit</w:t>
      </w:r>
    </w:p>
    <w:p>
      <w:pPr>
        <w:pStyle w:val="TextBody"/>
        <w:bidi w:val="0"/>
        <w:spacing w:before="28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benefit for income taxes represents federal, state, and local income taxes. The effective rate differs from the statutory rate primarily due to </w:t>
      </w:r>
      <w:r>
        <w:rPr>
          <w:rFonts w:ascii="Times New Roman;Times;serif" w:hAnsi="Times New Roman;Times;serif"/>
          <w:sz w:val="20"/>
        </w:rPr>
        <w:t>the establishment of a deferred tax asset valuation allowance as the Company could not provide sufficient positive evidence that the deferred taxes will be more-likely-than-not realized in the future. Our effective tax rate will change from quarter to quarter based on recurring and nonrecurring factors including, but not limited to, enacted tax legislation, state and local income taxes, and tax audit settlements.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Due to the weight of objectively verifiable negative evidence, the Company established a valuation allowance of $14.9 million as of December 29, 2024 and the same position for the period ended March 30,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tables set forth our condensed consolidated results of operations for the periods presented and as a percentage of net revenue and net loss</w:t>
      </w:r>
      <w:r>
        <w:rPr>
          <w:rFonts w:ascii="Times New Roman;Times;serif" w:hAnsi="Times New Roman;Times;serif"/>
          <w:sz w:val="20"/>
        </w:rPr>
        <w:t>:</w:t>
      </w:r>
    </w:p>
    <w:tbl>
      <w:tblPr>
        <w:tblW w:w="5555" w:type="dxa"/>
        <w:jc w:val="left"/>
        <w:tblInd w:w="0" w:type="dxa"/>
        <w:tblLayout w:type="fixed"/>
        <w:tblCellMar>
          <w:top w:w="0" w:type="dxa"/>
          <w:left w:w="0" w:type="dxa"/>
          <w:bottom w:w="0" w:type="dxa"/>
          <w:right w:w="0" w:type="dxa"/>
        </w:tblCellMar>
      </w:tblPr>
      <w:tblGrid>
        <w:gridCol w:w="3091"/>
        <w:gridCol w:w="326"/>
        <w:gridCol w:w="301"/>
        <w:gridCol w:w="691"/>
        <w:gridCol w:w="109"/>
        <w:gridCol w:w="301"/>
        <w:gridCol w:w="73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962785" cy="175260"/>
                      <wp:effectExtent l="0" t="0" r="0" b="0"/>
                      <wp:wrapNone/>
                      <wp:docPr id="204" name="Frame20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91135" cy="175260"/>
                      <wp:effectExtent l="0" t="0" r="0" b="0"/>
                      <wp:wrapNone/>
                      <wp:docPr id="206" name="Frame20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7" name="Frame2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8"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1135" cy="175260"/>
                      <wp:effectExtent l="0" t="0" r="0" b="0"/>
                      <wp:wrapNone/>
                      <wp:docPr id="209" name="Frame20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67360" cy="175260"/>
                      <wp:effectExtent l="0" t="0" r="0" b="0"/>
                      <wp:wrapNone/>
                      <wp:docPr id="210" name="Frame2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55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64,155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38,314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25,841</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15,915</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18,044</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r>
    </w:tbl>
    <w:p>
      <w:pPr>
        <w:pStyle w:val="TextBody"/>
        <w:bidi w:val="0"/>
        <w:spacing w:before="0" w:after="0"/>
        <w:ind w:left="0" w:right="0" w:hanging="0"/>
        <w:jc w:val="left"/>
        <w:rPr/>
      </w:pPr>
      <w:r>
        <w:rPr/>
        <w:t>​</w:t>
      </w:r>
    </w:p>
    <w:tbl>
      <w:tblPr>
        <w:tblW w:w="5824" w:type="dxa"/>
        <w:jc w:val="left"/>
        <w:tblInd w:w="0" w:type="dxa"/>
        <w:tblLayout w:type="fixed"/>
        <w:tblCellMar>
          <w:top w:w="0" w:type="dxa"/>
          <w:left w:w="0" w:type="dxa"/>
          <w:bottom w:w="0" w:type="dxa"/>
          <w:right w:w="0" w:type="dxa"/>
        </w:tblCellMar>
      </w:tblPr>
      <w:tblGrid>
        <w:gridCol w:w="3091"/>
        <w:gridCol w:w="326"/>
        <w:gridCol w:w="489"/>
        <w:gridCol w:w="366"/>
        <w:gridCol w:w="326"/>
        <w:gridCol w:w="482"/>
        <w:gridCol w:w="373"/>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62785" cy="175260"/>
                      <wp:effectExtent l="0" t="0" r="0" b="0"/>
                      <wp:wrapNone/>
                      <wp:docPr id="211" name="Frame21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2"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10515" cy="175260"/>
                      <wp:effectExtent l="0" t="0" r="0" b="0"/>
                      <wp:wrapNone/>
                      <wp:docPr id="213" name="Frame212"/>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32410" cy="175260"/>
                      <wp:effectExtent l="0" t="0" r="0" b="0"/>
                      <wp:wrapNone/>
                      <wp:docPr id="214" name="Frame213"/>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5"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06070" cy="175260"/>
                      <wp:effectExtent l="0" t="0" r="0" b="0"/>
                      <wp:wrapNone/>
                      <wp:docPr id="216" name="Frame215"/>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36855" cy="175260"/>
                      <wp:effectExtent l="0" t="0" r="0" b="0"/>
                      <wp:wrapNone/>
                      <wp:docPr id="217" name="Frame216"/>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35585" cy="175260"/>
                      <wp:effectExtent l="0" t="0" r="0" b="0"/>
                      <wp:wrapNone/>
                      <wp:docPr id="218" name="Frame21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6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73"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73"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73"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73"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73"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73"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w:t>
            </w:r>
          </w:p>
        </w:tc>
        <w:tc>
          <w:tcPr>
            <w:tcW w:w="326" w:type="dxa"/>
            <w:tcBorders/>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3"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Thirteen Weeks Ended March 30, 2025 and March 31, 2024</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Net revenue decreased in the thirteen weeks ended March 30, 2025 by $13.1 million, or 17%, compared to the thirteen weeks ended March 31, 2024 primarily due to a 17% decrease in Total Orders Placed and the impact of lower AOV offset by lower return rates.</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Cost of revenue decreased in the thirteen weeks ended </w:t>
      </w:r>
      <w:r>
        <w:rPr>
          <w:rFonts w:ascii="Times New Roman;Times;serif" w:hAnsi="Times New Roman;Times;serif"/>
          <w:sz w:val="20"/>
        </w:rPr>
        <w:t xml:space="preserve">March 30, 2025 </w:t>
      </w:r>
      <w:r>
        <w:rPr>
          <w:rFonts w:ascii="Times New Roman;Times;serif" w:hAnsi="Times New Roman;Times;serif"/>
          <w:sz w:val="20"/>
          <w:shd w:fill="FFFFFF" w:val="clear"/>
        </w:rPr>
        <w:t>by $6.3 million, or 14%</w:t>
      </w:r>
      <w:r>
        <w:rPr>
          <w:rFonts w:ascii="Times New Roman;Times;serif" w:hAnsi="Times New Roman;Times;serif"/>
          <w:sz w:val="20"/>
        </w:rPr>
        <w:t xml:space="preserve"> </w:t>
      </w:r>
      <w:r>
        <w:rPr>
          <w:rFonts w:ascii="Times New Roman;Times;serif" w:hAnsi="Times New Roman;Times;serif"/>
          <w:sz w:val="20"/>
          <w:shd w:fill="FFFFFF" w:val="clear"/>
        </w:rPr>
        <w:t>compared to the same period of the prior year. The decrease in cost of revenue was primarily driven by the impact of lower revenue, partly offset by higher outbound shipping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Gross profit decreased in the thirteen weeks ended </w:t>
      </w:r>
      <w:r>
        <w:rPr>
          <w:rFonts w:ascii="Times New Roman;Times;serif" w:hAnsi="Times New Roman;Times;serif"/>
          <w:sz w:val="20"/>
        </w:rPr>
        <w:t xml:space="preserve">March 30, 2025 </w:t>
      </w:r>
      <w:r>
        <w:rPr>
          <w:rFonts w:ascii="Times New Roman;Times;serif" w:hAnsi="Times New Roman;Times;serif"/>
          <w:sz w:val="20"/>
          <w:shd w:fill="FFFFFF" w:val="clear"/>
        </w:rPr>
        <w:t>by $6.8 million, or 21%</w:t>
      </w:r>
      <w:r>
        <w:rPr>
          <w:rFonts w:ascii="Times New Roman;Times;serif" w:hAnsi="Times New Roman;Times;serif"/>
          <w:sz w:val="20"/>
        </w:rPr>
        <w:t xml:space="preserve"> </w:t>
      </w:r>
      <w:r>
        <w:rPr>
          <w:rFonts w:ascii="Times New Roman;Times;serif" w:hAnsi="Times New Roman;Times;serif"/>
          <w:sz w:val="20"/>
          <w:shd w:fill="FFFFFF" w:val="clear"/>
        </w:rPr>
        <w:t>compared to the same period of the prior year which was primarily driven by the impact of the lower volume of sales.</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0"/>
        <w:ind w:left="36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Selling and marketing expenses decreased in the thirteen weeks ended March 30, 2025 by $1.8 million, or 10%, compared to </w:t>
      </w:r>
      <w:r>
        <w:rPr>
          <w:rFonts w:ascii="Times New Roman;Times;serif" w:hAnsi="Times New Roman;Times;serif"/>
          <w:sz w:val="20"/>
          <w:shd w:fill="FFFFFF" w:val="clear"/>
        </w:rPr>
        <w:t>the same period of the prior year</w:t>
      </w:r>
      <w:r>
        <w:rPr>
          <w:rFonts w:ascii="Times New Roman;Times;serif" w:hAnsi="Times New Roman;Times;serif"/>
          <w:sz w:val="20"/>
        </w:rPr>
        <w:t xml:space="preserve">, </w:t>
      </w:r>
      <w:r>
        <w:rPr>
          <w:rFonts w:ascii="Times New Roman;Times;serif" w:hAnsi="Times New Roman;Times;serif"/>
          <w:sz w:val="20"/>
          <w:shd w:fill="FFFFFF" w:val="clear"/>
        </w:rPr>
        <w:t>due to lower online marketing costs of $1.0 million, lower performance and awareness marketing spend of $0.5 million, and lower merchant processing fees of $0.3 million, partly due to the lower volume of sales.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decreased in the thirteen weeks ended March 30, 2025 by $3.1 million or 15%, compared to </w:t>
      </w:r>
      <w:r>
        <w:rPr>
          <w:rFonts w:ascii="Times New Roman;Times;serif" w:hAnsi="Times New Roman;Times;serif"/>
          <w:sz w:val="20"/>
          <w:shd w:fill="FFFFFF" w:val="clear"/>
        </w:rPr>
        <w:t>the same period of the prior year</w:t>
      </w:r>
      <w:r>
        <w:rPr>
          <w:rFonts w:ascii="Times New Roman;Times;serif" w:hAnsi="Times New Roman;Times;serif"/>
          <w:sz w:val="20"/>
        </w:rPr>
        <w:t xml:space="preserve">. The decrease was primarily due to a $1.4 million decrease in fixed labor driven by </w:t>
      </w:r>
      <w:r>
        <w:rPr>
          <w:rFonts w:ascii="Times New Roman;Times;serif" w:hAnsi="Times New Roman;Times;serif"/>
          <w:sz w:val="20"/>
          <w:shd w:fill="FFFFFF" w:val="clear"/>
        </w:rPr>
        <w:t>reduced fixed headcount resulting from our cost reduction measures</w:t>
      </w:r>
      <w:r>
        <w:rPr>
          <w:rFonts w:ascii="Times New Roman;Times;serif" w:hAnsi="Times New Roman;Times;serif"/>
          <w:sz w:val="20"/>
        </w:rPr>
        <w:t>, a $0.5 million decrease in variable labor and benefits associated with lower sales volume, partly offset by temporary ramp up costs related to the consolidation of our West Coast distribution facilities, a $0.5 million decrease in equity-based compensation expense, a $0.5 million decrease in D&amp;O liability insurance and legal and professional fees, a $0.1 million decrease in occupancy primarily related to rent and facility expenses and a $0.1 million decrease in software, supplies and travel.</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increased in the thirteen weeks ended March 30, 2025 by $0.2 million, or 51%, compared to </w:t>
      </w:r>
      <w:r>
        <w:rPr>
          <w:rFonts w:ascii="Times New Roman;Times;serif" w:hAnsi="Times New Roman;Times;serif"/>
          <w:sz w:val="20"/>
          <w:shd w:fill="FFFFFF" w:val="clear"/>
        </w:rPr>
        <w:t>the same period of the prior year</w:t>
      </w:r>
      <w:r>
        <w:rPr>
          <w:rFonts w:ascii="Times New Roman;Times;serif" w:hAnsi="Times New Roman;Times;serif"/>
          <w:sz w:val="20"/>
        </w:rPr>
        <w:t xml:space="preserve">. The increase is attributable to </w:t>
      </w:r>
      <w:r>
        <w:rPr>
          <w:rFonts w:ascii="Times New Roman;Times;serif" w:hAnsi="Times New Roman;Times;serif"/>
          <w:sz w:val="20"/>
          <w:shd w:fill="FFFFFF" w:val="clear"/>
        </w:rPr>
        <w:t>higher interest rates, partially offset by lower average borrowings.</w:t>
      </w:r>
    </w:p>
    <w:p>
      <w:pPr>
        <w:pStyle w:val="TextBody"/>
        <w:bidi w:val="0"/>
        <w:spacing w:before="0" w:after="240"/>
        <w:ind w:left="360" w:right="0" w:hanging="0"/>
        <w:jc w:val="left"/>
        <w:rPr>
          <w:rFonts w:ascii="Times New Roman;Times;serif" w:hAnsi="Times New Roman;Times;serif"/>
          <w:i/>
          <w:sz w:val="20"/>
        </w:rPr>
      </w:pPr>
      <w:bookmarkStart w:id="875" w:name="_Hlk180477734"/>
      <w:bookmarkEnd w:id="875"/>
      <w:r>
        <w:rPr>
          <w:rFonts w:ascii="Times New Roman;Times;serif" w:hAnsi="Times New Roman;Times;serif"/>
          <w:i/>
          <w:sz w:val="20"/>
        </w:rPr>
        <w:t>Income Tax Benefit</w:t>
      </w:r>
    </w:p>
    <w:p>
      <w:pPr>
        <w:pStyle w:val="TextBody"/>
        <w:bidi w:val="0"/>
        <w:spacing w:before="0" w:after="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Income tax benefit in the thirteen weeks ended March 30, 2025 decreased by $0.5 million to a benefit of $0.1 million, compared to a benefit of $0.6 million in the thirteen weeks ended March 31, 2024.</w:t>
      </w:r>
    </w:p>
    <w:p>
      <w:pPr>
        <w:pStyle w:val="TextBody"/>
        <w:bidi w:val="0"/>
        <w:spacing w:before="0" w:after="0"/>
        <w:ind w:left="0" w:right="0" w:hanging="0"/>
        <w:jc w:val="both"/>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increased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quarterly gross profit fluctuates primarily based on how we manage our inventory and merchandise mix and has typically been in line with fluctuations in net revenue. When quarterly gross profit fluctuations have deviated relative to the fluctuations in sales, these situations have been driven by non-recurring, external factors, such as global pandemics or trade wars.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due to changes in the number of seasonal workers to meet demand based on our seasonality.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Our primary sources of liquidity and capital resources are cash generated from operating activities as we have no further access to borrowings under our 2021 Credit Agreement, as amended</w:t>
      </w:r>
      <w:r>
        <w:rPr>
          <w:rFonts w:ascii="Times New Roman;Times;serif" w:hAnsi="Times New Roman;Times;serif"/>
          <w:sz w:val="20"/>
        </w:rPr>
        <w:t xml:space="preserve">. </w:t>
      </w:r>
      <w:r>
        <w:rPr>
          <w:rFonts w:ascii="Times New Roman;Times;serif" w:hAnsi="Times New Roman;Times;serif"/>
          <w:sz w:val="20"/>
          <w:shd w:fill="FFFFFF" w:val="clear"/>
        </w:rPr>
        <w:t>Our primary requirements for liquidity and capital are inventory purchases, payroll and general operating expenses, capital expenditures associated with our distribution facilities, capitalized software and debt service requirements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In November 2021, we entered into the 2021 Credit Agreement that provided for borrowings up to $50.0 million with a maturity date of November 15, 2024.</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July 22, 2024, we entered </w:t>
      </w:r>
      <w:r>
        <w:rPr>
          <w:rFonts w:ascii="Times New Roman;Times;serif" w:hAnsi="Times New Roman;Times;serif"/>
          <w:sz w:val="20"/>
        </w:rPr>
        <w:t xml:space="preserve">into an amendment to the 2021 Credit Agreement (the “First Credit Amendment”) </w:t>
      </w:r>
      <w:r>
        <w:rPr>
          <w:rFonts w:ascii="Times New Roman;Times;serif" w:hAnsi="Times New Roman;Times;serif"/>
          <w:color w:val="212529"/>
          <w:sz w:val="20"/>
        </w:rPr>
        <w:t>which extended the maturity date to August 15, 2025 and reduced the Revolving Commitment (as defined in the 2021 Credit Agreement) to $15.0 million, with a further reduction to $10.0 million on or about March 31, 2025. The First Credit Amendment also reduced the previous letters of credit sublimit from $7.5 million to $5.0 million.</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November 12, 2024, we entered </w:t>
      </w:r>
      <w:r>
        <w:rPr>
          <w:rFonts w:ascii="Times New Roman;Times;serif" w:hAnsi="Times New Roman;Times;serif"/>
          <w:sz w:val="20"/>
        </w:rPr>
        <w:t>into a second amendment to the 2021 Credit Agreement (the “Second Credit Amendment”) </w:t>
      </w:r>
      <w:r>
        <w:rPr>
          <w:rFonts w:ascii="Times New Roman;Times;serif" w:hAnsi="Times New Roman;Times;serif"/>
          <w:color w:val="212529"/>
          <w:sz w:val="20"/>
        </w:rPr>
        <w:t>which extended our reporting deadline for our financial statements and covenant compliance certificate for the third quarter 2024 to December 16, 2024, and required us to test the financial covenants no later than December 16, 2024. The Second Credit Amendment prohibited us from requesting any additional borrowing or letter of credit extension until the financial statements and the compliance certificate for the third quarter of 2024 were delivered. We successfully delivered the third quarter financial statements and the compliance certificate on December 16, 2024.</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December 13, 2024, we entered </w:t>
      </w:r>
      <w:r>
        <w:rPr>
          <w:rFonts w:ascii="Times New Roman;Times;serif" w:hAnsi="Times New Roman;Times;serif"/>
          <w:sz w:val="20"/>
        </w:rPr>
        <w:t>into a third amendment to the 2021 Credit Agreement (the “Third Credit Amendment”)</w:t>
      </w:r>
      <w:r>
        <w:rPr>
          <w:rFonts w:ascii="Times New Roman;Times;serif" w:hAnsi="Times New Roman;Times;serif"/>
          <w:color w:val="212529"/>
          <w:sz w:val="20"/>
        </w:rPr>
        <w:t>. The Third Credit Amendment provided a limited waiver for us to comply with the financial covenants for the period of four fiscal quarters ended on or about September 30, 2024. Under the Third Credit Amendment, we are required to, among other things, not permit unrestricted cash and cash equivalents, as determined on a consolidated basis and tested weekly, to be less than certain specified minimum amounts. The Third Credit Amendment also requires the payment of certain consent fees and increases the interest rates payable under the amended 2021 Credit Agreement for periods commencing on or after December 13, 2024 and February 1, 2025, as described in Note 5, </w:t>
      </w:r>
      <w:r>
        <w:rPr>
          <w:rFonts w:ascii="Times New Roman;Times;serif" w:hAnsi="Times New Roman;Times;serif"/>
          <w:i/>
          <w:color w:val="212529"/>
          <w:sz w:val="20"/>
        </w:rPr>
        <w:t>Debt</w:t>
      </w:r>
      <w:r>
        <w:rPr>
          <w:rFonts w:ascii="Times New Roman;Times;serif" w:hAnsi="Times New Roman;Times;serif"/>
          <w:color w:val="212529"/>
          <w:sz w:val="20"/>
        </w:rPr>
        <w:t>. Pursuant to the Third Credit Amendment, there was no financial covenant test for the quarter ended September 29, 2024.</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March 27, 2025, we entered </w:t>
      </w:r>
      <w:r>
        <w:rPr>
          <w:rFonts w:ascii="Times New Roman;Times;serif" w:hAnsi="Times New Roman;Times;serif"/>
          <w:sz w:val="20"/>
        </w:rPr>
        <w:t>into a fourth amendment to the 2021 Credit Agreement (the “Fourth Credit Amendment”)</w:t>
      </w:r>
      <w:r>
        <w:rPr>
          <w:rFonts w:ascii="Times New Roman;Times;serif" w:hAnsi="Times New Roman;Times;serif"/>
          <w:color w:val="212529"/>
          <w:sz w:val="20"/>
        </w:rPr>
        <w:t>. The Fourth Credit Amendment provided a limited waiver for us to comply with the financial covenants for the period of four fiscal quarters ended on or about December 31, 2024. It also suspends measurement of the Consolidated Total Leverage Ratio and Consolidated Fixed Charge Covenant Ratio for the fiscal quarter ending on or about March 31, 2025. The Fourth Credit Amendment prohibits the Company from requesting any further borrowings under the 2021 Credit Agreement, as amended. The Fourth Credit Amendment includes a timeline of milestones for a refinancing transaction with a third-party lender, and limits our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 as amended, for periods commencing on or after March 27, 2025, as described in Note 5, </w:t>
      </w:r>
      <w:r>
        <w:rPr>
          <w:rFonts w:ascii="Times New Roman;Times;serif" w:hAnsi="Times New Roman;Times;serif"/>
          <w:i/>
          <w:color w:val="212529"/>
          <w:sz w:val="20"/>
        </w:rPr>
        <w:t>Debt</w:t>
      </w:r>
      <w:r>
        <w:rPr>
          <w:rFonts w:ascii="Times New Roman;Times;serif" w:hAnsi="Times New Roman;Times;serif"/>
          <w:color w:val="212529"/>
          <w:sz w:val="20"/>
        </w:rPr>
        <w:t>. Although we have secured these limited waivers, we cannot guarantee that we will be able to satisfy all of the necessary conditions or that we will not incur another covenant violation in the future.</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All capitalized terms used above and not otherwise defined herein are defined in the 2021 Credit Agreement, as amended.</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 xml:space="preserve">During the thirteen weeks ended March 30, 2025, the Company borrowed no amounts under the 2021 Credit Agreement, as amended, and repaid $3.0 million of the outstanding balance. As of March 30, 2025, the Company had $0.5 million in letters of credit outstanding. The weighted average interest rate on the $10.1 million outstanding balance as of March 30, 2025, was 10.2%, and during the thirteen weeks ended March 30, 2025, the effective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color w:val="212529"/>
          <w:sz w:val="20"/>
        </w:rPr>
        <w:t>rate was 9.4%. For further information on the 2021 Credit Agreement, as amended, see Note 5, </w:t>
      </w:r>
      <w:r>
        <w:rPr>
          <w:rFonts w:ascii="Times New Roman;Times;serif" w:hAnsi="Times New Roman;Times;serif"/>
          <w:i/>
          <w:color w:val="212529"/>
          <w:sz w:val="20"/>
        </w:rPr>
        <w:t>Debt</w:t>
      </w:r>
      <w:r>
        <w:rPr>
          <w:rFonts w:ascii="Times New Roman;Times;serif" w:hAnsi="Times New Roman;Times;serif"/>
          <w:color w:val="212529"/>
          <w:sz w:val="20"/>
        </w:rPr>
        <w:t xml:space="preserve"> of the accompanying notes to our condensed consolidated financial statements included elsewhere in this Quarterly Report on Form 10-Q.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Fourth Credit Amendment reduced our Revolving Commitment to $7.5 million on April 30, 2025. Subsequent to March 30, 2025, we repaid $2.8 million of the revolving line of credit balance and reduced our outstanding letters of credit by $0.3 million on or before April 30, 2025. As of the filing date of this Quarterly Report on Form 10-Q, we had $7.3 million outstanding on the revolving line of credit and $0.2 million in outstanding letters of credit. The Fourth Credit Amendment provides for a further reduction of our Revolving Commitment to $6.0 million on May 31, 2025.</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 xml:space="preserve">March 30, 2025, we had cash and cash equivalents of $8.7 million. During the thirteen weeks ended March 30, 2025, we took certain cost reduction and cash conservation measures, adjustments to marketing spend, and other fixed, variable, and capital spend. We will continue to take certain cost reduction and cash conservation measures to meet our obligations as needed. As the ability to raise additional debt financing is outside of our control, </w:t>
      </w:r>
      <w:r>
        <w:rPr>
          <w:rFonts w:ascii="Times New Roman;Times;serif" w:hAnsi="Times New Roman;Times;serif"/>
          <w:color w:val="212529"/>
          <w:sz w:val="20"/>
          <w:shd w:fill="FFFFFF" w:val="clear"/>
        </w:rPr>
        <w:t>we cannot conclude that our plans will be effectively implemented within twelve months from the date the condensed consolidated financial statements are issued. Accordingly, we have concluded that these plans do not alleviate substantial doubt about our ability to continue as a going concern</w:t>
      </w:r>
      <w:r>
        <w:rPr>
          <w:rFonts w:ascii="Times New Roman;Times;serif" w:hAnsi="Times New Roman;Times;serif"/>
          <w:sz w:val="20"/>
        </w:rPr>
        <w:t>. The condensed consolidated financial statements do not reflect any adjustments relating to the outcome of this uncertainty. Actual results of operations will depend</w:t>
      </w:r>
      <w:r>
        <w:rPr>
          <w:rFonts w:ascii="Times New Roman;Times;serif" w:hAnsi="Times New Roman;Times;serif"/>
          <w:sz w:val="20"/>
          <w:shd w:fill="FFFFFF" w:val="clear"/>
        </w:rPr>
        <w:t xml:space="preserve"> on numerous factors, many of which are beyond our control, as further discussed in Part I, Item 1A, “Risk Factors” included in our 2024 10-K and Part II, Item 1A, </w:t>
      </w:r>
      <w:r>
        <w:rPr>
          <w:rFonts w:ascii="Times New Roman;Times;serif" w:hAnsi="Times New Roman;Times;serif"/>
          <w:sz w:val="20"/>
        </w:rPr>
        <w:t>“Risk Factors”</w:t>
      </w:r>
      <w:r>
        <w:rPr>
          <w:rFonts w:ascii="Times New Roman;Times;serif" w:hAnsi="Times New Roman;Times;serif"/>
          <w:sz w:val="20"/>
          <w:shd w:fill="FFFFFF" w:val="clear"/>
        </w:rPr>
        <w:t xml:space="preserve"> in this Quarterly Report on Form 10-Q for the quarter ended March 30, 2025.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Repurchases Pursuant to the 2024 Repurchase Program</w:t>
      </w:r>
    </w:p>
    <w:p>
      <w:pPr>
        <w:pStyle w:val="TextBody"/>
        <w:shd w:fill="FFFFFF" w:val="clear"/>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May 3, 2024, our Board of Directors authorized a stock repurchase program to repurchase up to $2.5 million of our common stock (the “2024 Repurchase Program”). </w:t>
      </w:r>
      <w:r>
        <w:rPr>
          <w:rFonts w:ascii="Times New Roman;Times;serif" w:hAnsi="Times New Roman;Times;serif"/>
          <w:color w:val="212529"/>
          <w:sz w:val="20"/>
          <w:shd w:fill="FFFFFF" w:val="clear"/>
        </w:rPr>
        <w:t xml:space="preserve">During the thirteen weeks ended March 30, 2025, we repurchased 242,068 shares of common stock in open market transactions pursuant to a 10b5-1 purchase plan. As of March 30, 2025, there was $1.8 million available under the 2024 Repurchase Program authorization. </w:t>
      </w:r>
    </w:p>
    <w:p>
      <w:pPr>
        <w:pStyle w:val="TextBody"/>
        <w:bidi w:val="0"/>
        <w:spacing w:before="0" w:after="0"/>
        <w:ind w:left="0" w:right="0" w:firstLine="360"/>
        <w:jc w:val="both"/>
        <w:rPr>
          <w:color w:val="212529"/>
          <w:shd w:fill="FFFFFF" w:val="clear"/>
        </w:rPr>
      </w:pPr>
      <w:r>
        <w:rPr>
          <w:color w:val="212529"/>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actual timing, number, and value of shares repurchased in the future will be determined at our discretion and will depend on a number of factors, including market conditions, applicable legal requirements, our capital needs, and whether there is a better alternative use of capital. Repurchases will be funded from our existing cash and cash equivalents, or future cash flow. The 2024 Repurchase Program may be modified, suspended, or terminated at any time. For further information on the 2024 Repurchase Program, see Note 2, </w:t>
      </w:r>
      <w:r>
        <w:rPr>
          <w:rFonts w:ascii="Times New Roman;Times;serif" w:hAnsi="Times New Roman;Times;serif"/>
          <w:i/>
          <w:sz w:val="20"/>
          <w:shd w:fill="FFFFFF" w:val="clear"/>
        </w:rPr>
        <w:t>Significant Accounting Policies</w:t>
      </w:r>
      <w:r>
        <w:rPr>
          <w:rFonts w:ascii="Times New Roman;Times;serif" w:hAnsi="Times New Roman;Times;serif"/>
          <w:sz w:val="20"/>
          <w:shd w:fill="FFFFFF" w:val="clear"/>
        </w:rPr>
        <w:t>, of the accompanying notes to our condensed consolidated financial statements included elsewhere in this Quarterly Report on Form 10-Q.</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6121" w:type="dxa"/>
        <w:jc w:val="left"/>
        <w:tblInd w:w="0" w:type="dxa"/>
        <w:tblLayout w:type="fixed"/>
        <w:tblCellMar>
          <w:top w:w="0" w:type="dxa"/>
          <w:left w:w="0" w:type="dxa"/>
          <w:bottom w:w="0" w:type="dxa"/>
          <w:right w:w="0" w:type="dxa"/>
        </w:tblCellMar>
      </w:tblPr>
      <w:tblGrid>
        <w:gridCol w:w="3511"/>
        <w:gridCol w:w="326"/>
        <w:gridCol w:w="211"/>
        <w:gridCol w:w="691"/>
        <w:gridCol w:w="326"/>
        <w:gridCol w:w="211"/>
        <w:gridCol w:w="691"/>
        <w:gridCol w:w="154"/>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29485" cy="175260"/>
                      <wp:effectExtent l="0" t="0" r="0" b="0"/>
                      <wp:wrapNone/>
                      <wp:docPr id="219" name="Frame218"/>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1"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38785" cy="175260"/>
                      <wp:effectExtent l="0" t="0" r="0" b="0"/>
                      <wp:wrapNone/>
                      <wp:docPr id="222" name="Frame2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4"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8785" cy="175260"/>
                      <wp:effectExtent l="0" t="0" r="0" b="0"/>
                      <wp:wrapNone/>
                      <wp:docPr id="225" name="Frame2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97790" cy="175260"/>
                      <wp:effectExtent l="0" t="0" r="0" b="0"/>
                      <wp:wrapNone/>
                      <wp:docPr id="226" name="Frame22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30,</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4"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612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w:t>
            </w:r>
          </w:p>
        </w:tc>
        <w:tc>
          <w:tcPr>
            <w:tcW w:w="154"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w:t>
            </w:r>
          </w:p>
        </w:tc>
        <w:tc>
          <w:tcPr>
            <w:tcW w:w="154"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consists primarily of net loss adjusted for certain non-cash items, including depreciation, amortization, equity-based compensation, the effect of changes in working capital and other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360"/>
        <w:jc w:val="both"/>
        <w:rPr>
          <w:rFonts w:ascii="Times New Roman;Times;serif" w:hAnsi="Times New Roman;Times;serif"/>
          <w:sz w:val="20"/>
        </w:rPr>
      </w:pPr>
      <w:bookmarkStart w:id="876" w:name="_Hlk180736890"/>
      <w:bookmarkEnd w:id="876"/>
      <w:r>
        <w:rPr>
          <w:rFonts w:ascii="Times New Roman;Times;serif" w:hAnsi="Times New Roman;Times;serif"/>
          <w:sz w:val="20"/>
        </w:rPr>
        <w:t xml:space="preserve">During the thirteen weeks ended March 30, 2025, net cash provided by operating activities increased by $1.4 million, as compared to the same period in 2024. The increase was primarily due to receipt of a $3.4 million income tax refund which consisted of $0.4 million of interest accrued during the thirteen weeks ended March 30, 2025 and the related $3.0 million of prior year state income tax overpayments that were included in our income tax receivable at the end of fiscal year 2024, a $1.0 million increase in accrued expenses and other current liabilities primarily driven by an increase in return reserve, a $0.5 million increase related to other noncurrent liabilities driven by increased non-current deferred tax liabilities and a $0.2 million timing related increase in accrued inventory. This was partially offset by an increase of $2.4 million in our net loss after adjusting for non-cash items, </w:t>
      </w:r>
      <w:r>
        <w:rPr>
          <w:rFonts w:ascii="Times New Roman;Times;serif" w:hAnsi="Times New Roman;Times;serif"/>
          <w:color w:val="212529"/>
          <w:sz w:val="20"/>
        </w:rPr>
        <w:t xml:space="preserve">a $0.6 million increase related to assets for recovery, </w:t>
      </w:r>
      <w:r>
        <w:rPr>
          <w:rFonts w:ascii="Times New Roman;Times;serif" w:hAnsi="Times New Roman;Times;serif"/>
          <w:sz w:val="20"/>
        </w:rPr>
        <w:t xml:space="preserve">a $0.3 million increase in accounts receivable pertaining to higher credit card receivables, a decrease of $0.2 million in accounts payable related to the timing of payments related to our credit card payables, and </w:t>
      </w:r>
      <w:r>
        <w:rPr>
          <w:rFonts w:ascii="Times New Roman;Times;serif" w:hAnsi="Times New Roman;Times;serif"/>
          <w:color w:val="212529"/>
          <w:sz w:val="20"/>
        </w:rPr>
        <w:t xml:space="preserve">a $0.2 million decrease related to operating lease liabilities.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 to period due to the timing of the expansion of our operations. We have no material commitments for capital expenditures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During the thirteen weeks ended March 30, 2025, as compared to the same period in 2024, net cash used in investing activities increased by $0.4 million. This was attributable to $0.5 million lower capital expenditures for furniture, leasehold improvements, equipment, and construction in progress for our general operations, which was partially offset by $0.1 million invested in capitalized software development costs</w:t>
      </w:r>
      <w:r>
        <w:rPr>
          <w:rFonts w:ascii="Times New Roman;Times;serif" w:hAnsi="Times New Roman;Times;serif"/>
          <w:sz w:val="20"/>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Financing activities consist primarily of borrowings and repayments related to our revolving facility under our </w:t>
      </w:r>
      <w:r>
        <w:rPr>
          <w:rFonts w:ascii="Times New Roman;Times;serif" w:hAnsi="Times New Roman;Times;serif"/>
          <w:color w:val="212529"/>
          <w:sz w:val="20"/>
          <w:shd w:fill="FFFFFF" w:val="clear"/>
        </w:rPr>
        <w:t>2021 Credit Agreement, as amended</w:t>
      </w:r>
      <w:r>
        <w:rPr>
          <w:rFonts w:ascii="Times New Roman;Times;serif" w:hAnsi="Times New Roman;Times;serif"/>
          <w:sz w:val="20"/>
          <w:shd w:fill="FFFFFF"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During the thirteen weeks ended March 30, 2025, net cash used by financing activities increased by $0.6 million compared to the same period in 2024. The increase was primarily due to lower net borrowings of $10.0 million on our </w:t>
      </w:r>
      <w:r>
        <w:rPr>
          <w:rFonts w:ascii="Times New Roman;Times;serif" w:hAnsi="Times New Roman;Times;serif"/>
          <w:color w:val="212529"/>
          <w:sz w:val="20"/>
          <w:shd w:fill="FFFFFF" w:val="clear"/>
        </w:rPr>
        <w:t xml:space="preserve">2021 Credit Agreement, as amended, </w:t>
      </w:r>
      <w:r>
        <w:rPr>
          <w:rFonts w:ascii="Times New Roman;Times;serif" w:hAnsi="Times New Roman;Times;serif"/>
          <w:sz w:val="20"/>
          <w:shd w:fill="FFFFFF" w:val="clear"/>
        </w:rPr>
        <w:t xml:space="preserve">a $0.2 million increase related to the 2024 Repurchase Program and a $0.1 million decrease in proceeds received from issuance of common stock under our ESPP, partially offset by a $9.0 million decrease in repayments on our revolving facility, a $0.4 million increase in finance lease payments and a $0.3 million decrease in withholding tax payments related to vesting of RSUs.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There have been no other material changes to our contractual obligations and commitments as disclosed in our 2024 10-K</w:t>
      </w:r>
      <w:r>
        <w:rPr>
          <w:rFonts w:ascii="Times New Roman;Times;serif" w:hAnsi="Times New Roman;Times;serif"/>
          <w:sz w:val="20"/>
          <w:shd w:fill="FFFFFF" w:val="clear"/>
        </w:rPr>
        <w:t xml:space="preserve">. </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 - Critical Accounting Policies and Estimates” in our 2024 10-K and the notes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audited consolidated financial statements appearing elsewhere in our 2024 10-K. There have been no significant changes to our critical accounting policies and estimates as disclosed in our 2024 10-K.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w:t>
      </w:r>
      <w:r>
        <w:rPr>
          <w:rFonts w:ascii="Times New Roman;Times;serif" w:hAnsi="Times New Roman;Times;serif"/>
          <w:i/>
          <w:sz w:val="20"/>
        </w:rPr>
        <w:t>Significant Accounting Policies - Recently Issued Accounting Pronouncements</w:t>
      </w:r>
      <w:r>
        <w:rPr>
          <w:rFonts w:ascii="Times New Roman;Times;serif" w:hAnsi="Times New Roman;Times;serif"/>
          <w:sz w:val="20"/>
        </w:rPr>
        <w:t>,”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77" w:name="Item3QuantitativeandQualitativeDisclosur"/>
      <w:bookmarkStart w:id="878" w:name="_fb65de6c_87e1_4633_8f3b_e2fc18df5d7d"/>
      <w:bookmarkEnd w:id="877"/>
      <w:bookmarkEnd w:id="878"/>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2024 10-K.</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79" w:name="Item4ControlsandProcedures_489265"/>
      <w:bookmarkStart w:id="880" w:name="_ef1ab38d_096c_46cc_b612_862201c63cef"/>
      <w:bookmarkEnd w:id="879"/>
      <w:bookmarkEnd w:id="88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March 30, 2025, our disclosure controls and procedures were effective.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March 30, 2025 that have materially affected, or are reasonably likely to materially affect, our internal control over financial reporting.</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81" w:name="PARTIIOTHERINFORMATION_807620"/>
      <w:bookmarkStart w:id="882" w:name="_d21d4d16_f7b2_4523_80ad_2e9eab9f1411"/>
      <w:bookmarkEnd w:id="881"/>
      <w:bookmarkEnd w:id="882"/>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883" w:name="Item1LegalProceedings_569580"/>
      <w:bookmarkEnd w:id="883"/>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84" w:name="Item1ARiskFactors_224374"/>
      <w:bookmarkStart w:id="885" w:name="_105d5f60_b269_42f2_8300_340fb281ca8b"/>
      <w:bookmarkEnd w:id="884"/>
      <w:bookmarkEnd w:id="885"/>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bookmarkStart w:id="886" w:name="_Hlk181098108"/>
      <w:bookmarkEnd w:id="886"/>
      <w:r>
        <w:rPr>
          <w:rFonts w:ascii="Times New Roman;Times;serif" w:hAnsi="Times New Roman;Times;serif"/>
          <w:color w:val="212529"/>
          <w:sz w:val="20"/>
          <w:shd w:fill="FFFFFF" w:val="clear"/>
        </w:rPr>
        <w:t xml:space="preserve">For detailed information about certain risk factors that could materially affect our business, financial condition or future results see “Risk Factors” in Part I, Item 1A of our 2024 10-K. </w:t>
      </w:r>
      <w:r>
        <w:rPr>
          <w:rFonts w:ascii="Times New Roman;Times;serif" w:hAnsi="Times New Roman;Times;serif"/>
          <w:sz w:val="20"/>
          <w:shd w:fill="FFFFFF" w:val="clear"/>
        </w:rPr>
        <w:t xml:space="preserve">Set forth below are material changes to an existing risk factor previously disclosed in the 2024 10-K. Other than the risk factor set forth below, there have been no material changes to the risk factors previously disclosed in the 2024 10-K.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International trade disputes and tariffs imposed by the United States and/or other countries’ governments or a global trade war could adversely impact our business.</w:t>
      </w:r>
      <w:r>
        <w:rPr>
          <w:rFonts w:ascii="Times New Roman;Times;serif" w:hAnsi="Times New Roman;Times;serif"/>
          <w:color w:val="FF0000"/>
          <w:sz w:val="20"/>
          <w:shd w:fill="FFFF00" w:val="clear"/>
        </w:rPr>
        <w:t xml:space="p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A predominant portion of the merchandise we sell is originally manufactured in countries other than the United States, including China and Mexico. International trade disputes that result in tariffs and other protectionist or retaliatory measures could adversely affect our business, including disruption and cost increases in our established patterns for sourcing our merchandise and increased uncertainties in planning our sourcing strategies and forecasting our margins. For example, on April 4, 2025, a global reciprocal tariff program was announced, establishing a minimum 10% tariff on most imported goods. Certain country-specific tariffs significantly increased, reaching 145% on Chinese imports and 125% on certain United States goods imported into China. However, on May 12, 2025, the United States and China reached a 90-day agreement to substantially reduce these tariffs and allow for further negotiations. These tariffs may be increased in the future or additional tariffs may be imposed on imports from China or other countries, including additional countries where our products are manufactured or sourced from. The imposition or increase of any such tariffs would likely increase the cost of our merchandise and negatively impact</w:t>
      </w:r>
      <w:r>
        <w:rPr>
          <w:rFonts w:ascii="Times New Roman;Times;serif" w:hAnsi="Times New Roman;Times;serif"/>
          <w:sz w:val="20"/>
          <w:shd w:fill="FFFFFF" w:val="clear"/>
        </w:rPr>
        <w:t xml:space="preserve"> our operating results. Although such changes would have implications across the entire industry, we may fail to effectively adapt to and manage </w:t>
      </w:r>
      <w:r>
        <w:rPr>
          <w:rFonts w:ascii="Times New Roman;Times;serif" w:hAnsi="Times New Roman;Times;serif"/>
          <w:color w:val="212529"/>
          <w:sz w:val="20"/>
          <w:shd w:fill="FFFFFF" w:val="clear"/>
        </w:rPr>
        <w:t>the adjustments in strategy that would be necessary in response to those changes. We are working with our current suppliers to mitigate our exposure to current or potential tariffs and seeking opportunities to engage other suppliers, but there can be no assurance that we will be able to offset any increased costs or secure other suppliers. It is also possible one or more of these suppliers may suffer disruptions in their business or experience significant increases in the cost of their goods or services sold due to factors beyond their control, including changes in the import and export policies, including trade restrictions, new or increased tariffs, sanctions and countersanctions. Further, we may have to increase prices for our customers, which could reduce the competitiveness of our products and adversely affect sales</w:t>
      </w:r>
      <w:r>
        <w:rPr>
          <w:rFonts w:ascii="Times New Roman;Times;serif" w:hAnsi="Times New Roman;Times;serif"/>
          <w:color w:val="231F20"/>
          <w:sz w:val="20"/>
        </w:rPr>
        <w:t>.</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countries may also change their business and trade policies in anticipation of or in response to the United States’  and/or other countries’ increased import tariffs and other changes in international trade policy and regulations already enacted or that may be enacted in the future. In addition to the general uncertainty and overall risk from potential changes in trade laws and policies, as we make business decisions in the face of such uncertainty, we may incorrectly anticipate the outcomes, miss out on business opportunities, or fail to effectively adapt our business strategies and manage the adjustments that are necessary in response to those changes. These risks could adversely affect our revenues, reduce our profitability, and negatively impact our business.</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7" w:name="Item2UnregisteredSalesofEquitySecurities"/>
      <w:bookmarkStart w:id="888" w:name="_c12d83df_1a58_45ed_814d_1e53cadfc3c1"/>
      <w:bookmarkEnd w:id="887"/>
      <w:bookmarkEnd w:id="888"/>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A summary of our common stock repurchases during the thirteen weeks ended March 30, 2025 is set forth in the table below.</w:t>
      </w:r>
    </w:p>
    <w:p>
      <w:pPr>
        <w:pStyle w:val="TextBody"/>
        <w:bidi w:val="0"/>
        <w:spacing w:before="0" w:after="0"/>
        <w:ind w:left="0" w:right="0" w:firstLine="36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3221"/>
        <w:gridCol w:w="326"/>
        <w:gridCol w:w="1126"/>
        <w:gridCol w:w="326"/>
        <w:gridCol w:w="306"/>
        <w:gridCol w:w="895"/>
        <w:gridCol w:w="109"/>
        <w:gridCol w:w="212"/>
        <w:gridCol w:w="1501"/>
        <w:gridCol w:w="109"/>
        <w:gridCol w:w="211"/>
        <w:gridCol w:w="1863"/>
      </w:tblGrid>
      <w:tr>
        <w:trPr/>
        <w:tc>
          <w:tcPr>
            <w:tcW w:w="3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45335" cy="175260"/>
                      <wp:effectExtent l="0" t="0" r="0" b="0"/>
                      <wp:wrapNone/>
                      <wp:docPr id="227" name="Frame226"/>
                      <a:graphic xmlns:a="http://schemas.openxmlformats.org/drawingml/2006/main">
                        <a:graphicData uri="http://schemas.microsoft.com/office/word/2010/wordprocessingShape">
                          <wps:wsp>
                            <wps:cNvSpPr txBox="1"/>
                            <wps:spPr>
                              <a:xfrm>
                                <a:off x="0" y="0"/>
                                <a:ext cx="204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715010" cy="175260"/>
                      <wp:effectExtent l="0" t="0" r="0" b="0"/>
                      <wp:wrapNone/>
                      <wp:docPr id="229" name="Frame22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4310" cy="175260"/>
                      <wp:effectExtent l="0" t="0" r="0" b="0"/>
                      <wp:wrapNone/>
                      <wp:docPr id="231" name="Frame23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68325" cy="175260"/>
                      <wp:effectExtent l="0" t="0" r="0" b="0"/>
                      <wp:wrapNone/>
                      <wp:docPr id="232" name="Frame231"/>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3"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4620" cy="175260"/>
                      <wp:effectExtent l="0" t="0" r="0" b="0"/>
                      <wp:wrapNone/>
                      <wp:docPr id="234" name="Frame23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953135" cy="175260"/>
                      <wp:effectExtent l="0" t="0" r="0" b="0"/>
                      <wp:wrapNone/>
                      <wp:docPr id="235" name="Frame234"/>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6"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7"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83005" cy="175260"/>
                      <wp:effectExtent l="0" t="0" r="0" b="0"/>
                      <wp:wrapNone/>
                      <wp:docPr id="238" name="Frame237"/>
                      <a:graphic xmlns:a="http://schemas.openxmlformats.org/drawingml/2006/main">
                        <a:graphicData uri="http://schemas.microsoft.com/office/word/2010/wordprocessingShape">
                          <wps:wsp>
                            <wps:cNvSpPr txBox="1"/>
                            <wps:spPr>
                              <a:xfrm>
                                <a:off x="0" y="0"/>
                                <a:ext cx="1183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89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w:t>
            </w:r>
          </w:p>
        </w:tc>
      </w:tr>
      <w:tr>
        <w:trPr/>
        <w:tc>
          <w:tcPr>
            <w:tcW w:w="3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17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w:t>
            </w:r>
          </w:p>
        </w:tc>
      </w:tr>
      <w:tr>
        <w:trPr/>
        <w:tc>
          <w:tcPr>
            <w:tcW w:w="3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109" w:type="dxa"/>
            <w:tcBorders/>
            <w:vAlign w:val="center"/>
          </w:tcPr>
          <w:p>
            <w:pPr>
              <w:pStyle w:val="TableContents"/>
              <w:bidi w:val="0"/>
              <w:spacing w:before="0" w:after="0"/>
              <w:ind w:left="0" w:right="0" w:hanging="0"/>
              <w:jc w:val="left"/>
              <w:rPr/>
            </w:pPr>
            <w:r>
              <w:rPr/>
              <w:t>​</w:t>
            </w:r>
          </w:p>
        </w:tc>
        <w:tc>
          <w:tcPr>
            <w:tcW w:w="17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the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w:t>
            </w:r>
          </w:p>
        </w:tc>
      </w:tr>
      <w:tr>
        <w:trPr/>
        <w:tc>
          <w:tcPr>
            <w:tcW w:w="32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Purchased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109" w:type="dxa"/>
            <w:tcBorders/>
            <w:vAlign w:val="center"/>
          </w:tcPr>
          <w:p>
            <w:pPr>
              <w:pStyle w:val="TableContents"/>
              <w:bidi w:val="0"/>
              <w:spacing w:before="0" w:after="0"/>
              <w:ind w:left="0" w:right="0" w:hanging="0"/>
              <w:jc w:val="left"/>
              <w:rPr/>
            </w:pPr>
            <w:r>
              <w:rPr/>
              <w:t>​</w:t>
            </w:r>
          </w:p>
        </w:tc>
        <w:tc>
          <w:tcPr>
            <w:tcW w:w="17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Plan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w:t>
            </w:r>
          </w:p>
        </w:tc>
      </w:tr>
      <w:tr>
        <w:trPr/>
        <w:tc>
          <w:tcPr>
            <w:tcW w:w="3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30, 2024 through February 2, 2025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178,484</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$ 1.02</w:t>
            </w:r>
          </w:p>
        </w:tc>
        <w:tc>
          <w:tcPr>
            <w:tcW w:w="109" w:type="dxa"/>
            <w:tcBorders/>
            <w:shd w:fill="CCEEFF" w:val="clear"/>
            <w:vAlign w:val="center"/>
          </w:tcPr>
          <w:p>
            <w:pPr>
              <w:pStyle w:val="TableContents"/>
              <w:bidi w:val="0"/>
              <w:spacing w:before="0" w:after="0"/>
              <w:ind w:left="0" w:right="0" w:hanging="0"/>
              <w:jc w:val="center"/>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178,484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1,822,357</w:t>
            </w:r>
          </w:p>
        </w:tc>
      </w:tr>
      <w:tr>
        <w:trPr/>
        <w:tc>
          <w:tcPr>
            <w:tcW w:w="3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3, 2025 through March 2, 2025</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63,584</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$ 0.90</w:t>
            </w:r>
          </w:p>
        </w:tc>
        <w:tc>
          <w:tcPr>
            <w:tcW w:w="109" w:type="dxa"/>
            <w:tcBorders/>
            <w:vAlign w:val="center"/>
          </w:tcPr>
          <w:p>
            <w:pPr>
              <w:pStyle w:val="TableContents"/>
              <w:bidi w:val="0"/>
              <w:spacing w:before="0" w:after="0"/>
              <w:ind w:left="0" w:right="0" w:hanging="0"/>
              <w:jc w:val="center"/>
              <w:rPr/>
            </w:pPr>
            <w:r>
              <w:rPr/>
              <w:t>​</w:t>
            </w:r>
          </w:p>
        </w:tc>
        <w:tc>
          <w:tcPr>
            <w:tcW w:w="212"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63,584</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1,765,142</w:t>
            </w:r>
          </w:p>
        </w:tc>
      </w:tr>
      <w:tr>
        <w:trPr/>
        <w:tc>
          <w:tcPr>
            <w:tcW w:w="3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 2025 through March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1,765,142</w:t>
            </w:r>
          </w:p>
        </w:tc>
      </w:tr>
    </w:tbl>
    <w:p>
      <w:pPr>
        <w:pStyle w:val="TextBody"/>
        <w:pBdr/>
        <w:bidi w:val="0"/>
        <w:spacing w:before="0" w:after="0"/>
        <w:ind w:left="0" w:right="0" w:hanging="369"/>
        <w:jc w:val="both"/>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81"/>
        <w:gridCol w:w="98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On May 8, 2024, the Company's Board of Directors announced that it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All shares repurchased during the thirteen weeks ended March 30, 2025 </w:t>
            </w:r>
            <w:r>
              <w:rPr>
                <w:rFonts w:ascii="Times New Roman;Times;serif" w:hAnsi="Times New Roman;Times;serif"/>
                <w:b w:val="false"/>
                <w:i w:val="false"/>
                <w:caps w:val="false"/>
                <w:smallCaps w:val="false"/>
                <w:sz w:val="20"/>
              </w:rPr>
              <w:t>were repurchased in open market transactions pursuant to the Company’s 2024 Repurchase Program and a 10b5-1 purchase plan entered into by the Company</w:t>
            </w:r>
            <w:r>
              <w:rPr>
                <w:rFonts w:ascii="Times New Roman;Times;serif" w:hAnsi="Times New Roman;Times;serif"/>
                <w:b w:val="false"/>
                <w:i w:val="false"/>
                <w:caps w:val="false"/>
                <w:smallCaps w:val="false"/>
                <w:sz w:val="20"/>
                <w:shd w:fill="FFFFFF" w:val="clear"/>
              </w:rPr>
              <w:t>.</w:t>
            </w:r>
            <w:r>
              <w:rPr>
                <w:caps w:val="false"/>
                <w:smallCaps w:val="false"/>
              </w:rPr>
              <w:t xml:space="preserve"> </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89" w:name="Item3DefaultsUponSeniorSecurities_546631"/>
      <w:bookmarkStart w:id="890" w:name="_295695ac_024d_467b_b98d_732ec1e7aca6"/>
      <w:bookmarkEnd w:id="889"/>
      <w:bookmarkEnd w:id="890"/>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91" w:name="Item4MineSafetyDisclosures_84191"/>
      <w:bookmarkStart w:id="892" w:name="_d45bb81e_59d5_44b7_a00e_6e75911abc78"/>
      <w:bookmarkEnd w:id="891"/>
      <w:bookmarkEnd w:id="892"/>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893" w:name="Item5OtherInformation_793305"/>
      <w:bookmarkStart w:id="894" w:name="_9380d8b2_dabb_41c5_b7ca_c229301117d6"/>
      <w:bookmarkEnd w:id="893"/>
      <w:bookmarkEnd w:id="894"/>
      <w:r>
        <w:rPr>
          <w:rFonts w:ascii="Times New Roman;Times;serif" w:hAnsi="Times New Roman;Times;serif"/>
          <w:b/>
          <w:sz w:val="20"/>
        </w:rPr>
        <w:t xml:space="preserve">Item 5. Other Information.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Amendment to the Company's Non-Employee Director Compensation Program</w:t>
      </w:r>
      <w:r>
        <w:rPr>
          <w:rFonts w:ascii="Times New Roman;Times;serif" w:hAnsi="Times New Roman;Times;serif"/>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28, 2025 the Compensation Committee of the Board of Directors of the Company (the “Compensation Committee”) approved an amendment to the Company's Non-Employee Director Compensation Program to (i) eliminate the additional annual RSU award for the Non-Employee Board Chair and increase the applicable cash retainer to $75,000 for the Non-Employee Board Chair, (ii) provide that each award of RSUs may be limited by a share price floor established from time to time by the Compensation Committee, (iii) permit the Compensation Committee to annually determine whether to allow Non-Employee directors to elect to convert all or a portion of their annual retainers into awards of RSUs, (iv) allow for Non-Employee Directors to waive their right to receive compensation under the Non-Employee Director Compensation Program entirely or for a specific period, and (v) permit for cash to be paid in lieu of any RSU grant or portion of any RSU grant under the Non-Employee Director Compensation Program and provide for flexibility relating to the timing of any cash payment or award of RSUs as the Compensation Committee may deem appropriate.</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full text of the Fourth Amendment to the Company's Non-Employee Director Compensation Program is filed as Exhibit 10.2 to this Quarterly Report on Form 10-Q and incorporated hereto by reference.</w:t>
      </w:r>
    </w:p>
    <w:p>
      <w:pPr>
        <w:pStyle w:val="TextBody"/>
        <w:bidi w:val="0"/>
        <w:spacing w:before="0" w:after="0"/>
        <w:ind w:left="0" w:right="0" w:hanging="0"/>
        <w:jc w:val="both"/>
        <w:rPr>
          <w:rFonts w:ascii="Times New Roman;Times;serif" w:hAnsi="Times New Roman;Times;serif"/>
          <w:b/>
          <w:i/>
          <w:sz w:val="20"/>
        </w:rPr>
      </w:pPr>
      <w:bookmarkStart w:id="895" w:name="_Hlk197946326"/>
      <w:bookmarkEnd w:id="895"/>
      <w:r>
        <w:rPr>
          <w:rFonts w:ascii="Times New Roman;Times;serif" w:hAnsi="Times New Roman;Times;serif"/>
          <w:b/>
          <w:i/>
          <w:sz w:val="20"/>
        </w:rPr>
        <w:t>One-Time Cash Payment to Directors in Lieu of 2025 Annual RSU Awards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After evaluating the potential dilutive impact of the non-employee director RSU awards pursuant to the Company’s Amended Non-Employee Director Compensation Program, on May 1, 2025, the Board approved a one-time, cash payment of $50,000 to each eligible non-employee director in lieu of his or her $100,000 fiscal year 2025 annual RSU award.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payment will be payable on the date of the 2026 annual meeting of stockholders, subject to each non-employee director’s continued service on the Board of Directors through such payment date.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Securities Trading Plans of Directors and Executive Officers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thirteen weeks ended March 30, 2025, none of the Company’s directors or officers adopted, modified, or terminated a “Rule 10b5-1 trading arrangement” or a “non-Rule 10b5-1 trading arrangement,” as such terms are defined under Item 408 of Regulation S-K.</w:t>
      </w:r>
      <w:r>
        <w:rPr>
          <w:rFonts w:ascii="Times New Roman;Times;serif" w:hAnsi="Times New Roman;Times;serif"/>
          <w:sz w:val="20"/>
          <w:shd w:fill="FFFFFF" w:val="clear"/>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96" w:name="Item6Exhibits_785378"/>
      <w:bookmarkStart w:id="897" w:name="_845e2ae8_e828_4597_98e1_c79424898073"/>
      <w:bookmarkEnd w:id="896"/>
      <w:bookmarkEnd w:id="897"/>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24"/>
        <w:gridCol w:w="109"/>
        <w:gridCol w:w="4866"/>
        <w:gridCol w:w="109"/>
        <w:gridCol w:w="586"/>
        <w:gridCol w:w="109"/>
        <w:gridCol w:w="818"/>
        <w:gridCol w:w="109"/>
        <w:gridCol w:w="736"/>
        <w:gridCol w:w="109"/>
        <w:gridCol w:w="714"/>
        <w:gridCol w:w="109"/>
        <w:gridCol w:w="1007"/>
      </w:tblGrid>
      <w:tr>
        <w:trPr/>
        <w:tc>
          <w:tcPr>
            <w:tcW w:w="824" w:type="dxa"/>
            <w:tcBorders>
              <w:bottom w:val="single" w:sz="2" w:space="0" w:color="000000"/>
            </w:tcBorders>
            <w:vAlign w:val="center"/>
          </w:tcPr>
          <w:p>
            <w:pPr>
              <w:pStyle w:val="TableHeading"/>
              <w:bidi w:val="0"/>
              <w:spacing w:before="0" w:after="0"/>
              <w:ind w:left="0" w:right="0" w:hanging="0"/>
              <w:jc w:val="left"/>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4866" w:type="dxa"/>
            <w:tcBorders>
              <w:bottom w:val="single" w:sz="2" w:space="0" w:color="000000"/>
            </w:tcBorders>
            <w:vAlign w:val="center"/>
          </w:tcPr>
          <w:p>
            <w:pPr>
              <w:pStyle w:val="TableHeading"/>
              <w:bidi w:val="0"/>
              <w:spacing w:before="0" w:after="0"/>
              <w:ind w:left="0" w:right="0" w:hanging="0"/>
              <w:jc w:val="center"/>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3181" w:type="dxa"/>
            <w:gridSpan w:val="7"/>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824"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486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5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818"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3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14"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Furnished</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Fourth Amendment to Credit Agreement, dated as of March 27, 2025, among Lulu’s Fashion Lounge, LLC, Lulu’s Fashion Lounge Parent, LLC, Bank of America, N.A. and the lenders party thereto</w:t>
              </w:r>
            </w:hyperlink>
            <w:hyperlink r:id="rId4">
              <w:r>
                <w:rPr>
                  <w:rStyle w:val="InternetLink"/>
                  <w:rFonts w:ascii="Times New Roman;Times;serif" w:hAnsi="Times New Roman;Times;serif"/>
                  <w:b w:val="false"/>
                  <w:i w:val="false"/>
                  <w:caps w:val="false"/>
                  <w:smallCaps w:val="false"/>
                  <w:sz w:val="20"/>
                  <w:shd w:fill="FFFFFF" w:val="clear"/>
                </w:rPr>
                <w:t>.</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10-K</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10.36</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03/27/2025</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left"/>
              <w:rPr/>
            </w:pPr>
            <w:r>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pPr>
            <w:hyperlink w:anchor="tmb-20250330xex10d2.htm">
              <w:r>
                <w:rPr>
                  <w:rStyle w:val="InternetLink"/>
                  <w:rFonts w:ascii="Times New Roman;Times;serif" w:hAnsi="Times New Roman;Times;serif"/>
                  <w:b w:val="false"/>
                  <w:i w:val="false"/>
                  <w:caps w:val="false"/>
                  <w:smallCaps w:val="false"/>
                  <w:sz w:val="20"/>
                </w:rPr>
                <w:t>Fourth Amendment to Lulu’s Fashion Lounge Holdings, Inc. Non-Employee Director Compensation Program.</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pPr>
            <w:hyperlink w:anchor="tmb-20250330xex10d3.htm">
              <w:r>
                <w:rPr>
                  <w:rStyle w:val="InternetLink"/>
                  <w:rFonts w:ascii="Times New Roman;Times;serif" w:hAnsi="Times New Roman;Times;serif"/>
                  <w:b w:val="false"/>
                  <w:i w:val="false"/>
                  <w:caps w:val="false"/>
                  <w:smallCaps w:val="false"/>
                  <w:sz w:val="20"/>
                </w:rPr>
                <w:t>Fourth Amendment to Lease, dated as of May 7, 2025, between Chrin-Carson Development, LLC and the Registrant.</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pPr>
            <w:hyperlink w:anchor="tmb-20250330xex10d4.htm">
              <w:r>
                <w:rPr>
                  <w:rStyle w:val="InternetLink"/>
                  <w:rFonts w:ascii="Times New Roman;Times;serif" w:hAnsi="Times New Roman;Times;serif"/>
                  <w:b w:val="false"/>
                  <w:i w:val="false"/>
                  <w:caps w:val="false"/>
                  <w:smallCaps w:val="false"/>
                  <w:sz w:val="20"/>
                </w:rPr>
                <w:t>Lease Termination Agreement, dated as of May 8, 2025, between Hegan Lane Partnership and Lulu’s Fashion Lounge, LLC.</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pPr>
            <w:hyperlink w:anchor="tmb-20250330xex31d1.htm">
              <w:r>
                <w:rPr>
                  <w:rStyle w:val="InternetLink"/>
                  <w:rFonts w:ascii="Times New Roman;Times;serif" w:hAnsi="Times New Roman;Times;serif"/>
                  <w:b w:val="false"/>
                  <w:i w:val="false"/>
                  <w:caps w:val="false"/>
                  <w:smallCaps w:val="false"/>
                  <w:sz w:val="20"/>
                </w:rPr>
                <w:t>Certification of Chief Executive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pPr>
            <w:hyperlink w:anchor="tmb-20250330xex31d2.htm">
              <w:r>
                <w:rPr>
                  <w:rStyle w:val="InternetLink"/>
                  <w:rFonts w:ascii="Times New Roman;Times;serif" w:hAnsi="Times New Roman;Times;serif"/>
                  <w:b w:val="false"/>
                  <w:i w:val="false"/>
                  <w:caps w:val="false"/>
                  <w:smallCaps w:val="false"/>
                  <w:sz w:val="20"/>
                </w:rPr>
                <w:t>Certification of Chief Financial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pPr>
            <w:hyperlink w:anchor="tmb-20250330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pPr>
            <w:hyperlink w:anchor="tmb-20250330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(as formatted as Inline XBRL and contained in Exhibit 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4"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sz w:val="20"/>
        </w:rPr>
        <w:t>Portions of this exhibit have been redacted in compliance with Regulation S-K Item 601(b)(10)(iv).</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98" w:name="SIGNATURES_813814"/>
      <w:bookmarkStart w:id="899" w:name="_88bab727_aa13_4a9a_96c4_394ed7df9600"/>
      <w:bookmarkEnd w:id="898"/>
      <w:bookmarkEnd w:id="899"/>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164" w:type="dxa"/>
        <w:jc w:val="left"/>
        <w:tblInd w:w="0" w:type="dxa"/>
        <w:tblLayout w:type="fixed"/>
        <w:tblCellMar>
          <w:top w:w="0" w:type="dxa"/>
          <w:left w:w="0" w:type="dxa"/>
          <w:bottom w:w="0" w:type="dxa"/>
          <w:right w:w="0" w:type="dxa"/>
        </w:tblCellMar>
      </w:tblPr>
      <w:tblGrid>
        <w:gridCol w:w="1741"/>
        <w:gridCol w:w="146"/>
        <w:gridCol w:w="406"/>
        <w:gridCol w:w="38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92710" cy="29210"/>
                      <wp:effectExtent l="0" t="0" r="0" b="0"/>
                      <wp:wrapNone/>
                      <wp:docPr id="239" name="Frame238"/>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57810" cy="29210"/>
                      <wp:effectExtent l="0" t="0" r="0" b="0"/>
                      <wp:wrapNone/>
                      <wp:docPr id="240" name="Frame239"/>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458085" cy="29210"/>
                      <wp:effectExtent l="0" t="0" r="0" b="0"/>
                      <wp:wrapNone/>
                      <wp:docPr id="241" name="Frame240"/>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w:t>
            </w:r>
            <w:r>
              <w:rPr>
                <w:rFonts w:ascii="Times New Roman;Times;serif" w:hAnsi="Times New Roman;Times;serif"/>
                <w:sz w:val="20"/>
              </w:rPr>
              <w:t> </w:t>
            </w:r>
          </w:p>
        </w:tc>
      </w:tr>
      <w:tr>
        <w:trPr/>
        <w:tc>
          <w:tcPr>
            <w:tcW w:w="17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rFonts w:ascii="Times New Roman;Times;serif" w:hAnsi="Times New Roman;Times;serif"/>
          <w:sz w:val="24"/>
        </w:rPr>
      </w:pPr>
      <w:bookmarkStart w:id="900" w:name="tmb-20250330xex10d2.htm"/>
      <w:bookmarkStart w:id="901" w:name="kstmb20250330xex10d2"/>
      <w:bookmarkEnd w:id="900"/>
      <w:bookmarkEnd w:id="901"/>
      <w:r>
        <w:rPr>
          <w:rFonts w:ascii="Times New Roman;Times;serif" w:hAnsi="Times New Roman;Times;serif"/>
          <w:sz w:val="24"/>
          <w:shd w:fill="FFFFFF" w:val="clear"/>
        </w:rPr>
        <w:tab/>
      </w:r>
      <w:r>
        <w:rPr>
          <w:rFonts w:ascii="Times New Roman;Times;serif" w:hAnsi="Times New Roman;Times;serif"/>
          <w:b/>
          <w:i w:val="false"/>
          <w:caps w:val="false"/>
          <w:smallCaps w:val="false"/>
          <w:sz w:val="24"/>
          <w:shd w:fill="FFFFFF" w:val="clear"/>
        </w:rPr>
        <w:t>Exhibit 10.2</w:t>
      </w:r>
      <w:r>
        <mc:AlternateContent>
          <mc:Choice Requires="wps">
            <w:drawing>
              <wp:anchor behindDoc="0" distT="0" distB="0" distL="0" distR="0" simplePos="0" locked="0" layoutInCell="1" allowOverlap="1" relativeHeight="244">
                <wp:simplePos x="0" y="0"/>
                <wp:positionH relativeFrom="page">
                  <wp:posOffset>0</wp:posOffset>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caps/>
        </w:rPr>
      </w:pPr>
      <w:r>
        <w:rPr>
          <w:caps/>
        </w:rPr>
        <w:drawing>
          <wp:inline distT="0" distB="0" distL="0" distR="0">
            <wp:extent cx="1660525" cy="628650"/>
            <wp:effectExtent l="0" t="0" r="0" b="0"/>
            <wp:docPr id="2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 descr=""/>
                    <pic:cNvPicPr>
                      <a:picLocks noChangeAspect="1" noChangeArrowheads="1"/>
                    </pic:cNvPicPr>
                  </pic:nvPicPr>
                  <pic:blipFill>
                    <a:blip r:embed="rId5"/>
                    <a:stretch>
                      <a:fillRect/>
                    </a:stretch>
                  </pic:blipFill>
                  <pic:spPr bwMode="auto">
                    <a:xfrm>
                      <a:off x="0" y="0"/>
                      <a:ext cx="1660525" cy="628650"/>
                    </a:xfrm>
                    <a:prstGeom prst="rect">
                      <a:avLst/>
                    </a:prstGeom>
                  </pic:spPr>
                </pic:pic>
              </a:graphicData>
            </a:graphic>
          </wp:inline>
        </w:drawing>
      </w:r>
    </w:p>
    <w:p>
      <w:pPr>
        <w:pStyle w:val="TextBody"/>
        <w:bidi w:val="0"/>
        <w:spacing w:before="0" w:after="0"/>
        <w:ind w:left="0" w:right="0" w:hanging="0"/>
        <w:jc w:val="left"/>
        <w:rPr/>
      </w:pPr>
      <w:r>
        <w:rPr/>
        <w:t>​</w:t>
      </w:r>
      <w:r>
        <w:rPr>
          <w:rFonts w:ascii="Termina Demi" w:hAnsi="Termina Demi"/>
          <w:b/>
          <w:sz w:val="28"/>
        </w:rPr>
        <w:br/>
        <w:t>​</w:t>
        <w:br/>
      </w:r>
      <w:r>
        <w:rPr>
          <w:rFonts w:ascii="Poppins SemiBold" w:hAnsi="Poppins SemiBold"/>
          <w:b/>
          <w:sz w:val="28"/>
        </w:rPr>
        <w:t>Non-Employee Director Compensation Program</w:t>
      </w:r>
      <w:r>
        <w:rPr>
          <w:rFonts w:ascii="Times New Roman;Times;serif" w:hAnsi="Times New Roman;Times;serif"/>
          <w:sz w:val="24"/>
        </w:rPr>
        <w:t xml:space="preserve"> </w:t>
      </w:r>
    </w:p>
    <w:p>
      <w:pPr>
        <w:pStyle w:val="HorizontalLine"/>
        <w:pBdr>
          <w:bottom w:val="double" w:sz="2" w:space="0" w:color="A0A0A0"/>
        </w:pBdr>
        <w:bidi w:val="0"/>
        <w:spacing w:before="0" w:after="240"/>
        <w:jc w:val="left"/>
        <w:rPr/>
      </w:pPr>
      <w:r>
        <w:rPr/>
      </w:r>
    </w:p>
    <w:p>
      <w:pPr>
        <w:pStyle w:val="TextBody"/>
        <w:bidi w:val="0"/>
        <w:spacing w:before="0" w:after="0"/>
        <w:ind w:left="0" w:right="0" w:hanging="0"/>
        <w:jc w:val="both"/>
        <w:rPr>
          <w:rFonts w:ascii="Times New Roman;Times;serif" w:hAnsi="Times New Roman;Times;serif"/>
          <w:sz w:val="20"/>
        </w:rPr>
      </w:pPr>
      <w:r>
        <w:rPr>
          <w:rFonts w:ascii="Poppins" w:hAnsi="Poppins"/>
          <w:sz w:val="20"/>
        </w:rPr>
        <w:t>This Lulu’s Fashion Lounge Holdings, Inc. (the “</w:t>
      </w:r>
      <w:r>
        <w:rPr>
          <w:rFonts w:ascii="Poppins" w:hAnsi="Poppins"/>
          <w:b/>
          <w:i/>
          <w:sz w:val="20"/>
        </w:rPr>
        <w:t>Company</w:t>
      </w:r>
      <w:r>
        <w:rPr>
          <w:rFonts w:ascii="Times New Roman;Times;serif" w:hAnsi="Times New Roman;Times;serif"/>
          <w:sz w:val="20"/>
        </w:rPr>
        <w:t>”</w:t>
      </w:r>
      <w:r>
        <w:rPr>
          <w:rFonts w:ascii="Poppins" w:hAnsi="Poppins"/>
          <w:sz w:val="20"/>
        </w:rPr>
        <w:t>) Non-Employee Director Compensation Program (this “</w:t>
      </w:r>
      <w:r>
        <w:rPr>
          <w:rFonts w:ascii="Poppins" w:hAnsi="Poppins"/>
          <w:b/>
          <w:i/>
          <w:sz w:val="20"/>
        </w:rPr>
        <w:t>Program</w:t>
      </w:r>
      <w:r>
        <w:rPr>
          <w:rFonts w:ascii="Times New Roman;Times;serif" w:hAnsi="Times New Roman;Times;serif"/>
          <w:sz w:val="20"/>
        </w:rPr>
        <w:t>”</w:t>
      </w:r>
      <w:r>
        <w:rPr>
          <w:rFonts w:ascii="Poppins" w:hAnsi="Poppins"/>
          <w:sz w:val="20"/>
        </w:rPr>
        <w:t>) has been adopted by the Company’s Board of Directors (the “</w:t>
      </w:r>
      <w:r>
        <w:rPr>
          <w:rFonts w:ascii="Poppins" w:hAnsi="Poppins"/>
          <w:b/>
          <w:i/>
          <w:sz w:val="20"/>
        </w:rPr>
        <w:t>Board</w:t>
      </w:r>
      <w:r>
        <w:rPr>
          <w:rFonts w:ascii="Times New Roman;Times;serif" w:hAnsi="Times New Roman;Times;serif"/>
          <w:sz w:val="20"/>
        </w:rPr>
        <w:t>”</w:t>
      </w:r>
      <w:r>
        <w:rPr>
          <w:rFonts w:ascii="Poppins" w:hAnsi="Poppins"/>
          <w:sz w:val="20"/>
        </w:rPr>
        <w:t>) under the Company’s Omnibus Equity Plan (the “</w:t>
      </w:r>
      <w:r>
        <w:rPr>
          <w:rFonts w:ascii="Poppins" w:hAnsi="Poppins"/>
          <w:b/>
          <w:i/>
          <w:sz w:val="20"/>
        </w:rPr>
        <w:t>Plan</w:t>
      </w:r>
      <w:r>
        <w:rPr>
          <w:rFonts w:ascii="Times New Roman;Times;serif" w:hAnsi="Times New Roman;Times;serif"/>
          <w:sz w:val="20"/>
        </w:rPr>
        <w:t>”</w:t>
      </w:r>
      <w:r>
        <w:rPr>
          <w:rFonts w:ascii="Poppins" w:hAnsi="Poppins"/>
          <w:sz w:val="20"/>
        </w:rPr>
        <w:t>) effective as of January 30, 2022 and amended as of November 3, 2023, March 1, 2024, November 1, 2024 and April 28, 2025 (the “</w:t>
      </w:r>
      <w:r>
        <w:rPr>
          <w:rFonts w:ascii="Poppins" w:hAnsi="Poppins"/>
          <w:b/>
          <w:i/>
          <w:sz w:val="20"/>
        </w:rPr>
        <w:t>Effective Date</w:t>
      </w:r>
      <w:r>
        <w:rPr>
          <w:rFonts w:ascii="Times New Roman;Times;serif" w:hAnsi="Times New Roman;Times;serif"/>
          <w:sz w:val="20"/>
        </w:rPr>
        <w:t>”</w:t>
      </w:r>
      <w:r>
        <w:rPr>
          <w:rFonts w:ascii="Poppins" w:hAnsi="Poppins"/>
          <w:sz w:val="20"/>
        </w:rPr>
        <w:t>). Capitalized terms not otherwise defined herein shall have the meaning ascribed in the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Poppins" w:hAnsi="Poppins"/>
          <w:b/>
          <w:i/>
          <w:sz w:val="20"/>
        </w:rPr>
      </w:pPr>
      <w:r>
        <w:rPr>
          <w:rFonts w:ascii="Poppins" w:hAnsi="Poppins"/>
          <w:b/>
          <w:i/>
          <w:sz w:val="20"/>
        </w:rPr>
        <w:t>Cash Compensation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Poppins" w:hAnsi="Poppins"/>
          <w:sz w:val="20"/>
        </w:rPr>
      </w:pPr>
      <w:r>
        <w:rPr>
          <w:rFonts w:ascii="Poppins" w:hAnsi="Poppins"/>
          <w:sz w:val="20"/>
        </w:rPr>
        <w:t>Effective upon the Effective Date, annual retainers will be paid in the following amounts to Non-Employee Directors: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Poppins" w:hAnsi="Poppins"/>
          <w:i/>
          <w:sz w:val="20"/>
        </w:rPr>
      </w:pPr>
      <w:r>
        <w:rPr>
          <w:rFonts w:ascii="Poppins" w:hAnsi="Poppins"/>
          <w:i/>
          <w:sz w:val="20"/>
        </w:rPr>
        <w:t>Board Service</w:t>
      </w:r>
    </w:p>
    <w:tbl>
      <w:tblPr>
        <w:tblW w:w="4413" w:type="dxa"/>
        <w:jc w:val="left"/>
        <w:tblInd w:w="0" w:type="dxa"/>
        <w:tblLayout w:type="fixed"/>
        <w:tblCellMar>
          <w:top w:w="43" w:type="dxa"/>
          <w:left w:w="110" w:type="dxa"/>
          <w:bottom w:w="43" w:type="dxa"/>
          <w:right w:w="110" w:type="dxa"/>
        </w:tblCellMar>
      </w:tblPr>
      <w:tblGrid>
        <w:gridCol w:w="2401"/>
        <w:gridCol w:w="886"/>
        <w:gridCol w:w="1126"/>
      </w:tblGrid>
      <w:tr>
        <w:trPr/>
        <w:tc>
          <w:tcPr>
            <w:tcW w:w="24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bookmarkStart w:id="902" w:name="_Hlk196489945"/>
            <w:bookmarkEnd w:id="902"/>
            <w:r>
              <w:rPr/>
              <w:t>​</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Poppins" w:hAnsi="Poppins"/>
                <w:sz w:val="20"/>
                <w:u w:val="single"/>
              </w:rPr>
            </w:pPr>
            <w:r>
              <w:rPr>
                <w:rFonts w:ascii="Poppins" w:hAnsi="Poppins"/>
                <w:sz w:val="20"/>
                <w:u w:val="single"/>
              </w:rPr>
              <w:t>Chair</w:t>
            </w:r>
          </w:p>
        </w:tc>
        <w:tc>
          <w:tcPr>
            <w:tcW w:w="1126"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Poppins" w:hAnsi="Poppins"/>
                <w:sz w:val="20"/>
                <w:u w:val="single"/>
              </w:rPr>
            </w:pPr>
            <w:r>
              <w:rPr>
                <w:rFonts w:ascii="Poppins" w:hAnsi="Poppins"/>
                <w:sz w:val="20"/>
                <w:u w:val="single"/>
              </w:rPr>
              <w:t>Non-Chair</w:t>
            </w:r>
          </w:p>
        </w:tc>
      </w:tr>
      <w:tr>
        <w:trPr/>
        <w:tc>
          <w:tcPr>
            <w:tcW w:w="24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Poppins" w:hAnsi="Poppins"/>
                <w:sz w:val="20"/>
              </w:rPr>
            </w:pPr>
            <w:r>
              <w:rPr>
                <w:rFonts w:ascii="Poppins" w:hAnsi="Poppins"/>
                <w:sz w:val="20"/>
              </w:rPr>
              <w:t>Non-Employee Director</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Poppins" w:hAnsi="Poppins"/>
                <w:sz w:val="20"/>
              </w:rPr>
            </w:pPr>
            <w:r>
              <w:rPr>
                <w:rFonts w:ascii="Poppins" w:hAnsi="Poppins"/>
                <w:sz w:val="20"/>
              </w:rPr>
              <w:t>$75,000</w:t>
            </w:r>
          </w:p>
        </w:tc>
        <w:tc>
          <w:tcPr>
            <w:tcW w:w="1126"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Poppins" w:hAnsi="Poppins"/>
                <w:sz w:val="20"/>
              </w:rPr>
            </w:pPr>
            <w:r>
              <w:rPr>
                <w:rFonts w:ascii="Poppins" w:hAnsi="Poppins"/>
                <w:sz w:val="20"/>
              </w:rPr>
              <w:t>$50,000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Poppins" w:hAnsi="Poppins"/>
          <w:i/>
          <w:sz w:val="20"/>
        </w:rPr>
      </w:pPr>
      <w:r>
        <w:rPr>
          <w:rFonts w:ascii="Poppins" w:hAnsi="Poppins"/>
          <w:i/>
          <w:sz w:val="20"/>
        </w:rPr>
        <w:t>Committee Service</w:t>
      </w:r>
    </w:p>
    <w:tbl>
      <w:tblPr>
        <w:tblW w:w="7953" w:type="dxa"/>
        <w:jc w:val="left"/>
        <w:tblInd w:w="0" w:type="dxa"/>
        <w:tblLayout w:type="fixed"/>
        <w:tblCellMar>
          <w:top w:w="43" w:type="dxa"/>
          <w:left w:w="110" w:type="dxa"/>
          <w:bottom w:w="43" w:type="dxa"/>
          <w:right w:w="110" w:type="dxa"/>
        </w:tblCellMar>
      </w:tblPr>
      <w:tblGrid>
        <w:gridCol w:w="5941"/>
        <w:gridCol w:w="886"/>
        <w:gridCol w:w="1126"/>
      </w:tblGrid>
      <w:tr>
        <w:trPr/>
        <w:tc>
          <w:tcPr>
            <w:tcW w:w="5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Poppins" w:hAnsi="Poppins"/>
                <w:sz w:val="20"/>
                <w:u w:val="single"/>
              </w:rPr>
            </w:pPr>
            <w:r>
              <w:rPr>
                <w:rFonts w:ascii="Poppins" w:hAnsi="Poppins"/>
                <w:sz w:val="20"/>
                <w:u w:val="single"/>
              </w:rPr>
              <w:t>Chair</w:t>
            </w:r>
          </w:p>
        </w:tc>
        <w:tc>
          <w:tcPr>
            <w:tcW w:w="1126"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Poppins" w:hAnsi="Poppins"/>
                <w:sz w:val="20"/>
                <w:u w:val="single"/>
              </w:rPr>
            </w:pPr>
            <w:r>
              <w:rPr>
                <w:rFonts w:ascii="Poppins" w:hAnsi="Poppins"/>
                <w:sz w:val="20"/>
                <w:u w:val="single"/>
              </w:rPr>
              <w:t>Non-Chair</w:t>
            </w:r>
          </w:p>
        </w:tc>
      </w:tr>
      <w:tr>
        <w:trPr/>
        <w:tc>
          <w:tcPr>
            <w:tcW w:w="5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Poppins" w:hAnsi="Poppins"/>
                <w:sz w:val="20"/>
              </w:rPr>
            </w:pPr>
            <w:r>
              <w:rPr>
                <w:rFonts w:ascii="Poppins" w:hAnsi="Poppins"/>
                <w:sz w:val="20"/>
              </w:rPr>
              <w:t>Audit Committee Member</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Poppins" w:hAnsi="Poppins"/>
                <w:sz w:val="20"/>
              </w:rPr>
            </w:pPr>
            <w:r>
              <w:rPr>
                <w:rFonts w:ascii="Poppins" w:hAnsi="Poppins"/>
                <w:sz w:val="20"/>
              </w:rPr>
              <w:t>$20,000</w:t>
            </w:r>
          </w:p>
        </w:tc>
        <w:tc>
          <w:tcPr>
            <w:tcW w:w="1126"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Poppins" w:hAnsi="Poppins"/>
                <w:sz w:val="20"/>
              </w:rPr>
            </w:pPr>
            <w:r>
              <w:rPr>
                <w:rFonts w:ascii="Poppins" w:hAnsi="Poppins"/>
                <w:sz w:val="20"/>
              </w:rPr>
              <w:t>$10,000</w:t>
            </w:r>
          </w:p>
        </w:tc>
      </w:tr>
      <w:tr>
        <w:trPr/>
        <w:tc>
          <w:tcPr>
            <w:tcW w:w="5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Poppins" w:hAnsi="Poppins"/>
                <w:sz w:val="20"/>
              </w:rPr>
            </w:pPr>
            <w:r>
              <w:rPr>
                <w:rFonts w:ascii="Poppins" w:hAnsi="Poppins"/>
                <w:sz w:val="20"/>
              </w:rPr>
              <w:t>Compensation Committee Member</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Poppins" w:hAnsi="Poppins"/>
                <w:sz w:val="20"/>
              </w:rPr>
            </w:pPr>
            <w:r>
              <w:rPr>
                <w:rFonts w:ascii="Poppins" w:hAnsi="Poppins"/>
                <w:sz w:val="20"/>
              </w:rPr>
              <w:t>$15,000</w:t>
            </w:r>
          </w:p>
        </w:tc>
        <w:tc>
          <w:tcPr>
            <w:tcW w:w="1126"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Poppins" w:hAnsi="Poppins"/>
                <w:sz w:val="20"/>
              </w:rPr>
            </w:pPr>
            <w:r>
              <w:rPr>
                <w:rFonts w:ascii="Poppins" w:hAnsi="Poppins"/>
                <w:sz w:val="20"/>
              </w:rPr>
              <w:t>$7,500</w:t>
            </w:r>
          </w:p>
        </w:tc>
      </w:tr>
      <w:tr>
        <w:trPr/>
        <w:tc>
          <w:tcPr>
            <w:tcW w:w="5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Poppins" w:hAnsi="Poppins"/>
                <w:sz w:val="20"/>
              </w:rPr>
            </w:pPr>
            <w:r>
              <w:rPr>
                <w:rFonts w:ascii="Poppins" w:hAnsi="Poppins"/>
                <w:sz w:val="20"/>
              </w:rPr>
              <w:t>Nominating and Corporate Governance Committee Member</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Poppins" w:hAnsi="Poppins"/>
                <w:sz w:val="20"/>
              </w:rPr>
            </w:pPr>
            <w:r>
              <w:rPr>
                <w:rFonts w:ascii="Poppins" w:hAnsi="Poppins"/>
                <w:sz w:val="20"/>
              </w:rPr>
              <w:t>$15,000</w:t>
            </w:r>
          </w:p>
        </w:tc>
        <w:tc>
          <w:tcPr>
            <w:tcW w:w="1126" w:type="dxa"/>
            <w:tcBorders>
              <w:top w:val="single" w:sz="2" w:space="0" w:color="000000"/>
              <w:left w:val="single" w:sz="2" w:space="0" w:color="000000"/>
              <w:bottom w:val="single" w:sz="2" w:space="0" w:color="000000"/>
              <w:right w:val="single" w:sz="2" w:space="0" w:color="000000"/>
            </w:tcBorders>
            <w:tcMar>
              <w:left w:w="103" w:type="dxa"/>
              <w:right w:w="103" w:type="dxa"/>
            </w:tcMar>
            <w:vAlign w:val="center"/>
          </w:tcPr>
          <w:p>
            <w:pPr>
              <w:pStyle w:val="TableContents"/>
              <w:bidi w:val="0"/>
              <w:spacing w:before="0" w:after="0"/>
              <w:ind w:left="0" w:right="0" w:hanging="0"/>
              <w:jc w:val="center"/>
              <w:rPr>
                <w:rFonts w:ascii="Poppins" w:hAnsi="Poppins"/>
                <w:sz w:val="20"/>
              </w:rPr>
            </w:pPr>
            <w:r>
              <w:rPr>
                <w:rFonts w:ascii="Poppins" w:hAnsi="Poppins"/>
                <w:sz w:val="20"/>
              </w:rPr>
              <w:t>$7,500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Poppins" w:hAnsi="Poppins"/>
          <w:sz w:val="20"/>
        </w:rPr>
      </w:pPr>
      <w:r>
        <w:rPr>
          <w:rFonts w:ascii="Poppins" w:hAnsi="Poppins"/>
          <w:sz w:val="20"/>
        </w:rPr>
        <w:t>Unless otherwise elected by the Non-Employee Director, as set forth below, all annual retainers will be paid out in cash on a quarterly basis in arrears promptly following the end of the applicable fiscal quarter, but in no event more than 30 days after the end of such quarter. If a Non-Employee Director does not serve as a Non-Employee Director, or in the applicable positions described above, for an entire fiscal quarter, the retainer paid to such Non-Employee Director shall be prorated for the portion of such fiscal quarter actually served as a Non-Employee Director, or in such position, as applicable.</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Poppins" w:hAnsi="Poppins"/>
          <w:sz w:val="20"/>
        </w:rPr>
        <w:t>Page 1</w:t>
      </w:r>
      <w:r>
        <w:rPr>
          <w:rFonts w:ascii="Times New Roman;Times;serif" w:hAnsi="Times New Roman;Times;serif"/>
          <w:sz w:val="20"/>
        </w:rPr>
        <w:t xml:space="preserve"> </w:t>
      </w:r>
      <w:r>
        <w:rPr>
          <w:rFonts w:ascii="Poppins" w:hAnsi="Poppins"/>
          <w:sz w:val="20"/>
        </w:rPr>
        <w:t>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Poppins" w:hAnsi="Poppins"/>
          <w:b/>
          <w:i/>
          <w:sz w:val="20"/>
        </w:rPr>
      </w:pPr>
      <w:r>
        <w:rPr>
          <w:rFonts w:ascii="Poppins" w:hAnsi="Poppins"/>
          <w:b/>
          <w:i/>
          <w:sz w:val="20"/>
        </w:rPr>
        <w:t>Equity Compensation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Poppins" w:hAnsi="Poppins"/>
          <w:b/>
          <w:sz w:val="20"/>
        </w:rPr>
        <w:t>Anti-Dilution Protection and Definition of Share Price Floor:  </w:t>
      </w:r>
      <w:r>
        <w:rPr>
          <w:rFonts w:ascii="Poppins" w:hAnsi="Poppins"/>
          <w:sz w:val="20"/>
        </w:rPr>
        <w:t>To avoid the potentially dilutive impact of target dollar value restricted stock unit (“</w:t>
      </w:r>
      <w:r>
        <w:rPr>
          <w:rFonts w:ascii="Poppins" w:hAnsi="Poppins"/>
          <w:b/>
          <w:i/>
          <w:sz w:val="20"/>
        </w:rPr>
        <w:t>RSU</w:t>
      </w:r>
      <w:r>
        <w:rPr>
          <w:rFonts w:ascii="Times New Roman;Times;serif" w:hAnsi="Times New Roman;Times;serif"/>
          <w:sz w:val="20"/>
        </w:rPr>
        <w:t>”</w:t>
      </w:r>
      <w:r>
        <w:rPr>
          <w:rFonts w:ascii="Poppins" w:hAnsi="Poppins"/>
          <w:sz w:val="20"/>
        </w:rPr>
        <w:t>) awards, each award of RSUs under the Plan that is calculated based on a target dollar value may be limited by a share price floor for Company equity awards, which value shall be established from time to time by the Compensation Committee of the Board (the “</w:t>
      </w:r>
      <w:r>
        <w:rPr>
          <w:rFonts w:ascii="Poppins" w:hAnsi="Poppins"/>
          <w:b/>
          <w:i/>
          <w:sz w:val="20"/>
        </w:rPr>
        <w:t>Compensation Committee</w:t>
      </w:r>
      <w:r>
        <w:rPr>
          <w:rFonts w:ascii="Times New Roman;Times;serif" w:hAnsi="Times New Roman;Times;serif"/>
          <w:sz w:val="20"/>
        </w:rPr>
        <w:t>”</w:t>
      </w:r>
      <w:r>
        <w:rPr>
          <w:rFonts w:ascii="Poppins" w:hAnsi="Poppins"/>
          <w:sz w:val="20"/>
        </w:rPr>
        <w:t>) (the “</w:t>
      </w:r>
      <w:r>
        <w:rPr>
          <w:rFonts w:ascii="Poppins" w:hAnsi="Poppins"/>
          <w:b/>
          <w:i/>
          <w:sz w:val="20"/>
        </w:rPr>
        <w:t>Share Price Floor</w:t>
      </w:r>
      <w:r>
        <w:rPr>
          <w:rFonts w:ascii="Times New Roman;Times;serif" w:hAnsi="Times New Roman;Times;serif"/>
          <w:sz w:val="20"/>
        </w:rPr>
        <w:t>”</w:t>
      </w:r>
      <w:r>
        <w:rPr>
          <w:rFonts w:ascii="Poppins" w:hAnsi="Poppins"/>
          <w:sz w:val="20"/>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68"/>
        <w:gridCol w:w="9337"/>
      </w:tblGrid>
      <w:tr>
        <w:trPr/>
        <w:tc>
          <w:tcPr>
            <w:tcW w:w="868" w:type="dxa"/>
            <w:tcBorders/>
            <w:vAlign w:val="center"/>
          </w:tcPr>
          <w:p>
            <w:pPr>
              <w:pStyle w:val="TableContents"/>
              <w:bidi w:val="0"/>
              <w:spacing w:before="0" w:after="0"/>
              <w:ind w:left="0" w:right="0" w:hanging="0"/>
              <w:jc w:val="left"/>
              <w:rPr/>
            </w:pPr>
            <w:r>
              <w:rPr/>
              <w:t>​</w:t>
            </w:r>
          </w:p>
        </w:tc>
        <w:tc>
          <w:tcPr>
            <w:tcW w:w="9337"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r>
      <w:tr>
        <w:trPr/>
        <w:tc>
          <w:tcPr>
            <w:tcW w:w="868" w:type="dxa"/>
            <w:tcBorders>
              <w:top w:val="single" w:sz="2" w:space="0" w:color="000000"/>
              <w:left w:val="single" w:sz="2" w:space="0" w:color="000000"/>
              <w:bottom w:val="single" w:sz="2" w:space="0" w:color="000000"/>
              <w:right w:val="single" w:sz="2" w:space="0" w:color="000000"/>
            </w:tcBorders>
            <w:tcMar>
              <w:top w:w="43" w:type="dxa"/>
              <w:left w:w="110" w:type="dxa"/>
              <w:bottom w:w="43" w:type="dxa"/>
              <w:right w:w="110" w:type="dxa"/>
            </w:tcMar>
            <w:vAlign w:val="center"/>
          </w:tcPr>
          <w:p>
            <w:pPr>
              <w:pStyle w:val="TableContents"/>
              <w:bidi w:val="0"/>
              <w:spacing w:before="0" w:after="0"/>
              <w:ind w:left="0" w:right="0" w:hanging="0"/>
              <w:jc w:val="both"/>
              <w:rPr>
                <w:rFonts w:ascii="Poppins" w:hAnsi="Poppins"/>
                <w:sz w:val="20"/>
              </w:rPr>
            </w:pPr>
            <w:r>
              <w:rPr>
                <w:rFonts w:ascii="Poppins" w:hAnsi="Poppins"/>
                <w:sz w:val="20"/>
              </w:rPr>
              <w:t>Initial RSU Award:</w:t>
            </w:r>
          </w:p>
        </w:tc>
        <w:tc>
          <w:tcPr>
            <w:tcW w:w="9337" w:type="dxa"/>
            <w:tcBorders>
              <w:top w:val="single" w:sz="2" w:space="0" w:color="000000"/>
              <w:left w:val="single" w:sz="2" w:space="0" w:color="000000"/>
              <w:bottom w:val="single" w:sz="2" w:space="0" w:color="000000"/>
              <w:right w:val="single" w:sz="2" w:space="0" w:color="000000"/>
            </w:tcBorders>
            <w:tcMar>
              <w:top w:w="43" w:type="dxa"/>
              <w:left w:w="110" w:type="dxa"/>
              <w:bottom w:w="43" w:type="dxa"/>
              <w:right w:w="110" w:type="dxa"/>
            </w:tcMar>
            <w:vAlign w:val="center"/>
          </w:tcPr>
          <w:p>
            <w:pPr>
              <w:pStyle w:val="TableContents"/>
              <w:bidi w:val="0"/>
              <w:spacing w:before="0" w:after="0"/>
              <w:ind w:left="0" w:right="0" w:hanging="0"/>
              <w:jc w:val="both"/>
              <w:rPr>
                <w:rFonts w:ascii="Times New Roman;Times;serif" w:hAnsi="Times New Roman;Times;serif"/>
                <w:sz w:val="20"/>
              </w:rPr>
            </w:pPr>
            <w:r>
              <w:rPr>
                <w:rFonts w:ascii="Poppins" w:hAnsi="Poppins"/>
                <w:sz w:val="20"/>
              </w:rPr>
              <w:t>Each Non-Employee Director who is initially elected or appointed to serve on the Board on or after the Effective Date shall be granted an award of RSUs under the Plan, or any other applicable Company equity incentive plan then-maintained by the Company, covering a number of shares of Common Stock calculated by dividing (i) $200,000 by (ii) the average closing trading price of the Common Stock over the 10 consecutive trading days ending with the trading day immediately preceding the grant (the “</w:t>
            </w:r>
            <w:r>
              <w:rPr>
                <w:rFonts w:ascii="Poppins" w:hAnsi="Poppins"/>
                <w:b/>
                <w:i/>
                <w:sz w:val="20"/>
              </w:rPr>
              <w:t>10-Day VWAP</w:t>
            </w:r>
            <w:r>
              <w:rPr>
                <w:rFonts w:ascii="Times New Roman;Times;serif" w:hAnsi="Times New Roman;Times;serif"/>
                <w:sz w:val="20"/>
              </w:rPr>
              <w:t>”</w:t>
            </w:r>
            <w:r>
              <w:rPr>
                <w:rFonts w:ascii="Poppins" w:hAnsi="Poppins"/>
                <w:sz w:val="20"/>
              </w:rPr>
              <w:t>) or the applicable Share Price Floor, whichever is greater (the “</w:t>
            </w:r>
            <w:r>
              <w:rPr>
                <w:rFonts w:ascii="Poppins" w:hAnsi="Poppins"/>
                <w:b/>
                <w:i/>
                <w:sz w:val="20"/>
              </w:rPr>
              <w:t>Initial RSU Award</w:t>
            </w:r>
            <w:r>
              <w:rPr>
                <w:rFonts w:ascii="Times New Roman;Times;serif" w:hAnsi="Times New Roman;Times;serif"/>
                <w:sz w:val="20"/>
              </w:rPr>
              <w:t>”</w:t>
            </w:r>
            <w:r>
              <w:rPr>
                <w:rFonts w:ascii="Poppins" w:hAnsi="Poppins"/>
                <w:sz w:val="20"/>
              </w:rPr>
              <w:t>).</w:t>
            </w:r>
          </w:p>
          <w:p>
            <w:pPr>
              <w:pStyle w:val="TableContents"/>
              <w:bidi w:val="0"/>
              <w:spacing w:before="0" w:after="0"/>
              <w:ind w:left="0" w:right="0" w:hanging="0"/>
              <w:jc w:val="both"/>
              <w:rPr/>
            </w:pPr>
            <w:r>
              <w:rPr/>
              <w:t>​</w:t>
            </w:r>
          </w:p>
          <w:p>
            <w:pPr>
              <w:pStyle w:val="TableContents"/>
              <w:bidi w:val="0"/>
              <w:spacing w:before="0" w:after="0"/>
              <w:ind w:left="0" w:right="0" w:hanging="0"/>
              <w:jc w:val="both"/>
              <w:rPr>
                <w:rFonts w:ascii="Poppins" w:hAnsi="Poppins"/>
                <w:sz w:val="20"/>
              </w:rPr>
            </w:pPr>
            <w:r>
              <w:rPr>
                <w:rFonts w:ascii="Poppins" w:hAnsi="Poppins"/>
                <w:sz w:val="20"/>
              </w:rPr>
              <w:t>The Initial RSU Award will be automatically granted on the date on which such Non-Employee Director commences service on the Board, and will vest as to one-third of the shares subject thereto on each anniversary of the applicable grant date such that the shares subject to the Initial RSU Award are fully vested on the third anniversary of the grant date, subject to the Non-Employee Director continuing in service on the Board through each such vesting date.</w:t>
            </w:r>
          </w:p>
        </w:tc>
      </w:tr>
      <w:tr>
        <w:trPr/>
        <w:tc>
          <w:tcPr>
            <w:tcW w:w="868" w:type="dxa"/>
            <w:tcBorders>
              <w:top w:val="single" w:sz="2" w:space="0" w:color="000000"/>
              <w:left w:val="single" w:sz="2" w:space="0" w:color="000000"/>
              <w:bottom w:val="single" w:sz="2" w:space="0" w:color="000000"/>
              <w:right w:val="single" w:sz="2" w:space="0" w:color="000000"/>
            </w:tcBorders>
            <w:tcMar>
              <w:top w:w="43" w:type="dxa"/>
              <w:left w:w="110" w:type="dxa"/>
              <w:bottom w:w="43" w:type="dxa"/>
              <w:right w:w="110" w:type="dxa"/>
            </w:tcMar>
            <w:vAlign w:val="center"/>
          </w:tcPr>
          <w:p>
            <w:pPr>
              <w:pStyle w:val="TableContents"/>
              <w:bidi w:val="0"/>
              <w:spacing w:before="0" w:after="0"/>
              <w:ind w:left="0" w:right="0" w:hanging="0"/>
              <w:jc w:val="both"/>
              <w:rPr>
                <w:rFonts w:ascii="Poppins" w:hAnsi="Poppins"/>
                <w:sz w:val="20"/>
              </w:rPr>
            </w:pPr>
            <w:r>
              <w:rPr>
                <w:rFonts w:ascii="Poppins" w:hAnsi="Poppins"/>
                <w:sz w:val="20"/>
              </w:rPr>
              <w:t>Annual RSU Award:</w:t>
            </w:r>
          </w:p>
        </w:tc>
        <w:tc>
          <w:tcPr>
            <w:tcW w:w="9337" w:type="dxa"/>
            <w:tcBorders>
              <w:top w:val="single" w:sz="2" w:space="0" w:color="000000"/>
              <w:left w:val="single" w:sz="2" w:space="0" w:color="000000"/>
              <w:bottom w:val="single" w:sz="2" w:space="0" w:color="000000"/>
              <w:right w:val="single" w:sz="2" w:space="0" w:color="000000"/>
            </w:tcBorders>
            <w:tcMar>
              <w:top w:w="43" w:type="dxa"/>
              <w:left w:w="110" w:type="dxa"/>
              <w:bottom w:w="43" w:type="dxa"/>
              <w:right w:w="110" w:type="dxa"/>
            </w:tcMar>
            <w:vAlign w:val="center"/>
          </w:tcPr>
          <w:p>
            <w:pPr>
              <w:pStyle w:val="TableContents"/>
              <w:bidi w:val="0"/>
              <w:spacing w:before="0" w:after="0"/>
              <w:ind w:left="0" w:right="0" w:hanging="0"/>
              <w:jc w:val="both"/>
              <w:rPr>
                <w:rFonts w:ascii="Times New Roman;Times;serif" w:hAnsi="Times New Roman;Times;serif"/>
                <w:sz w:val="20"/>
              </w:rPr>
            </w:pPr>
            <w:r>
              <w:rPr>
                <w:rFonts w:ascii="Poppins" w:hAnsi="Poppins"/>
                <w:sz w:val="20"/>
              </w:rPr>
              <w:t>Each Non-Employee Director who</w:t>
            </w:r>
            <w:r>
              <w:rPr>
                <w:rFonts w:ascii="Times New Roman;Times;serif" w:hAnsi="Times New Roman;Times;serif"/>
                <w:sz w:val="20"/>
              </w:rPr>
              <w:t xml:space="preserve"> </w:t>
            </w:r>
            <w:r>
              <w:rPr>
                <w:rFonts w:ascii="Poppins" w:hAnsi="Poppins"/>
                <w:sz w:val="20"/>
              </w:rPr>
              <w:t>will continue to serve as a Non-Employee Director immediately following an annual meeting of the Company’s stockholders (an “</w:t>
            </w:r>
            <w:r>
              <w:rPr>
                <w:rFonts w:ascii="Poppins" w:hAnsi="Poppins"/>
                <w:b/>
                <w:i/>
                <w:sz w:val="20"/>
              </w:rPr>
              <w:t>Annual Meeting</w:t>
            </w:r>
            <w:r>
              <w:rPr>
                <w:rFonts w:ascii="Times New Roman;Times;serif" w:hAnsi="Times New Roman;Times;serif"/>
                <w:sz w:val="20"/>
              </w:rPr>
              <w:t>”</w:t>
            </w:r>
            <w:r>
              <w:rPr>
                <w:rFonts w:ascii="Poppins" w:hAnsi="Poppins"/>
                <w:sz w:val="20"/>
              </w:rPr>
              <w:t>) shall be granted on the date of such Annual Meeting an award of RSUs under the Plan, or any other applicable Company equity incentive plan then-maintained by the Company, covering a number of shares of Common Stock calculated by dividing (i) $100,000 by (ii) the 10-Day VWAP or the applicable Share Price Floor, whichever is greater (the “</w:t>
            </w:r>
            <w:r>
              <w:rPr>
                <w:rFonts w:ascii="Poppins" w:hAnsi="Poppins"/>
                <w:b/>
                <w:i/>
                <w:sz w:val="20"/>
              </w:rPr>
              <w:t>Annual RSU Award</w:t>
            </w:r>
            <w:r>
              <w:rPr>
                <w:rFonts w:ascii="Times New Roman;Times;serif" w:hAnsi="Times New Roman;Times;serif"/>
                <w:sz w:val="20"/>
              </w:rPr>
              <w:t>”</w:t>
            </w:r>
            <w:r>
              <w:rPr>
                <w:rFonts w:ascii="Poppins" w:hAnsi="Poppins"/>
                <w:sz w:val="20"/>
              </w:rPr>
              <w:t xml:space="preserve">); </w:t>
            </w:r>
            <w:r>
              <w:rPr>
                <w:rFonts w:ascii="Poppins" w:hAnsi="Poppins"/>
                <w:i/>
                <w:sz w:val="20"/>
              </w:rPr>
              <w:t>provided</w:t>
            </w:r>
            <w:r>
              <w:rPr>
                <w:rFonts w:ascii="Poppins" w:hAnsi="Poppins"/>
                <w:sz w:val="20"/>
              </w:rPr>
              <w:t>, that if a Non-Employee Director is first appointed or elected on a date other than the date of an Annual Meeting, then such Non-Employee Director shall be granted automatically on such date of appointment or election under the Plan, or any other applicable Company equity incentive plan then-maintained by the Company, an award of that number of RSUs calculated by dividing (i) the product of $100,000 multiplied by a fraction, the numerator of which is the number of days from the date of such appointment or election through the anticipated date of the first Annual Meeting following such appointment or election, and the denominator of which is 365, by (ii) the 10-Day VWAP or the applicable Share Price Floor, whichever is greater.</w:t>
            </w:r>
          </w:p>
          <w:p>
            <w:pPr>
              <w:pStyle w:val="TableContents"/>
              <w:bidi w:val="0"/>
              <w:spacing w:before="0" w:after="0"/>
              <w:ind w:left="0" w:right="0" w:hanging="0"/>
              <w:jc w:val="both"/>
              <w:rPr/>
            </w:pPr>
            <w:r>
              <w:rPr/>
              <w:t>​</w:t>
            </w:r>
          </w:p>
          <w:p>
            <w:pPr>
              <w:pStyle w:val="TableContents"/>
              <w:bidi w:val="0"/>
              <w:spacing w:before="0" w:after="0"/>
              <w:ind w:left="0" w:right="0" w:hanging="0"/>
              <w:jc w:val="both"/>
              <w:rPr>
                <w:rFonts w:ascii="Poppins" w:hAnsi="Poppins"/>
                <w:sz w:val="20"/>
              </w:rPr>
            </w:pPr>
            <w:r>
              <w:rPr>
                <w:rFonts w:ascii="Poppins" w:hAnsi="Poppins"/>
                <w:sz w:val="20"/>
              </w:rPr>
              <w:t xml:space="preserve">The award of RSUs will be automatically granted on the date of the applicable Annual Meeting, appointment or election, and will vest in full on the earlier of (i) the first anniversary of the grant date or (ii) immediately before the next Annual Meeting immediately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Poppins" w:hAnsi="Poppins"/>
          <w:sz w:val="20"/>
        </w:rPr>
        <w:t>Page 2</w:t>
      </w:r>
      <w:r>
        <w:rPr>
          <w:rFonts w:ascii="Times New Roman;Times;serif" w:hAnsi="Times New Roman;Times;serif"/>
          <w:sz w:val="20"/>
        </w:rPr>
        <w:t xml:space="preserve"> </w:t>
      </w:r>
      <w:r>
        <w:rPr>
          <w:rFonts w:ascii="Poppins" w:hAnsi="Poppins"/>
          <w:sz w:val="20"/>
        </w:rPr>
        <w:t>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43" w:type="dxa"/>
          <w:left w:w="110" w:type="dxa"/>
          <w:bottom w:w="43" w:type="dxa"/>
          <w:right w:w="110" w:type="dxa"/>
        </w:tblCellMar>
      </w:tblPr>
      <w:tblGrid>
        <w:gridCol w:w="124"/>
        <w:gridCol w:w="10081"/>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0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Poppins" w:hAnsi="Poppins"/>
                <w:sz w:val="20"/>
              </w:rPr>
            </w:pPr>
            <w:r>
              <w:rPr>
                <w:rFonts w:ascii="Poppins" w:hAnsi="Poppins"/>
                <w:sz w:val="20"/>
              </w:rPr>
              <w:t>following the grant date, subject to the Non-Employee Director continuing in service on the Board through such vesting date.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Poppins" w:hAnsi="Poppins"/>
          <w:b/>
          <w:i/>
          <w:sz w:val="20"/>
        </w:rPr>
      </w:pPr>
      <w:r>
        <w:rPr>
          <w:rFonts w:ascii="Poppins" w:hAnsi="Poppins"/>
          <w:b/>
          <w:i/>
          <w:sz w:val="20"/>
        </w:rPr>
        <w:t>Election to Receive Restricted Stock Units (“RSUs”) In Lieu of Annual Retainers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77"/>
        <w:gridCol w:w="9228"/>
      </w:tblGrid>
      <w:tr>
        <w:trPr/>
        <w:tc>
          <w:tcPr>
            <w:tcW w:w="977" w:type="dxa"/>
            <w:tcBorders/>
            <w:vAlign w:val="center"/>
          </w:tcPr>
          <w:p>
            <w:pPr>
              <w:pStyle w:val="TableContents"/>
              <w:bidi w:val="0"/>
              <w:spacing w:before="0" w:after="0"/>
              <w:ind w:left="0" w:right="0" w:hanging="0"/>
              <w:jc w:val="left"/>
              <w:rPr/>
            </w:pPr>
            <w:r>
              <w:rPr/>
              <w:t>​</w:t>
            </w:r>
          </w:p>
        </w:tc>
        <w:tc>
          <w:tcPr>
            <w:tcW w:w="922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r>
      <w:tr>
        <w:trPr/>
        <w:tc>
          <w:tcPr>
            <w:tcW w:w="977" w:type="dxa"/>
            <w:tcBorders>
              <w:top w:val="single" w:sz="2" w:space="0" w:color="000000"/>
              <w:left w:val="single" w:sz="2" w:space="0" w:color="000000"/>
              <w:bottom w:val="single" w:sz="2" w:space="0" w:color="000000"/>
              <w:right w:val="single" w:sz="2" w:space="0" w:color="000000"/>
            </w:tcBorders>
            <w:tcMar>
              <w:top w:w="43" w:type="dxa"/>
              <w:left w:w="110" w:type="dxa"/>
              <w:bottom w:w="43" w:type="dxa"/>
              <w:right w:w="110" w:type="dxa"/>
            </w:tcMar>
            <w:vAlign w:val="center"/>
          </w:tcPr>
          <w:p>
            <w:pPr>
              <w:pStyle w:val="TableContents"/>
              <w:bidi w:val="0"/>
              <w:spacing w:before="0" w:after="0"/>
              <w:ind w:left="0" w:right="0" w:hanging="0"/>
              <w:jc w:val="both"/>
              <w:rPr>
                <w:rFonts w:ascii="Poppins" w:hAnsi="Poppins"/>
                <w:sz w:val="20"/>
              </w:rPr>
            </w:pPr>
            <w:r>
              <w:rPr>
                <w:rFonts w:ascii="Poppins" w:hAnsi="Poppins"/>
                <w:sz w:val="20"/>
              </w:rPr>
              <w:t>General:</w:t>
            </w:r>
          </w:p>
        </w:tc>
        <w:tc>
          <w:tcPr>
            <w:tcW w:w="9228" w:type="dxa"/>
            <w:tcBorders>
              <w:top w:val="single" w:sz="2" w:space="0" w:color="000000"/>
              <w:left w:val="single" w:sz="2" w:space="0" w:color="000000"/>
              <w:bottom w:val="single" w:sz="2" w:space="0" w:color="000000"/>
              <w:right w:val="single" w:sz="2" w:space="0" w:color="000000"/>
            </w:tcBorders>
            <w:tcMar>
              <w:top w:w="43" w:type="dxa"/>
              <w:left w:w="110" w:type="dxa"/>
              <w:bottom w:w="43" w:type="dxa"/>
              <w:right w:w="110" w:type="dxa"/>
            </w:tcMar>
            <w:vAlign w:val="center"/>
          </w:tcPr>
          <w:p>
            <w:pPr>
              <w:pStyle w:val="TableContents"/>
              <w:bidi w:val="0"/>
              <w:spacing w:before="0" w:after="0"/>
              <w:ind w:left="0" w:right="0" w:hanging="0"/>
              <w:jc w:val="both"/>
              <w:rPr>
                <w:rFonts w:ascii="Times New Roman;Times;serif" w:hAnsi="Times New Roman;Times;serif"/>
                <w:sz w:val="20"/>
              </w:rPr>
            </w:pPr>
            <w:r>
              <w:rPr>
                <w:rFonts w:ascii="Poppins" w:hAnsi="Poppins"/>
                <w:sz w:val="20"/>
              </w:rPr>
              <w:t>The Compensation Committee shall determine annually (but not later than December 1 of the year prior to the year in which the annual retainer would otherwise be paid to a Non-Employee Director), in its discretion, whether to allow Non-Employee Directors to elect to convert all or a portion of their annual retainers into awards of RSUs (“</w:t>
            </w:r>
            <w:r>
              <w:rPr>
                <w:rFonts w:ascii="Poppins" w:hAnsi="Poppins"/>
                <w:b/>
                <w:i/>
                <w:sz w:val="20"/>
              </w:rPr>
              <w:t>Retainer RSU Awards</w:t>
            </w:r>
            <w:r>
              <w:rPr>
                <w:rFonts w:ascii="Times New Roman;Times;serif" w:hAnsi="Times New Roman;Times;serif"/>
                <w:sz w:val="20"/>
              </w:rPr>
              <w:t>”</w:t>
            </w:r>
            <w:r>
              <w:rPr>
                <w:rFonts w:ascii="Poppins" w:hAnsi="Poppins"/>
                <w:sz w:val="20"/>
              </w:rPr>
              <w:t>) granted under the Plan or any other applicable Company equity incentive plan then-maintained by the Company, with each such Retainer RSU Award covering a number of shares of Common Stock calculated by dividing (i) the amount of the annual retainer that would have otherwise been paid to such Non-Employee Director on the applicable payment date by (ii) the 10-Day VWAP or the applicable Share Price Floor, whichever is greater (such election, a “</w:t>
            </w:r>
            <w:r>
              <w:rPr>
                <w:rFonts w:ascii="Poppins" w:hAnsi="Poppins"/>
                <w:b/>
                <w:i/>
                <w:sz w:val="20"/>
              </w:rPr>
              <w:t>Retainer RSU Election</w:t>
            </w:r>
            <w:r>
              <w:rPr>
                <w:rFonts w:ascii="Times New Roman;Times;serif" w:hAnsi="Times New Roman;Times;serif"/>
                <w:sz w:val="20"/>
              </w:rPr>
              <w:t>”</w:t>
            </w:r>
            <w:r>
              <w:rPr>
                <w:rFonts w:ascii="Poppins" w:hAnsi="Poppins"/>
                <w:sz w:val="20"/>
              </w:rPr>
              <w:t xml:space="preserve">). </w:t>
            </w:r>
          </w:p>
          <w:p>
            <w:pPr>
              <w:pStyle w:val="TableContents"/>
              <w:bidi w:val="0"/>
              <w:spacing w:before="0" w:after="0"/>
              <w:ind w:left="0" w:right="0" w:hanging="0"/>
              <w:jc w:val="both"/>
              <w:rPr/>
            </w:pPr>
            <w:r>
              <w:rPr/>
              <w:t>​</w:t>
            </w:r>
          </w:p>
          <w:p>
            <w:pPr>
              <w:pStyle w:val="TableContents"/>
              <w:bidi w:val="0"/>
              <w:spacing w:before="0" w:after="0"/>
              <w:ind w:left="0" w:right="0" w:hanging="0"/>
              <w:jc w:val="both"/>
              <w:rPr>
                <w:rFonts w:ascii="Poppins" w:hAnsi="Poppins"/>
                <w:sz w:val="20"/>
              </w:rPr>
            </w:pPr>
            <w:r>
              <w:rPr>
                <w:rFonts w:ascii="Poppins" w:hAnsi="Poppins"/>
                <w:sz w:val="20"/>
              </w:rPr>
              <w:t>Each Retainer RSU Award will be automatically granted five business days after the end of the fiscal quarter for which the corresponding portion of the annual retainer was earned. Each Retainer RSU Award will be fully vested on the grant date.</w:t>
            </w:r>
          </w:p>
        </w:tc>
      </w:tr>
      <w:tr>
        <w:trPr/>
        <w:tc>
          <w:tcPr>
            <w:tcW w:w="977" w:type="dxa"/>
            <w:tcBorders>
              <w:top w:val="single" w:sz="2" w:space="0" w:color="000000"/>
              <w:left w:val="single" w:sz="2" w:space="0" w:color="000000"/>
              <w:bottom w:val="single" w:sz="2" w:space="0" w:color="000000"/>
              <w:right w:val="single" w:sz="2" w:space="0" w:color="000000"/>
            </w:tcBorders>
            <w:tcMar>
              <w:top w:w="43" w:type="dxa"/>
              <w:left w:w="110" w:type="dxa"/>
              <w:bottom w:w="43" w:type="dxa"/>
              <w:right w:w="110" w:type="dxa"/>
            </w:tcMar>
            <w:vAlign w:val="center"/>
          </w:tcPr>
          <w:p>
            <w:pPr>
              <w:pStyle w:val="TableContents"/>
              <w:bidi w:val="0"/>
              <w:spacing w:before="0" w:after="0"/>
              <w:ind w:left="0" w:right="0" w:hanging="0"/>
              <w:jc w:val="both"/>
              <w:rPr>
                <w:rFonts w:ascii="Poppins" w:hAnsi="Poppins"/>
                <w:sz w:val="20"/>
              </w:rPr>
            </w:pPr>
            <w:r>
              <w:rPr>
                <w:rFonts w:ascii="Poppins" w:hAnsi="Poppins"/>
                <w:sz w:val="20"/>
              </w:rPr>
              <w:t>Election Method:</w:t>
            </w:r>
          </w:p>
        </w:tc>
        <w:tc>
          <w:tcPr>
            <w:tcW w:w="9228" w:type="dxa"/>
            <w:tcBorders>
              <w:top w:val="single" w:sz="2" w:space="0" w:color="000000"/>
              <w:left w:val="single" w:sz="2" w:space="0" w:color="000000"/>
              <w:bottom w:val="single" w:sz="2" w:space="0" w:color="000000"/>
              <w:right w:val="single" w:sz="2" w:space="0" w:color="000000"/>
            </w:tcBorders>
            <w:tcMar>
              <w:top w:w="43" w:type="dxa"/>
              <w:left w:w="110" w:type="dxa"/>
              <w:bottom w:w="43" w:type="dxa"/>
              <w:right w:w="110" w:type="dxa"/>
            </w:tcMar>
            <w:vAlign w:val="center"/>
          </w:tcPr>
          <w:p>
            <w:pPr>
              <w:pStyle w:val="TableContents"/>
              <w:bidi w:val="0"/>
              <w:spacing w:before="0" w:after="240"/>
              <w:ind w:left="0" w:right="187" w:firstLine="14"/>
              <w:jc w:val="both"/>
              <w:rPr>
                <w:rFonts w:ascii="Poppins" w:hAnsi="Poppins"/>
                <w:sz w:val="20"/>
              </w:rPr>
            </w:pPr>
            <w:r>
              <w:rPr>
                <w:rFonts w:ascii="Poppins" w:hAnsi="Poppins"/>
                <w:sz w:val="20"/>
              </w:rPr>
              <w:t>Each Retainer RSU Election must be submitted to the Company in the form and manner specified by the Board or its Compensation Committee. An individual who fails to make a timely Retainer RSU Election shall not receive a Retainer RSU Award and instead shall receive the applicable annual retainer in cash.  Retainer RSU Elections must comply with the following timing requirements:</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sz w:val="22"/>
              </w:rPr>
            </w:pPr>
            <w:r>
              <w:rPr>
                <w:rFonts w:ascii="Poppins" w:hAnsi="Poppins"/>
                <w:b w:val="false"/>
                <w:i w:val="false"/>
                <w:caps w:val="false"/>
                <w:smallCaps w:val="false"/>
                <w:sz w:val="20"/>
                <w:u w:val="single"/>
              </w:rPr>
              <w:t>Initial Election for New Non-Employee Directors</w:t>
            </w:r>
            <w:r>
              <w:rPr>
                <w:rFonts w:ascii="Poppins" w:hAnsi="Poppins"/>
                <w:b w:val="false"/>
                <w:i w:val="false"/>
                <w:caps w:val="false"/>
                <w:smallCaps w:val="false"/>
                <w:sz w:val="20"/>
              </w:rPr>
              <w:t>. Each individual who first becomes a Non-Employee Director after the Effective Date may make a Retainer RSU Election with respect to annual retainer payments scheduled to be paid in the same fiscal year as such individual first becomes a Non-Employee Director, provided the Compensation Committee has determined to allow a Retainer RSU Election for that particular fiscal year (the “</w:t>
            </w:r>
            <w:r>
              <w:rPr>
                <w:rFonts w:ascii="Poppins" w:hAnsi="Poppins"/>
                <w:b/>
                <w:i/>
                <w:sz w:val="20"/>
              </w:rPr>
              <w:t>Initial Retainer RSU Election</w:t>
            </w:r>
            <w:r>
              <w:rPr>
                <w:rFonts w:ascii="Times New Roman;Times;serif" w:hAnsi="Times New Roman;Times;serif"/>
                <w:caps w:val="false"/>
                <w:smallCaps w:val="false"/>
                <w:sz w:val="22"/>
              </w:rPr>
              <w:t>”</w:t>
            </w:r>
            <w:r>
              <w:rPr>
                <w:rFonts w:ascii="Poppins" w:hAnsi="Poppins"/>
                <w:b w:val="false"/>
                <w:i w:val="false"/>
                <w:caps w:val="false"/>
                <w:smallCaps w:val="false"/>
                <w:sz w:val="20"/>
              </w:rPr>
              <w:t>). The Initial Retainer RSU Election must be submitted to the Company on or before the date that the individual first becomes a Non-Employee Director (the “</w:t>
            </w:r>
            <w:r>
              <w:rPr>
                <w:rFonts w:ascii="Poppins" w:hAnsi="Poppins"/>
                <w:b/>
                <w:i/>
                <w:sz w:val="20"/>
              </w:rPr>
              <w:t>Initial Election Deadline</w:t>
            </w:r>
            <w:r>
              <w:rPr>
                <w:rFonts w:ascii="Times New Roman;Times;serif" w:hAnsi="Times New Roman;Times;serif"/>
                <w:caps w:val="false"/>
                <w:smallCaps w:val="false"/>
                <w:sz w:val="22"/>
              </w:rPr>
              <w:t>”</w:t>
            </w:r>
            <w:r>
              <w:rPr>
                <w:rFonts w:ascii="Poppins" w:hAnsi="Poppins"/>
                <w:b w:val="false"/>
                <w:i w:val="false"/>
                <w:caps w:val="false"/>
                <w:smallCaps w:val="false"/>
                <w:sz w:val="20"/>
              </w:rPr>
              <w:t>), and the Initial Retainer RSU Election shall become final and irrevocable as of the Initial Election</w:t>
            </w:r>
            <w:r>
              <w:rPr>
                <w:rFonts w:ascii="Times New Roman;Times;serif" w:hAnsi="Times New Roman;Times;serif"/>
                <w:caps w:val="false"/>
                <w:smallCaps w:val="false"/>
                <w:spacing w:val="-4"/>
                <w:sz w:val="22"/>
              </w:rPr>
              <w:t xml:space="preserve"> </w:t>
            </w:r>
            <w:r>
              <w:rPr>
                <w:rFonts w:ascii="Poppins" w:hAnsi="Poppins"/>
                <w:b w:val="false"/>
                <w:i w:val="false"/>
                <w:caps w:val="false"/>
                <w:smallCaps w:val="false"/>
                <w:sz w:val="20"/>
              </w:rPr>
              <w:t>Deadline.</w:t>
            </w:r>
          </w:p>
          <w:p>
            <w:pPr>
              <w:pStyle w:val="TableContents"/>
              <w:bidi w:val="0"/>
              <w:spacing w:before="138" w:after="0"/>
              <w:jc w:val="both"/>
              <w:rPr/>
            </w:pPr>
            <w:r>
              <w:rPr/>
              <w:t>●</w:t>
            </w:r>
          </w:p>
          <w:p>
            <w:pPr>
              <w:pStyle w:val="TableContents"/>
              <w:bidi w:val="0"/>
              <w:spacing w:before="138" w:after="0"/>
              <w:jc w:val="both"/>
              <w:rPr>
                <w:rFonts w:ascii="Times New Roman;Times;serif" w:hAnsi="Times New Roman;Times;serif"/>
                <w:sz w:val="22"/>
              </w:rPr>
            </w:pPr>
            <w:r>
              <w:rPr>
                <w:rFonts w:ascii="Poppins" w:hAnsi="Poppins"/>
                <w:b w:val="false"/>
                <w:i w:val="false"/>
                <w:caps w:val="false"/>
                <w:smallCaps w:val="false"/>
                <w:sz w:val="20"/>
                <w:u w:val="single"/>
              </w:rPr>
              <w:t>Annual Election</w:t>
            </w:r>
            <w:r>
              <w:rPr>
                <w:rFonts w:ascii="Poppins" w:hAnsi="Poppins"/>
                <w:b w:val="false"/>
                <w:i w:val="false"/>
                <w:caps w:val="false"/>
                <w:smallCaps w:val="false"/>
                <w:sz w:val="20"/>
              </w:rPr>
              <w:t>. Within thirty (30) days of the date that the Compensation Committee determines to allow a Retainer RSU Election for a particular fiscal year, but not later than December 31 of the year preceding the year to which such Retainer RSU Election relates (the “</w:t>
            </w:r>
            <w:r>
              <w:rPr>
                <w:rFonts w:ascii="Poppins" w:hAnsi="Poppins"/>
                <w:b/>
                <w:i/>
                <w:sz w:val="20"/>
              </w:rPr>
              <w:t>Annual Election Deadline</w:t>
            </w:r>
            <w:r>
              <w:rPr>
                <w:rFonts w:ascii="Times New Roman;Times;serif" w:hAnsi="Times New Roman;Times;serif"/>
                <w:caps w:val="false"/>
                <w:smallCaps w:val="false"/>
                <w:sz w:val="22"/>
              </w:rPr>
              <w:t>”</w:t>
            </w:r>
            <w:r>
              <w:rPr>
                <w:rFonts w:ascii="Poppins" w:hAnsi="Poppins"/>
                <w:b w:val="false"/>
                <w:i w:val="false"/>
                <w:caps w:val="false"/>
                <w:smallCaps w:val="false"/>
                <w:sz w:val="20"/>
              </w:rPr>
              <w:t xml:space="preserve">), each individual who is a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Poppins" w:hAnsi="Poppins"/>
          <w:sz w:val="20"/>
        </w:rPr>
        <w:t>Page 3</w:t>
      </w:r>
      <w:r>
        <w:rPr>
          <w:rFonts w:ascii="Times New Roman;Times;serif" w:hAnsi="Times New Roman;Times;serif"/>
          <w:sz w:val="20"/>
        </w:rPr>
        <w:t xml:space="preserve"> </w:t>
      </w:r>
      <w:r>
        <w:rPr>
          <w:rFonts w:ascii="Poppins" w:hAnsi="Poppins"/>
          <w:sz w:val="20"/>
        </w:rPr>
        <w:t>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43" w:type="dxa"/>
          <w:left w:w="110" w:type="dxa"/>
          <w:bottom w:w="43" w:type="dxa"/>
          <w:right w:w="110" w:type="dxa"/>
        </w:tblCellMar>
      </w:tblPr>
      <w:tblGrid>
        <w:gridCol w:w="124"/>
        <w:gridCol w:w="10081"/>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100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38" w:after="0"/>
              <w:jc w:val="both"/>
              <w:rPr>
                <w:rFonts w:ascii="Times New Roman;Times;serif" w:hAnsi="Times New Roman;Times;serif"/>
                <w:sz w:val="22"/>
              </w:rPr>
            </w:pPr>
            <w:r>
              <w:rPr>
                <w:rFonts w:ascii="Poppins" w:hAnsi="Poppins"/>
                <w:b w:val="false"/>
                <w:i w:val="false"/>
                <w:caps w:val="false"/>
                <w:smallCaps w:val="false"/>
                <w:sz w:val="20"/>
              </w:rPr>
              <w:t>Non-Employee Director</w:t>
            </w:r>
            <w:r>
              <w:rPr>
                <w:rFonts w:ascii="Times New Roman;Times;serif" w:hAnsi="Times New Roman;Times;serif"/>
                <w:caps w:val="false"/>
                <w:smallCaps w:val="false"/>
                <w:spacing w:val="-6"/>
                <w:sz w:val="22"/>
              </w:rPr>
              <w:t xml:space="preserve"> </w:t>
            </w:r>
            <w:r>
              <w:rPr>
                <w:rFonts w:ascii="Poppins" w:hAnsi="Poppins"/>
                <w:b w:val="false"/>
                <w:i w:val="false"/>
                <w:caps w:val="false"/>
                <w:smallCaps w:val="false"/>
                <w:sz w:val="20"/>
              </w:rPr>
              <w:t>as</w:t>
            </w:r>
            <w:r>
              <w:rPr>
                <w:rFonts w:ascii="Times New Roman;Times;serif" w:hAnsi="Times New Roman;Times;serif"/>
                <w:caps w:val="false"/>
                <w:smallCaps w:val="false"/>
                <w:spacing w:val="-3"/>
                <w:sz w:val="22"/>
              </w:rPr>
              <w:t xml:space="preserve"> </w:t>
            </w:r>
            <w:r>
              <w:rPr>
                <w:rFonts w:ascii="Poppins" w:hAnsi="Poppins"/>
                <w:b w:val="false"/>
                <w:i w:val="false"/>
                <w:caps w:val="false"/>
                <w:smallCaps w:val="false"/>
                <w:sz w:val="20"/>
              </w:rPr>
              <w:t>of</w:t>
            </w:r>
            <w:r>
              <w:rPr>
                <w:rFonts w:ascii="Times New Roman;Times;serif" w:hAnsi="Times New Roman;Times;serif"/>
                <w:caps w:val="false"/>
                <w:smallCaps w:val="false"/>
                <w:spacing w:val="-4"/>
                <w:sz w:val="22"/>
              </w:rPr>
              <w:t xml:space="preserve"> </w:t>
            </w:r>
            <w:r>
              <w:rPr>
                <w:rFonts w:ascii="Poppins" w:hAnsi="Poppins"/>
                <w:b w:val="false"/>
                <w:i w:val="false"/>
                <w:caps w:val="false"/>
                <w:smallCaps w:val="false"/>
                <w:sz w:val="20"/>
              </w:rPr>
              <w:t>immediately</w:t>
            </w:r>
            <w:r>
              <w:rPr>
                <w:rFonts w:ascii="Times New Roman;Times;serif" w:hAnsi="Times New Roman;Times;serif"/>
                <w:caps w:val="false"/>
                <w:smallCaps w:val="false"/>
                <w:spacing w:val="-4"/>
                <w:sz w:val="22"/>
              </w:rPr>
              <w:t xml:space="preserve"> </w:t>
            </w:r>
            <w:r>
              <w:rPr>
                <w:rFonts w:ascii="Poppins" w:hAnsi="Poppins"/>
                <w:b w:val="false"/>
                <w:i w:val="false"/>
                <w:caps w:val="false"/>
                <w:smallCaps w:val="false"/>
                <w:sz w:val="20"/>
              </w:rPr>
              <w:t>before</w:t>
            </w:r>
            <w:r>
              <w:rPr>
                <w:rFonts w:ascii="Times New Roman;Times;serif" w:hAnsi="Times New Roman;Times;serif"/>
                <w:caps w:val="false"/>
                <w:smallCaps w:val="false"/>
                <w:spacing w:val="-3"/>
                <w:sz w:val="22"/>
              </w:rPr>
              <w:t xml:space="preserve"> </w:t>
            </w:r>
            <w:r>
              <w:rPr>
                <w:rFonts w:ascii="Poppins" w:hAnsi="Poppins"/>
                <w:b w:val="false"/>
                <w:i w:val="false"/>
                <w:caps w:val="false"/>
                <w:smallCaps w:val="false"/>
                <w:sz w:val="20"/>
              </w:rPr>
              <w:t>the</w:t>
            </w:r>
            <w:r>
              <w:rPr>
                <w:rFonts w:ascii="Times New Roman;Times;serif" w:hAnsi="Times New Roman;Times;serif"/>
                <w:caps w:val="false"/>
                <w:smallCaps w:val="false"/>
                <w:spacing w:val="-4"/>
                <w:sz w:val="22"/>
              </w:rPr>
              <w:t xml:space="preserve"> </w:t>
            </w:r>
            <w:r>
              <w:rPr>
                <w:rFonts w:ascii="Poppins" w:hAnsi="Poppins"/>
                <w:b w:val="false"/>
                <w:i w:val="false"/>
                <w:caps w:val="false"/>
                <w:smallCaps w:val="false"/>
                <w:sz w:val="20"/>
              </w:rPr>
              <w:t>Annual</w:t>
            </w:r>
            <w:r>
              <w:rPr>
                <w:rFonts w:ascii="Times New Roman;Times;serif" w:hAnsi="Times New Roman;Times;serif"/>
                <w:caps w:val="false"/>
                <w:smallCaps w:val="false"/>
                <w:spacing w:val="-4"/>
                <w:sz w:val="22"/>
              </w:rPr>
              <w:t xml:space="preserve"> </w:t>
            </w:r>
            <w:r>
              <w:rPr>
                <w:rFonts w:ascii="Poppins" w:hAnsi="Poppins"/>
                <w:b w:val="false"/>
                <w:i w:val="false"/>
                <w:caps w:val="false"/>
                <w:smallCaps w:val="false"/>
                <w:sz w:val="20"/>
              </w:rPr>
              <w:t>Election</w:t>
            </w:r>
            <w:r>
              <w:rPr>
                <w:rFonts w:ascii="Times New Roman;Times;serif" w:hAnsi="Times New Roman;Times;serif"/>
                <w:caps w:val="false"/>
                <w:smallCaps w:val="false"/>
                <w:spacing w:val="-3"/>
                <w:sz w:val="22"/>
              </w:rPr>
              <w:t xml:space="preserve"> </w:t>
            </w:r>
            <w:r>
              <w:rPr>
                <w:rFonts w:ascii="Poppins" w:hAnsi="Poppins"/>
                <w:b w:val="false"/>
                <w:i w:val="false"/>
                <w:caps w:val="false"/>
                <w:smallCaps w:val="false"/>
                <w:sz w:val="20"/>
              </w:rPr>
              <w:t>Deadline</w:t>
            </w:r>
            <w:r>
              <w:rPr>
                <w:rFonts w:ascii="Times New Roman;Times;serif" w:hAnsi="Times New Roman;Times;serif"/>
                <w:caps w:val="false"/>
                <w:smallCaps w:val="false"/>
                <w:spacing w:val="-3"/>
                <w:sz w:val="22"/>
              </w:rPr>
              <w:t xml:space="preserve"> </w:t>
            </w:r>
            <w:r>
              <w:rPr>
                <w:rFonts w:ascii="Poppins" w:hAnsi="Poppins"/>
                <w:b w:val="false"/>
                <w:i w:val="false"/>
                <w:caps w:val="false"/>
                <w:smallCaps w:val="false"/>
                <w:sz w:val="20"/>
              </w:rPr>
              <w:t>may</w:t>
            </w:r>
            <w:r>
              <w:rPr>
                <w:rFonts w:ascii="Times New Roman;Times;serif" w:hAnsi="Times New Roman;Times;serif"/>
                <w:caps w:val="false"/>
                <w:smallCaps w:val="false"/>
                <w:spacing w:val="-3"/>
                <w:sz w:val="22"/>
              </w:rPr>
              <w:t xml:space="preserve"> </w:t>
            </w:r>
            <w:r>
              <w:rPr>
                <w:rFonts w:ascii="Poppins" w:hAnsi="Poppins"/>
                <w:b w:val="false"/>
                <w:i w:val="false"/>
                <w:caps w:val="false"/>
                <w:smallCaps w:val="false"/>
                <w:sz w:val="20"/>
              </w:rPr>
              <w:t>make</w:t>
            </w:r>
            <w:r>
              <w:rPr>
                <w:rFonts w:ascii="Times New Roman;Times;serif" w:hAnsi="Times New Roman;Times;serif"/>
                <w:caps w:val="false"/>
                <w:smallCaps w:val="false"/>
                <w:spacing w:val="-4"/>
                <w:sz w:val="22"/>
              </w:rPr>
              <w:t xml:space="preserve"> </w:t>
            </w:r>
            <w:r>
              <w:rPr>
                <w:rFonts w:ascii="Poppins" w:hAnsi="Poppins"/>
                <w:b w:val="false"/>
                <w:i w:val="false"/>
                <w:caps w:val="false"/>
                <w:smallCaps w:val="false"/>
                <w:sz w:val="20"/>
              </w:rPr>
              <w:t>a</w:t>
            </w:r>
            <w:r>
              <w:rPr>
                <w:rFonts w:ascii="Times New Roman;Times;serif" w:hAnsi="Times New Roman;Times;serif"/>
                <w:caps w:val="false"/>
                <w:smallCaps w:val="false"/>
                <w:spacing w:val="-4"/>
                <w:sz w:val="22"/>
              </w:rPr>
              <w:t xml:space="preserve"> </w:t>
            </w:r>
            <w:r>
              <w:rPr>
                <w:rFonts w:ascii="Poppins" w:hAnsi="Poppins"/>
                <w:b w:val="false"/>
                <w:i w:val="false"/>
                <w:caps w:val="false"/>
                <w:smallCaps w:val="false"/>
                <w:sz w:val="20"/>
              </w:rPr>
              <w:t>Retainer</w:t>
            </w:r>
            <w:r>
              <w:rPr>
                <w:rFonts w:ascii="Times New Roman;Times;serif" w:hAnsi="Times New Roman;Times;serif"/>
                <w:caps w:val="false"/>
                <w:smallCaps w:val="false"/>
                <w:spacing w:val="-3"/>
                <w:sz w:val="22"/>
              </w:rPr>
              <w:t xml:space="preserve"> </w:t>
            </w:r>
            <w:r>
              <w:rPr>
                <w:rFonts w:ascii="Poppins" w:hAnsi="Poppins"/>
                <w:b w:val="false"/>
                <w:i w:val="false"/>
                <w:caps w:val="false"/>
                <w:smallCaps w:val="false"/>
                <w:sz w:val="20"/>
              </w:rPr>
              <w:t>RSU</w:t>
            </w:r>
            <w:r>
              <w:rPr>
                <w:rFonts w:ascii="Times New Roman;Times;serif" w:hAnsi="Times New Roman;Times;serif"/>
                <w:caps w:val="false"/>
                <w:smallCaps w:val="false"/>
                <w:spacing w:val="-3"/>
                <w:sz w:val="22"/>
              </w:rPr>
              <w:t xml:space="preserve"> </w:t>
            </w:r>
            <w:r>
              <w:rPr>
                <w:rFonts w:ascii="Poppins" w:hAnsi="Poppins"/>
                <w:b w:val="false"/>
                <w:i w:val="false"/>
                <w:caps w:val="false"/>
                <w:smallCaps w:val="false"/>
                <w:sz w:val="20"/>
              </w:rPr>
              <w:t>Election</w:t>
            </w:r>
            <w:r>
              <w:rPr>
                <w:rFonts w:ascii="Times New Roman;Times;serif" w:hAnsi="Times New Roman;Times;serif"/>
                <w:caps w:val="false"/>
                <w:smallCaps w:val="false"/>
                <w:spacing w:val="-3"/>
                <w:sz w:val="22"/>
              </w:rPr>
              <w:t xml:space="preserve"> </w:t>
            </w:r>
            <w:r>
              <w:rPr>
                <w:rFonts w:ascii="Poppins" w:hAnsi="Poppins"/>
                <w:b w:val="false"/>
                <w:i w:val="false"/>
                <w:caps w:val="false"/>
                <w:smallCaps w:val="false"/>
                <w:sz w:val="20"/>
              </w:rPr>
              <w:t>with respect to the annual retainer relating to services to be performed in the applicable fiscal year (the “</w:t>
            </w:r>
            <w:r>
              <w:rPr>
                <w:rFonts w:ascii="Poppins" w:hAnsi="Poppins"/>
                <w:b/>
                <w:i/>
                <w:sz w:val="20"/>
              </w:rPr>
              <w:t>Annual Retainer RSU Election</w:t>
            </w:r>
            <w:r>
              <w:rPr>
                <w:rFonts w:ascii="Times New Roman;Times;serif" w:hAnsi="Times New Roman;Times;serif"/>
                <w:caps w:val="false"/>
                <w:smallCaps w:val="false"/>
                <w:sz w:val="22"/>
              </w:rPr>
              <w:t>”</w:t>
            </w:r>
            <w:r>
              <w:rPr>
                <w:rFonts w:ascii="Poppins" w:hAnsi="Poppins"/>
                <w:b w:val="false"/>
                <w:i w:val="false"/>
                <w:caps w:val="false"/>
                <w:smallCaps w:val="false"/>
                <w:sz w:val="20"/>
              </w:rPr>
              <w:t xml:space="preserve">). The Annual Retainer RSU Election must be submitted to the Company on or before the applicable Annual Election Deadline and shall become effective and irrevocable as of the Annual Election Deadline.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Poppins" w:hAnsi="Poppins"/>
          <w:b/>
          <w:i/>
          <w:sz w:val="20"/>
        </w:rPr>
      </w:pPr>
      <w:r>
        <w:rPr>
          <w:rFonts w:ascii="Poppins" w:hAnsi="Poppins"/>
          <w:b/>
          <w:i/>
          <w:sz w:val="20"/>
        </w:rPr>
        <w:t>Termination of Service</w:t>
      </w:r>
    </w:p>
    <w:p>
      <w:pPr>
        <w:pStyle w:val="TextBody"/>
        <w:bidi w:val="0"/>
        <w:spacing w:before="0" w:after="0"/>
        <w:ind w:left="0" w:right="0" w:hanging="0"/>
        <w:jc w:val="both"/>
        <w:rPr/>
      </w:pPr>
      <w:r>
        <w:rPr/>
        <w:t>​</w:t>
      </w:r>
    </w:p>
    <w:p>
      <w:pPr>
        <w:pStyle w:val="TextBody"/>
        <w:bidi w:val="0"/>
        <w:spacing w:before="0" w:after="0"/>
        <w:ind w:left="0" w:right="0" w:hanging="0"/>
        <w:jc w:val="both"/>
        <w:rPr>
          <w:rFonts w:ascii="Poppins" w:hAnsi="Poppins"/>
          <w:sz w:val="20"/>
        </w:rPr>
      </w:pPr>
      <w:r>
        <w:rPr>
          <w:rFonts w:ascii="Poppins" w:hAnsi="Poppins"/>
          <w:sz w:val="20"/>
        </w:rPr>
        <w:t>No portion of an award of RSUs that is unvested at the time of a Non-Employee Director’s termination of service on the Board shall vest thereafter.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Poppins" w:hAnsi="Poppins"/>
          <w:b/>
          <w:i/>
          <w:sz w:val="20"/>
        </w:rPr>
      </w:pPr>
      <w:r>
        <w:rPr>
          <w:rFonts w:ascii="Poppins" w:hAnsi="Poppins"/>
          <w:b/>
          <w:i/>
          <w:sz w:val="20"/>
        </w:rPr>
        <w:t>Change in Control</w:t>
      </w:r>
    </w:p>
    <w:p>
      <w:pPr>
        <w:pStyle w:val="TextBody"/>
        <w:bidi w:val="0"/>
        <w:spacing w:before="0" w:after="0"/>
        <w:ind w:left="0" w:right="0" w:hanging="0"/>
        <w:jc w:val="both"/>
        <w:rPr/>
      </w:pPr>
      <w:r>
        <w:rPr/>
        <w:t>​</w:t>
      </w:r>
    </w:p>
    <w:p>
      <w:pPr>
        <w:pStyle w:val="TextBody"/>
        <w:bidi w:val="0"/>
        <w:spacing w:before="0" w:after="0"/>
        <w:ind w:left="0" w:right="0" w:hanging="0"/>
        <w:jc w:val="both"/>
        <w:rPr>
          <w:rFonts w:ascii="Poppins" w:hAnsi="Poppins"/>
          <w:sz w:val="20"/>
        </w:rPr>
      </w:pPr>
      <w:r>
        <w:rPr>
          <w:rFonts w:ascii="Poppins" w:hAnsi="Poppins"/>
          <w:sz w:val="20"/>
        </w:rPr>
        <w:t>Immediately before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Poppins" w:hAnsi="Poppins"/>
          <w:b/>
          <w:i/>
          <w:sz w:val="20"/>
        </w:rPr>
      </w:pPr>
      <w:r>
        <w:rPr>
          <w:rFonts w:ascii="Poppins" w:hAnsi="Poppins"/>
          <w:b/>
          <w:i/>
          <w:sz w:val="20"/>
        </w:rPr>
        <w:t>Reimbursements</w:t>
      </w:r>
    </w:p>
    <w:p>
      <w:pPr>
        <w:pStyle w:val="TextBody"/>
        <w:bidi w:val="0"/>
        <w:spacing w:before="0" w:after="240"/>
        <w:ind w:left="0" w:right="0" w:hanging="0"/>
        <w:jc w:val="both"/>
        <w:rPr>
          <w:rFonts w:ascii="Poppins" w:hAnsi="Poppins"/>
          <w:sz w:val="20"/>
        </w:rPr>
      </w:pPr>
      <w:r>
        <w:rPr>
          <w:rFonts w:ascii="Poppins" w:hAnsi="Poppins"/>
          <w:sz w:val="20"/>
        </w:rPr>
        <w:t xml:space="preserve">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w:t>
      </w:r>
    </w:p>
    <w:p>
      <w:pPr>
        <w:pStyle w:val="TextBody"/>
        <w:bidi w:val="0"/>
        <w:spacing w:before="0" w:after="0"/>
        <w:ind w:left="0" w:right="0" w:hanging="0"/>
        <w:jc w:val="left"/>
        <w:rPr>
          <w:rFonts w:ascii="Poppins" w:hAnsi="Poppins"/>
          <w:b/>
          <w:i/>
          <w:sz w:val="20"/>
        </w:rPr>
      </w:pPr>
      <w:r>
        <w:rPr>
          <w:rFonts w:ascii="Poppins" w:hAnsi="Poppins"/>
          <w:b/>
          <w:i/>
          <w:sz w:val="20"/>
        </w:rPr>
        <w:t>Declining Compensation</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Poppins" w:hAnsi="Poppins"/>
          <w:sz w:val="20"/>
        </w:rPr>
      </w:pPr>
      <w:r>
        <w:rPr>
          <w:rFonts w:ascii="Poppins" w:hAnsi="Poppins"/>
          <w:sz w:val="20"/>
        </w:rPr>
        <w:t>A Non-Employee Director may waive their right to receive compensation under this Program entirely or for a specific period. Notwithstanding anything to the contrary in this Program, any Non-Employee Director who waives their right to receive compensation under this Program entirely or for a specific period shall not receive any compensation under this Program or in substitution for such waived compensation.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Poppins" w:hAnsi="Poppins"/>
          <w:b/>
          <w:i/>
          <w:sz w:val="20"/>
        </w:rPr>
      </w:pPr>
      <w:r>
        <w:rPr>
          <w:rFonts w:ascii="Poppins" w:hAnsi="Poppins"/>
          <w:b/>
          <w:i/>
          <w:sz w:val="20"/>
        </w:rPr>
        <w:t>Changes to the Program</w:t>
      </w:r>
    </w:p>
    <w:p>
      <w:pPr>
        <w:pStyle w:val="TextBody"/>
        <w:bidi w:val="0"/>
        <w:spacing w:before="0" w:after="0"/>
        <w:ind w:left="0" w:right="0" w:hanging="0"/>
        <w:jc w:val="both"/>
        <w:rPr/>
      </w:pPr>
      <w:r>
        <w:rPr/>
        <w:t>​</w:t>
      </w:r>
    </w:p>
    <w:p>
      <w:pPr>
        <w:pStyle w:val="TextBody"/>
        <w:bidi w:val="0"/>
        <w:spacing w:before="0" w:after="0"/>
        <w:ind w:left="0" w:right="0" w:hanging="0"/>
        <w:jc w:val="both"/>
        <w:rPr>
          <w:rFonts w:ascii="Poppins" w:hAnsi="Poppins"/>
          <w:sz w:val="20"/>
        </w:rPr>
      </w:pPr>
      <w:r>
        <w:rPr>
          <w:rFonts w:ascii="Poppins" w:hAnsi="Poppins"/>
          <w:sz w:val="20"/>
        </w:rPr>
        <w:t>The Compensation Committee may amend, halt or resume any compensation payable and/or adjust the timing of any payment or RSU grant under this Program as it deems appropriate and in accordance with U.S. Internal Revenue Code Section 409A.  The Compensation Committee may also determine that cash should be paid in lieu of any RSU grant or portion of any RSU grant under this Program as it deems appropriate, provided that such determination is made in accordance with U.S. Internal Revenue Code Section 409A.</w:t>
      </w:r>
    </w:p>
    <w:p>
      <w:pPr>
        <w:pStyle w:val="TextBody"/>
        <w:bidi w:val="0"/>
        <w:spacing w:before="0" w:after="0"/>
        <w:ind w:left="0" w:right="0" w:hanging="0"/>
        <w:jc w:val="both"/>
        <w:rPr/>
      </w:pPr>
      <w:r>
        <w:rPr/>
        <w:t>​</w:t>
      </w:r>
    </w:p>
    <w:p>
      <w:pPr>
        <w:pStyle w:val="TextBody"/>
        <w:bidi w:val="0"/>
        <w:spacing w:before="0" w:after="0"/>
        <w:ind w:left="0" w:right="0" w:hanging="0"/>
        <w:jc w:val="both"/>
        <w:rPr>
          <w:rFonts w:ascii="Poppins" w:hAnsi="Poppins"/>
          <w:b/>
          <w:i/>
          <w:sz w:val="20"/>
        </w:rPr>
      </w:pPr>
      <w:r>
        <w:rPr>
          <w:rFonts w:ascii="Poppins" w:hAnsi="Poppins"/>
          <w:b/>
          <w:i/>
          <w:sz w:val="20"/>
        </w:rPr>
        <w:t>Miscellaneous</w:t>
      </w:r>
    </w:p>
    <w:p>
      <w:pPr>
        <w:pStyle w:val="TextBody"/>
        <w:bidi w:val="0"/>
        <w:spacing w:before="0" w:after="0"/>
        <w:ind w:left="0" w:right="0" w:hanging="0"/>
        <w:jc w:val="both"/>
        <w:rPr/>
      </w:pPr>
      <w:r>
        <w:rPr/>
        <w:t>​</w:t>
      </w:r>
    </w:p>
    <w:p>
      <w:pPr>
        <w:pStyle w:val="TextBody"/>
        <w:bidi w:val="0"/>
        <w:spacing w:before="0" w:after="0"/>
        <w:ind w:left="0" w:right="0" w:hanging="0"/>
        <w:jc w:val="both"/>
        <w:rPr>
          <w:rFonts w:ascii="Poppins" w:hAnsi="Poppins"/>
          <w:sz w:val="20"/>
        </w:rPr>
      </w:pPr>
      <w:r>
        <w:rPr>
          <w:rFonts w:ascii="Poppins" w:hAnsi="Poppins"/>
          <w:sz w:val="20"/>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approved by the Compensation Committee or Board and duly executed by an executive officer of the Company.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Poppins" w:hAnsi="Poppins"/>
          <w:sz w:val="20"/>
        </w:rPr>
        <w:t>Page 4</w:t>
      </w:r>
      <w:r>
        <w:rPr>
          <w:rFonts w:ascii="Times New Roman;Times;serif" w:hAnsi="Times New Roman;Times;serif"/>
          <w:sz w:val="20"/>
        </w:rPr>
        <w:t xml:space="preserve"> </w:t>
      </w:r>
      <w:r>
        <w:rPr>
          <w:rFonts w:ascii="Poppins" w:hAnsi="Poppins"/>
          <w:sz w:val="20"/>
        </w:rPr>
        <w:t>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Poppins" w:hAnsi="Poppins"/>
          <w:sz w:val="20"/>
        </w:rPr>
      </w:pPr>
      <w:r>
        <w:rPr>
          <w:rFonts w:ascii="Poppins" w:hAnsi="Poppins"/>
          <w:sz w:val="20"/>
        </w:rPr>
        <w:t>Last Updated: April 28, 2025</w:t>
      </w:r>
    </w:p>
    <w:p>
      <w:pPr>
        <w:pStyle w:val="TextBody"/>
        <w:bidi w:val="0"/>
        <w:spacing w:before="0" w:after="0"/>
        <w:ind w:left="0" w:right="0" w:hanging="0"/>
        <w:jc w:val="center"/>
        <w:rPr>
          <w:rFonts w:ascii="Poppins" w:hAnsi="Poppins"/>
          <w:sz w:val="20"/>
        </w:rPr>
      </w:pPr>
      <w:r>
        <w:rPr>
          <w:rFonts w:ascii="Poppins" w:hAnsi="Poppins"/>
          <w:sz w:val="20"/>
        </w:rPr>
        <w:t>* * * *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Poppins" w:hAnsi="Poppins"/>
          <w:sz w:val="20"/>
        </w:rPr>
        <w:t>Page 5</w:t>
      </w:r>
      <w:r>
        <w:rPr>
          <w:rFonts w:ascii="Times New Roman;Times;serif" w:hAnsi="Times New Roman;Times;serif"/>
          <w:sz w:val="20"/>
        </w:rPr>
        <w:t xml:space="preserve"> </w:t>
      </w:r>
      <w:r>
        <w:rPr>
          <w:rFonts w:ascii="Poppins" w:hAnsi="Poppins"/>
          <w:sz w:val="20"/>
        </w:rPr>
        <w:t>of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903" w:name="tmb-20250330xex10d3.htm"/>
      <w:bookmarkStart w:id="904" w:name="kstmb20250330xex10d3"/>
      <w:bookmarkEnd w:id="903"/>
      <w:bookmarkEnd w:id="904"/>
      <w:r>
        <w:rPr/>
        <w:t>​</w:t>
      </w:r>
      <w:r>
        <w:br w:type="page"/>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10.3</w:t>
      </w:r>
    </w:p>
    <w:p>
      <w:pPr>
        <w:pStyle w:val="TextBody"/>
        <w:bidi w:val="0"/>
        <w:spacing w:lineRule="auto" w:line="285" w:before="0" w:after="0"/>
        <w:ind w:left="0" w:right="0" w:hanging="0"/>
        <w:jc w:val="right"/>
        <w:rPr/>
      </w:pPr>
      <w:r>
        <w:rPr/>
        <w:t>​</w:t>
      </w:r>
    </w:p>
    <w:p>
      <w:pPr>
        <w:pStyle w:val="TextBody"/>
        <w:bidi w:val="0"/>
        <w:spacing w:lineRule="auto" w:line="328" w:before="0" w:after="0"/>
        <w:ind w:left="0" w:right="0" w:hanging="0"/>
        <w:jc w:val="center"/>
        <w:rPr>
          <w:rFonts w:ascii="Helvetica;sans-serif" w:hAnsi="Helvetica;sans-serif"/>
          <w:sz w:val="22"/>
        </w:rPr>
      </w:pPr>
      <w:r>
        <w:rPr>
          <w:rFonts w:ascii="Times New Roman;Times;serif" w:hAnsi="Times New Roman;Times;serif"/>
          <w:b/>
          <w:sz w:val="24"/>
        </w:rPr>
        <w:t xml:space="preserve">FOURTH AMENDMENT TO LEASE </w:t>
      </w:r>
      <w:r>
        <w:rPr>
          <w:rFonts w:ascii="Times New Roman;Times;serif" w:hAnsi="Times New Roman;Times;serif"/>
          <w:b/>
          <w:sz w:val="18"/>
        </w:rPr>
        <w:t>1</w:t>
      </w:r>
      <w:r>
        <w:rPr>
          <w:rFonts w:ascii="Helvetica;sans-serif" w:hAnsi="Helvetica;sans-serif"/>
          <w:sz w:val="22"/>
        </w:rPr>
        <w:t xml:space="preserve"> </w:t>
      </w:r>
    </w:p>
    <w:p>
      <w:pPr>
        <w:pStyle w:val="TextBody"/>
        <w:bidi w:val="0"/>
        <w:spacing w:lineRule="auto" w:line="328" w:before="0" w:after="200"/>
        <w:ind w:left="0" w:right="0" w:hanging="0"/>
        <w:jc w:val="center"/>
        <w:rPr/>
      </w:pPr>
      <w:r>
        <w:rPr/>
        <w:t>​</w:t>
      </w:r>
    </w:p>
    <w:p>
      <w:pPr>
        <w:pStyle w:val="TextBody"/>
        <w:bidi w:val="0"/>
        <w:spacing w:lineRule="auto" w:line="328" w:before="0" w:after="0"/>
        <w:ind w:left="0" w:right="0" w:hanging="0"/>
        <w:jc w:val="left"/>
        <w:rPr>
          <w:rFonts w:ascii="Helvetica;sans-serif" w:hAnsi="Helvetica;sans-serif"/>
          <w:sz w:val="22"/>
        </w:rPr>
      </w:pPr>
      <w:r>
        <w:rPr>
          <w:rFonts w:ascii="Times New Roman;Times;serif" w:hAnsi="Times New Roman;Times;serif"/>
          <w:b/>
          <w:sz w:val="24"/>
        </w:rPr>
        <w:t xml:space="preserve">This FOURTH AMENDMENT TO LEASE </w:t>
      </w:r>
      <w:r>
        <w:rPr>
          <w:rFonts w:ascii="Times New Roman;Times;serif" w:hAnsi="Times New Roman;Times;serif"/>
          <w:sz w:val="24"/>
        </w:rPr>
        <w:t xml:space="preserve">(this “Amendment”) is made and entered into this </w:t>
        <w:softHyphen/>
        <w:softHyphen/>
        <w:softHyphen/>
        <w:t xml:space="preserve">7th day of May, 2025 by and between </w:t>
      </w:r>
      <w:r>
        <w:rPr>
          <w:rFonts w:ascii="Times New Roman;Times;serif" w:hAnsi="Times New Roman;Times;serif"/>
          <w:b/>
          <w:sz w:val="24"/>
        </w:rPr>
        <w:t>CHRIN-CARSON DEVELOPMENT, LLC</w:t>
      </w:r>
      <w:r>
        <w:rPr>
          <w:rFonts w:ascii="Helvetica;sans-serif" w:hAnsi="Helvetica;sans-serif"/>
          <w:sz w:val="22"/>
        </w:rPr>
        <w:t xml:space="preserve"> </w:t>
      </w:r>
      <w:r>
        <w:rPr>
          <w:rFonts w:ascii="Times New Roman;Times;serif" w:hAnsi="Times New Roman;Times;serif"/>
          <w:sz w:val="24"/>
        </w:rPr>
        <w:t xml:space="preserve">(“Landlord”) and </w:t>
      </w:r>
      <w:r>
        <w:rPr>
          <w:rFonts w:ascii="Times New Roman;Times;serif" w:hAnsi="Times New Roman;Times;serif"/>
          <w:b/>
          <w:sz w:val="24"/>
        </w:rPr>
        <w:t xml:space="preserve">LULU’S FASHION LOUNGE HOLDINGS, INC. </w:t>
      </w:r>
      <w:r>
        <w:rPr>
          <w:rFonts w:ascii="Times New Roman;Times;serif" w:hAnsi="Times New Roman;Times;serif"/>
          <w:sz w:val="24"/>
        </w:rPr>
        <w:t>(“Tenant”).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center"/>
        <w:rPr>
          <w:rFonts w:ascii="Times New Roman;Times;serif" w:hAnsi="Times New Roman;Times;serif"/>
          <w:b/>
          <w:sz w:val="24"/>
        </w:rPr>
      </w:pPr>
      <w:r>
        <w:rPr>
          <w:rFonts w:ascii="Times New Roman;Times;serif" w:hAnsi="Times New Roman;Times;serif"/>
          <w:b/>
          <w:sz w:val="24"/>
        </w:rPr>
        <w:t>RECITALS</w:t>
      </w:r>
    </w:p>
    <w:p>
      <w:pPr>
        <w:pStyle w:val="TextBody"/>
        <w:bidi w:val="0"/>
        <w:spacing w:lineRule="auto" w:line="328"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Landlord and Tenant entered into a Single Tenant Industrial Triple Net Lease dated January 7, 2019 (the “Lease”) as amended by a First Amendment to Single Tenant Industrial Triple Net Lease dated February 24, 2019 (the “</w:t>
            </w:r>
            <w:r>
              <w:rPr>
                <w:rFonts w:ascii="Times New Roman;Times;serif" w:hAnsi="Times New Roman;Times;serif"/>
                <w:b w:val="false"/>
                <w:i w:val="false"/>
                <w:caps w:val="false"/>
                <w:smallCaps w:val="false"/>
                <w:sz w:val="24"/>
                <w:u w:val="single"/>
              </w:rPr>
              <w:t>First Amendment</w:t>
            </w:r>
            <w:r>
              <w:rPr>
                <w:caps w:val="false"/>
                <w:smallCaps w:val="false"/>
              </w:rPr>
              <w:t>”</w:t>
            </w:r>
            <w:r>
              <w:rPr>
                <w:rFonts w:ascii="Times New Roman;Times;serif" w:hAnsi="Times New Roman;Times;serif"/>
                <w:b w:val="false"/>
                <w:i w:val="false"/>
                <w:caps w:val="false"/>
                <w:smallCaps w:val="false"/>
                <w:sz w:val="24"/>
              </w:rPr>
              <w:t>) and by a Second Amendment to Single Tenant Industrial Triple Net Lease dated April 13, 2020 (the “Second Amendment”) and by a Third Amendment to Single Tenant Industrial Triple Net Lease dated October 20</w:t>
            </w:r>
            <w:r>
              <w:rPr>
                <w:rFonts w:ascii="Times New Roman;Times;serif" w:hAnsi="Times New Roman;Times;serif"/>
                <w:b w:val="false"/>
                <w:i w:val="false"/>
                <w:caps w:val="false"/>
                <w:smallCaps w:val="false"/>
                <w:sz w:val="18"/>
              </w:rPr>
              <w:t>th</w:t>
            </w:r>
            <w:r>
              <w:rPr>
                <w:rFonts w:ascii="Times New Roman;Times;serif" w:hAnsi="Times New Roman;Times;serif"/>
                <w:b w:val="false"/>
                <w:i w:val="false"/>
                <w:caps w:val="false"/>
                <w:smallCaps w:val="false"/>
                <w:sz w:val="24"/>
              </w:rPr>
              <w:t>, 2020 (the “Third Amendment” and the Original Lease as amended by the First Amendment and Second Amendment and Third Amendment being referred to herein collectively as the “Lease”) under the terms of which Landlord leased to Tenant and Tenant leased from Landlord that certain real property consisting of an approximately 258,232 square foot industrial building and commonly known as 2505 Hollo Road, Palmer Township, Pennsylvania (“Premises”), as more particularly described in the Lease.  Each capitalized term used but not defined herein shall have the meaning given to such term in the Lease.</w:t>
            </w:r>
          </w:p>
        </w:tc>
      </w:tr>
    </w:tbl>
    <w:p>
      <w:pPr>
        <w:pStyle w:val="TextBody"/>
        <w:bidi w:val="0"/>
        <w:spacing w:lineRule="auto" w:line="328" w:before="0" w:after="20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Landlord and Tenant, now desire to extend the Term, amend the Base Rent, and further amend the Lease upon terms and conditions more particularly set forth herein.</w:t>
            </w:r>
          </w:p>
        </w:tc>
      </w:tr>
    </w:tbl>
    <w:p>
      <w:pPr>
        <w:pStyle w:val="TextBody"/>
        <w:bidi w:val="0"/>
        <w:spacing w:lineRule="auto" w:line="328" w:before="0" w:after="200"/>
        <w:ind w:left="0" w:right="0" w:hanging="0"/>
        <w:jc w:val="both"/>
        <w:rPr/>
      </w:pPr>
      <w:r>
        <w:rPr/>
        <w:t>​</w:t>
      </w:r>
    </w:p>
    <w:p>
      <w:pPr>
        <w:pStyle w:val="TextBody"/>
        <w:bidi w:val="0"/>
        <w:spacing w:lineRule="auto" w:line="285" w:before="0" w:after="0"/>
        <w:ind w:left="360" w:right="0" w:hanging="0"/>
        <w:jc w:val="both"/>
        <w:rPr>
          <w:rFonts w:ascii="Helvetica;sans-serif" w:hAnsi="Helvetica;sans-serif"/>
          <w:sz w:val="22"/>
        </w:rPr>
      </w:pPr>
      <w:r>
        <w:rPr>
          <w:rFonts w:ascii="Times New Roman;Times;serif" w:hAnsi="Times New Roman;Times;serif"/>
          <w:b/>
          <w:sz w:val="24"/>
        </w:rPr>
        <w:t>NOW THEREFORE,</w:t>
      </w:r>
      <w:r>
        <w:rPr>
          <w:rFonts w:ascii="Helvetica;sans-serif" w:hAnsi="Helvetica;sans-serif"/>
          <w:sz w:val="22"/>
        </w:rPr>
        <w:t xml:space="preserve"> </w:t>
      </w:r>
      <w:r>
        <w:rPr>
          <w:rFonts w:ascii="Times New Roman;Times;serif" w:hAnsi="Times New Roman;Times;serif"/>
          <w:sz w:val="24"/>
        </w:rPr>
        <w:t>the parties mutually agree to amend the Lease as follows:</w:t>
      </w:r>
    </w:p>
    <w:p>
      <w:pPr>
        <w:pStyle w:val="TextBody"/>
        <w:bidi w:val="0"/>
        <w:spacing w:lineRule="auto" w:line="328" w:before="0" w:after="20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100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Incorporation of Recitals:</w:t>
            </w:r>
            <w:r>
              <w:rPr>
                <w:caps w:val="false"/>
                <w:smallCaps w:val="false"/>
              </w:rPr>
              <w:t xml:space="preserve"> </w:t>
            </w:r>
            <w:r>
              <w:rPr>
                <w:rFonts w:ascii="Times New Roman;Times;serif" w:hAnsi="Times New Roman;Times;serif"/>
                <w:b w:val="false"/>
                <w:i w:val="false"/>
                <w:caps w:val="false"/>
                <w:smallCaps w:val="false"/>
                <w:sz w:val="24"/>
              </w:rPr>
              <w:t>The above recitals are incorporated herein and made a part of this Fourth Amendment as if fully rewritten in this Paragraph 1.  </w:t>
            </w:r>
          </w:p>
        </w:tc>
      </w:tr>
    </w:tbl>
    <w:p>
      <w:pPr>
        <w:pStyle w:val="TextBody"/>
        <w:bidi w:val="0"/>
        <w:spacing w:lineRule="auto" w:line="328" w:before="0" w:after="20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100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Lease Term; Expiration Date:</w:t>
            </w:r>
            <w:r>
              <w:rPr>
                <w:caps w:val="false"/>
                <w:smallCaps w:val="false"/>
              </w:rPr>
              <w:t xml:space="preserve">  </w:t>
            </w:r>
            <w:r>
              <w:rPr>
                <w:rFonts w:ascii="Times New Roman;Times;serif" w:hAnsi="Times New Roman;Times;serif"/>
                <w:b w:val="false"/>
                <w:i w:val="false"/>
                <w:caps w:val="false"/>
                <w:smallCaps w:val="false"/>
                <w:sz w:val="24"/>
              </w:rPr>
              <w:t>The Term is hereby extended for a period of thirty-six (36) months, commencing February 1, 2026 and expiring on January 31, 2029.</w:t>
            </w:r>
          </w:p>
        </w:tc>
      </w:tr>
    </w:tbl>
    <w:p>
      <w:pPr>
        <w:pStyle w:val="HorizontalLine"/>
        <w:pBdr>
          <w:bottom w:val="single" w:sz="6" w:space="0" w:color="000000"/>
        </w:pBdr>
        <w:bidi w:val="0"/>
        <w:spacing w:before="0" w:after="0"/>
        <w:ind w:left="0" w:right="7042" w:hanging="0"/>
        <w:jc w:val="left"/>
        <w:rPr/>
      </w:pPr>
      <w:r>
        <w:rPr/>
      </w:r>
    </w:p>
    <w:p>
      <w:pPr>
        <w:pStyle w:val="TextBody"/>
        <w:pBdr/>
        <w:bidi w:val="0"/>
        <w:spacing w:lineRule="auto" w:line="328" w:before="0" w:after="200"/>
        <w:ind w:left="0" w:right="0" w:hanging="490"/>
        <w:jc w:val="both"/>
        <w:rPr>
          <w:rFonts w:ascii="Helvetica;sans-serif" w:hAnsi="Helvetica;sans-serif"/>
          <w:sz w:val="20"/>
        </w:rPr>
      </w:pPr>
      <w:r>
        <w:rPr>
          <w:rFonts w:ascii="Helvetica;sans-serif" w:hAnsi="Helvetica;sans-serif"/>
          <w:sz w:val="15"/>
        </w:rPr>
        <w:t xml:space="preserve">1               </w:t>
      </w:r>
      <w:r>
        <w:rPr>
          <w:rFonts w:ascii="Helvetica;sans-serif" w:hAnsi="Helvetica;sans-serif"/>
          <w:sz w:val="20"/>
        </w:rPr>
        <w:t>Certain identified information has been excluded from the exhibit because it is both (i) not material and (ii) is the type that the registrant treats as private or confidential.</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sz w:val="20"/>
        </w:rPr>
        <w:t>Page 1</w:t>
      </w:r>
      <w:r>
        <w:rPr>
          <w:rFonts w:ascii="Helvetica;sans-serif" w:hAnsi="Helvetica;sans-serif"/>
          <w:sz w:val="20"/>
        </w:rPr>
        <w:t xml:space="preserve"> </w:t>
      </w:r>
      <w:r>
        <w:rPr>
          <w:rFonts w:ascii="Times New Roman;Times;serif" w:hAnsi="Times New Roman;Times;serif"/>
          <w:sz w:val="20"/>
        </w:rPr>
        <w:t>of 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99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Base Rent Schedule:</w:t>
            </w:r>
            <w:r>
              <w:rPr>
                <w:caps w:val="false"/>
                <w:smallCaps w:val="false"/>
              </w:rPr>
              <w:t xml:space="preserve">  </w:t>
            </w:r>
            <w:r>
              <w:rPr>
                <w:rFonts w:ascii="Times New Roman;Times;serif" w:hAnsi="Times New Roman;Times;serif"/>
                <w:b w:val="false"/>
                <w:i w:val="false"/>
                <w:caps w:val="false"/>
                <w:smallCaps w:val="false"/>
                <w:sz w:val="24"/>
              </w:rPr>
              <w:t>The monthly Base Rent shall be adjusted to the following amount effective upon the following corresponding dates:</w:t>
            </w:r>
          </w:p>
        </w:tc>
      </w:tr>
    </w:tbl>
    <w:tbl>
      <w:tblPr>
        <w:tblW w:w="4998" w:type="dxa"/>
        <w:jc w:val="center"/>
        <w:tblInd w:w="0" w:type="dxa"/>
        <w:tblLayout w:type="fixed"/>
        <w:tblCellMar>
          <w:top w:w="28" w:type="dxa"/>
          <w:left w:w="103" w:type="dxa"/>
          <w:bottom w:w="28" w:type="dxa"/>
          <w:right w:w="103" w:type="dxa"/>
        </w:tblCellMar>
      </w:tblPr>
      <w:tblGrid>
        <w:gridCol w:w="1756"/>
        <w:gridCol w:w="1741"/>
        <w:gridCol w:w="1501"/>
      </w:tblGrid>
      <w:tr>
        <w:trPr/>
        <w:tc>
          <w:tcPr>
            <w:tcW w:w="175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From:</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To:</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Base Rent</w:t>
            </w:r>
          </w:p>
          <w:p>
            <w:pPr>
              <w:pStyle w:val="TableContents"/>
              <w:pBdr/>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(per month)</w:t>
            </w:r>
          </w:p>
        </w:tc>
      </w:tr>
      <w:tr>
        <w:trPr/>
        <w:tc>
          <w:tcPr>
            <w:tcW w:w="175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February 1, 2026</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January 31, 2027</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28" w:before="20" w:after="20"/>
              <w:ind w:left="0" w:right="0" w:hanging="0"/>
              <w:jc w:val="both"/>
              <w:rPr>
                <w:rFonts w:ascii="Helvetica;sans-serif" w:hAnsi="Helvetica;sans-serif"/>
                <w:sz w:val="22"/>
              </w:rPr>
            </w:pPr>
            <w:r>
              <w:rPr>
                <w:rFonts w:ascii="Times New Roman;Times;serif" w:hAnsi="Times New Roman;Times;serif"/>
                <w:sz w:val="24"/>
              </w:rPr>
              <w:t>$[</w:t>
            </w:r>
            <w:r>
              <w:rPr>
                <w:rFonts w:ascii="Times New Roman;Times;serif" w:hAnsi="Times New Roman;Times;serif"/>
                <w:sz w:val="24"/>
                <w:shd w:fill="000000" w:val="clear"/>
              </w:rPr>
              <w:t>209,814.00</w:t>
            </w:r>
            <w:r>
              <w:rPr>
                <w:rFonts w:ascii="Times New Roman;Times;serif" w:hAnsi="Times New Roman;Times;serif"/>
                <w:sz w:val="24"/>
              </w:rPr>
              <w:t>]</w:t>
            </w:r>
          </w:p>
        </w:tc>
      </w:tr>
      <w:tr>
        <w:trPr/>
        <w:tc>
          <w:tcPr>
            <w:tcW w:w="175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February 1, 2027</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January 31, 2028</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0"/>
              <w:jc w:val="both"/>
              <w:rPr>
                <w:rFonts w:ascii="Helvetica;sans-serif" w:hAnsi="Helvetica;sans-serif"/>
                <w:sz w:val="22"/>
              </w:rPr>
            </w:pPr>
            <w:r>
              <w:rPr>
                <w:rFonts w:ascii="Times New Roman;Times;serif" w:hAnsi="Times New Roman;Times;serif"/>
                <w:sz w:val="24"/>
              </w:rPr>
              <w:t>$[</w:t>
            </w:r>
            <w:r>
              <w:rPr>
                <w:rFonts w:ascii="Times New Roman;Times;serif" w:hAnsi="Times New Roman;Times;serif"/>
                <w:sz w:val="24"/>
                <w:shd w:fill="000000" w:val="clear"/>
              </w:rPr>
              <w:t>231,333.00</w:t>
            </w:r>
            <w:r>
              <w:rPr>
                <w:rFonts w:ascii="Times New Roman;Times;serif" w:hAnsi="Times New Roman;Times;serif"/>
                <w:sz w:val="24"/>
              </w:rPr>
              <w:t>]</w:t>
            </w:r>
          </w:p>
        </w:tc>
      </w:tr>
      <w:tr>
        <w:trPr/>
        <w:tc>
          <w:tcPr>
            <w:tcW w:w="175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February 1, 2028</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0"/>
              <w:jc w:val="both"/>
              <w:rPr>
                <w:rFonts w:ascii="Times New Roman;Times;serif" w:hAnsi="Times New Roman;Times;serif"/>
                <w:sz w:val="24"/>
              </w:rPr>
            </w:pPr>
            <w:r>
              <w:rPr>
                <w:rFonts w:ascii="Times New Roman;Times;serif" w:hAnsi="Times New Roman;Times;serif"/>
                <w:sz w:val="24"/>
              </w:rPr>
              <w:t>January 31, 2029</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28" w:before="20" w:after="20"/>
              <w:ind w:left="0" w:right="0" w:hanging="1440"/>
              <w:jc w:val="both"/>
              <w:rPr>
                <w:rFonts w:ascii="Helvetica;sans-serif" w:hAnsi="Helvetica;sans-serif"/>
                <w:sz w:val="22"/>
              </w:rPr>
            </w:pPr>
            <w:r>
              <w:rPr>
                <w:rFonts w:ascii="Times New Roman;Times;serif" w:hAnsi="Times New Roman;Times;serif"/>
                <w:sz w:val="24"/>
              </w:rPr>
              <w:t>$[</w:t>
            </w:r>
            <w:r>
              <w:rPr>
                <w:rFonts w:ascii="Times New Roman;Times;serif" w:hAnsi="Times New Roman;Times;serif"/>
                <w:sz w:val="24"/>
                <w:shd w:fill="000000" w:val="clear"/>
              </w:rPr>
              <w:t>252,853.00</w:t>
            </w:r>
            <w:r>
              <w:rPr>
                <w:rFonts w:ascii="Times New Roman;Times;serif" w:hAnsi="Times New Roman;Times;serif"/>
                <w:sz w:val="24"/>
              </w:rPr>
              <w:t>]</w:t>
            </w:r>
          </w:p>
        </w:tc>
      </w:tr>
    </w:tbl>
    <w:p>
      <w:pPr>
        <w:pStyle w:val="TextBody"/>
        <w:bidi w:val="0"/>
        <w:spacing w:lineRule="auto" w:line="328" w:before="0" w:after="20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w:t>
            </w:r>
          </w:p>
        </w:tc>
        <w:tc>
          <w:tcPr>
            <w:tcW w:w="100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Landlord’s Work</w:t>
            </w:r>
            <w:r>
              <w:rPr>
                <w:rFonts w:ascii="Times New Roman;Times;serif" w:hAnsi="Times New Roman;Times;serif"/>
                <w:b w:val="false"/>
                <w:i w:val="false"/>
                <w:caps w:val="false"/>
                <w:smallCaps w:val="false"/>
                <w:sz w:val="24"/>
              </w:rPr>
              <w:t>.  Landlord, at Landlord’s sole cost and expense, prior the Commencement Date shall construct all of the below improvements in a good and workmanlike manner in compliance with all applicable Building and Fire Codes. All work shall be coordinated with Tenant and Landlord shall use all reasonable efforts not to materially interfere with Tenant’s ongoing operations.</w:t>
            </w:r>
          </w:p>
        </w:tc>
      </w:tr>
    </w:tbl>
    <w:tbl>
      <w:tblPr>
        <w:tblW w:w="6618" w:type="dxa"/>
        <w:jc w:val="left"/>
        <w:tblInd w:w="0" w:type="dxa"/>
        <w:tblLayout w:type="fixed"/>
        <w:tblCellMar>
          <w:top w:w="0" w:type="dxa"/>
          <w:left w:w="0" w:type="dxa"/>
          <w:bottom w:w="0" w:type="dxa"/>
          <w:right w:w="0" w:type="dxa"/>
        </w:tblCellMar>
      </w:tblPr>
      <w:tblGrid>
        <w:gridCol w:w="23"/>
        <w:gridCol w:w="185"/>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Landlord will repair all areas of the roof currently in need of repair. </w:t>
            </w:r>
          </w:p>
        </w:tc>
      </w:tr>
    </w:tbl>
    <w:tbl>
      <w:tblPr>
        <w:tblW w:w="9933" w:type="dxa"/>
        <w:jc w:val="left"/>
        <w:tblInd w:w="0" w:type="dxa"/>
        <w:tblLayout w:type="fixed"/>
        <w:tblCellMar>
          <w:top w:w="0" w:type="dxa"/>
          <w:left w:w="0" w:type="dxa"/>
          <w:bottom w:w="0" w:type="dxa"/>
          <w:right w:w="0" w:type="dxa"/>
        </w:tblCellMar>
      </w:tblPr>
      <w:tblGrid>
        <w:gridCol w:w="23"/>
        <w:gridCol w:w="200"/>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Landlord will repair cracks that appear to be forming both inside and outside the front of the building.  </w:t>
            </w:r>
          </w:p>
        </w:tc>
      </w:tr>
    </w:tbl>
    <w:p>
      <w:pPr>
        <w:pStyle w:val="TextBody"/>
        <w:bidi w:val="0"/>
        <w:spacing w:lineRule="auto" w:line="328" w:before="0" w:after="200"/>
        <w:ind w:left="180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w:t>
            </w:r>
          </w:p>
        </w:tc>
        <w:tc>
          <w:tcPr>
            <w:tcW w:w="1003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Holding Over</w:t>
            </w:r>
            <w:r>
              <w:rPr>
                <w:rFonts w:ascii="Times New Roman;Times;serif" w:hAnsi="Times New Roman;Times;serif"/>
                <w:b w:val="false"/>
                <w:i w:val="false"/>
                <w:caps w:val="false"/>
                <w:smallCaps w:val="false"/>
                <w:sz w:val="24"/>
              </w:rPr>
              <w:t>.  The first sentence of Section 18.7.1 is hereby replaced with the following: “If Tenant holds over the Premises or any part thereof after the expiration or earlier termination of this Lease, such holding over, at Landlord’s option, constitute a month-to-month tenancy, at a rent equal to one hundred twenty-five percent (125%) of the Rent in effect immediately prior to such holding over for the first month of holdover, and thereafter shall be one hundred fifty percent (150%) of the Rent in effect immediately prior to such holding over and shall otherwise be on all other terms and conditions of this Lease.”</w:t>
            </w:r>
          </w:p>
        </w:tc>
      </w:tr>
    </w:tbl>
    <w:p>
      <w:pPr>
        <w:pStyle w:val="TextBody"/>
        <w:bidi w:val="0"/>
        <w:spacing w:lineRule="auto" w:line="328" w:before="0" w:after="20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6.</w:t>
            </w:r>
          </w:p>
        </w:tc>
        <w:tc>
          <w:tcPr>
            <w:tcW w:w="100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Renewal Options</w:t>
            </w:r>
            <w:r>
              <w:rPr>
                <w:rFonts w:ascii="Times New Roman;Times;serif" w:hAnsi="Times New Roman;Times;serif"/>
                <w:b w:val="false"/>
                <w:i w:val="false"/>
                <w:caps w:val="false"/>
                <w:smallCaps w:val="false"/>
                <w:sz w:val="24"/>
              </w:rPr>
              <w:t>: Tenant will have two (2) five-year renewal options at market rate, with twelve to nine month’s advance written notice prior to term expiration in accordance with the terms and conditions of Addendum 1 of the Lease.</w:t>
            </w:r>
          </w:p>
        </w:tc>
      </w:tr>
    </w:tbl>
    <w:p>
      <w:pPr>
        <w:pStyle w:val="TextBody"/>
        <w:bidi w:val="0"/>
        <w:spacing w:lineRule="auto" w:line="328" w:before="0" w:after="20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w:t>
            </w:r>
          </w:p>
        </w:tc>
        <w:tc>
          <w:tcPr>
            <w:tcW w:w="100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Confession of Judgment</w:t>
            </w:r>
            <w:r>
              <w:rPr>
                <w:rFonts w:ascii="Times New Roman;Times;serif" w:hAnsi="Times New Roman;Times;serif"/>
                <w:b w:val="false"/>
                <w:i w:val="false"/>
                <w:caps w:val="false"/>
                <w:smallCaps w:val="false"/>
                <w:sz w:val="24"/>
              </w:rPr>
              <w:t>.  For the purposes of expressly ratifying and re-affirming Sections 15.2.6 – 15.2.8 of the Lease, said Sections 15.2.6 – 15.2.8 of the Lease are hereby restated in its entirety as follows:</w:t>
            </w:r>
          </w:p>
        </w:tc>
      </w:tr>
    </w:tbl>
    <w:p>
      <w:pPr>
        <w:pStyle w:val="TextBody"/>
        <w:bidi w:val="0"/>
        <w:spacing w:lineRule="auto" w:line="328" w:before="0" w:after="0"/>
        <w:ind w:left="1170" w:right="630" w:hanging="0"/>
        <w:jc w:val="left"/>
        <w:rPr>
          <w:rFonts w:ascii="Helvetica;sans-serif" w:hAnsi="Helvetica;sans-serif"/>
          <w:sz w:val="22"/>
        </w:rPr>
      </w:pPr>
      <w:r>
        <w:rPr>
          <w:rFonts w:ascii="Times New Roman;Times;serif" w:hAnsi="Times New Roman;Times;serif"/>
          <w:b/>
          <w:i w:val="false"/>
          <w:caps w:val="false"/>
          <w:smallCaps w:val="false"/>
          <w:sz w:val="24"/>
        </w:rPr>
        <w:t>15.2.6</w:t>
      </w:r>
      <w:r>
        <w:rPr>
          <w:rFonts w:ascii="Times New Roman;Times;serif" w:hAnsi="Times New Roman;Times;serif"/>
          <w:b/>
          <w:sz w:val="24"/>
        </w:rPr>
        <w:t xml:space="preserve">When this Lease and the Term or any extension thereof shall have been terminated on account of any Event of Default by Tenant, upon an additional five (5) Business Day notice and cure period provided by Landlord to Tenant, or when the Term or any extension thereof shall have expired, Tenant hereby authorizes any attorney of any court of record of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sz w:val="20"/>
        </w:rPr>
        <w:t>Page 2</w:t>
      </w:r>
      <w:r>
        <w:rPr>
          <w:rFonts w:ascii="Helvetica;sans-serif" w:hAnsi="Helvetica;sans-serif"/>
          <w:sz w:val="20"/>
        </w:rPr>
        <w:t xml:space="preserve"> </w:t>
      </w:r>
      <w:r>
        <w:rPr>
          <w:rFonts w:ascii="Times New Roman;Times;serif" w:hAnsi="Times New Roman;Times;serif"/>
          <w:sz w:val="20"/>
        </w:rPr>
        <w:t>of 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00"/>
        <w:ind w:left="1170" w:right="630" w:hanging="0"/>
        <w:jc w:val="both"/>
        <w:rPr>
          <w:rFonts w:ascii="Times New Roman;Times;serif" w:hAnsi="Times New Roman;Times;serif"/>
          <w:b/>
          <w:sz w:val="24"/>
        </w:rPr>
      </w:pPr>
      <w:r>
        <w:rPr>
          <w:rFonts w:ascii="Times New Roman;Times;serif" w:hAnsi="Times New Roman;Times;serif"/>
          <w:b/>
          <w:sz w:val="24"/>
        </w:rPr>
        <w:t>the Commonwealth of Pennsylvania to appear for Tenant and for anyone claiming by, through or under Tenant and to confess judgment against all such parties, and in favor of Landlord, in ejectment and for the recovery of possession of the Premises, for which this Lease or a true and correct copy hereof shall be good and sufficient warrant. AFTER THE ENTRY OF ANY SUCH JUDGMENT A WRIT OF POSSESSION MAY BE ISSUED THEREON WITHOUT FURTHER NOTICE TO TENANT AND WITHOUT A HEARING. If for any reason after such action shall have been commenced it shall be determined and possession of the Premises remain in or be restored to Tenant, Landlord shall have the right for the same Event of Default and upon any subsequent Event(s) of Default or upon the termination of this Lease or Tenant’s right of possession as herein set forth, to again confess judgment as herein provided, for which this Lease or a true and correct copy hereof shall be good and sufficient warrant.</w:t>
      </w:r>
    </w:p>
    <w:p>
      <w:pPr>
        <w:pStyle w:val="TextBody"/>
        <w:bidi w:val="0"/>
        <w:spacing w:lineRule="auto" w:line="328" w:before="0" w:after="200"/>
        <w:ind w:left="1170" w:right="630" w:hanging="0"/>
        <w:jc w:val="both"/>
        <w:rPr>
          <w:rFonts w:ascii="Times New Roman;Times;serif" w:hAnsi="Times New Roman;Times;serif"/>
          <w:b/>
          <w:sz w:val="24"/>
        </w:rPr>
      </w:pPr>
      <w:r>
        <w:rPr>
          <w:rFonts w:ascii="Times New Roman;Times;serif" w:hAnsi="Times New Roman;Times;serif"/>
          <w:b/>
          <w:sz w:val="24"/>
        </w:rPr>
        <w:t>Initials on behalf of Tenant: /s/ CL</w:t>
      </w:r>
    </w:p>
    <w:p>
      <w:pPr>
        <w:pStyle w:val="TextBody"/>
        <w:bidi w:val="0"/>
        <w:spacing w:lineRule="auto" w:line="328" w:before="0" w:after="200"/>
        <w:ind w:left="1170" w:right="630" w:hanging="0"/>
        <w:jc w:val="left"/>
        <w:rPr>
          <w:rFonts w:ascii="Helvetica;sans-serif" w:hAnsi="Helvetica;sans-serif"/>
          <w:sz w:val="22"/>
        </w:rPr>
      </w:pPr>
      <w:r>
        <w:rPr>
          <w:rFonts w:ascii="Times New Roman;Times;serif" w:hAnsi="Times New Roman;Times;serif"/>
          <w:b/>
          <w:i w:val="false"/>
          <w:caps w:val="false"/>
          <w:smallCaps w:val="false"/>
          <w:sz w:val="24"/>
        </w:rPr>
        <w:t>15.2.7</w:t>
      </w:r>
      <w:r>
        <w:rPr>
          <w:rFonts w:ascii="Times New Roman;Times;serif" w:hAnsi="Times New Roman;Times;serif"/>
          <w:b/>
          <w:sz w:val="24"/>
        </w:rPr>
        <w:t>The warrants to confess judgment set forth above shall continue in full force and effect and be unaffected by amendments to this Lease or other agreements between Landlord and Tenant even if any such amendments or other agreements increase Tenant’s obligations or expand the size of the Premises.</w:t>
      </w:r>
    </w:p>
    <w:p>
      <w:pPr>
        <w:pStyle w:val="TextBody"/>
        <w:bidi w:val="0"/>
        <w:spacing w:lineRule="auto" w:line="328" w:before="0" w:after="200"/>
        <w:ind w:left="1170" w:right="630" w:hanging="0"/>
        <w:jc w:val="left"/>
        <w:rPr>
          <w:rFonts w:ascii="Helvetica;sans-serif" w:hAnsi="Helvetica;sans-serif"/>
          <w:sz w:val="22"/>
        </w:rPr>
      </w:pPr>
      <w:r>
        <w:rPr>
          <w:rFonts w:ascii="Times New Roman;Times;serif" w:hAnsi="Times New Roman;Times;serif"/>
          <w:b/>
          <w:i w:val="false"/>
          <w:caps w:val="false"/>
          <w:smallCaps w:val="false"/>
          <w:sz w:val="24"/>
        </w:rPr>
        <w:t>15.2.8</w:t>
      </w:r>
      <w:r>
        <w:rPr>
          <w:rFonts w:ascii="Times New Roman;Times;serif" w:hAnsi="Times New Roman;Times;serif"/>
          <w:b/>
          <w:sz w:val="24"/>
        </w:rPr>
        <w:t>TENANT EXPRESSLY AND ABSOLUTELY KNOWINGLY AND EXPRESSLY WAIVES AND RELEASES (i) ANY RIGHT, INCLUDING, WITHOUT LIMITATION, UNDER ANY APPLICABLE STATUTE, WHICH TENANT MAY HAVE TO RECEIVE A NOTICE TO QUIT PRIOR TO LANDLORD COMMENCING AN ACTION FOR REPOSSESSION OF THE PREMISES AND (ii) ANY PROCEDURAL ERRORS IN CONNECTION WITH THE ENTRY OF ANY SUCH JUDGMENT OR IN THE ISSUANCE OF ANY ONE OR MORE WRITS OF POSSESSION.</w:t>
      </w:r>
    </w:p>
    <w:p>
      <w:pPr>
        <w:pStyle w:val="TextBody"/>
        <w:bidi w:val="0"/>
        <w:spacing w:lineRule="auto" w:line="328" w:before="0" w:after="200"/>
        <w:ind w:left="1170" w:right="630" w:hanging="0"/>
        <w:jc w:val="both"/>
        <w:rPr>
          <w:rFonts w:ascii="Times New Roman;Times;serif" w:hAnsi="Times New Roman;Times;serif"/>
          <w:b/>
          <w:sz w:val="24"/>
        </w:rPr>
      </w:pPr>
      <w:r>
        <w:rPr>
          <w:rFonts w:ascii="Times New Roman;Times;serif" w:hAnsi="Times New Roman;Times;serif"/>
          <w:b/>
          <w:sz w:val="24"/>
        </w:rPr>
        <w:t>Initials on behalf of Tenant: /s/ CL</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8.</w:t>
            </w:r>
          </w:p>
        </w:tc>
        <w:tc>
          <w:tcPr>
            <w:tcW w:w="1003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Broker’s Commissions</w:t>
            </w:r>
            <w:r>
              <w:rPr>
                <w:rFonts w:ascii="Times New Roman;Times;serif" w:hAnsi="Times New Roman;Times;serif"/>
                <w:b w:val="false"/>
                <w:i w:val="false"/>
                <w:caps w:val="false"/>
                <w:smallCaps w:val="false"/>
                <w:sz w:val="24"/>
              </w:rPr>
              <w:t xml:space="preserve">.  Tenant represents and warrants that it has negotiated this Amendment with Landlord and has not authorized or employed, or acted by implication to authorize or to employ, any real estate broker or salesman to act for Tenant in connection with this Amendment other than Mike Mills from Atlantic Real Estate Services. Tenant shall indemnify, defend and hold Landlord harmless from and against any and all claims by any other real estate broker or salesman which was authorized or </w:t>
            </w:r>
          </w:p>
        </w:tc>
      </w:tr>
    </w:tbl>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sz w:val="20"/>
        </w:rPr>
        <w:t>Page 3</w:t>
      </w:r>
      <w:r>
        <w:rPr>
          <w:rFonts w:ascii="Helvetica;sans-serif" w:hAnsi="Helvetica;sans-serif"/>
          <w:sz w:val="20"/>
        </w:rPr>
        <w:t xml:space="preserve"> </w:t>
      </w:r>
      <w:r>
        <w:rPr>
          <w:rFonts w:ascii="Times New Roman;Times;serif" w:hAnsi="Times New Roman;Times;serif"/>
          <w:sz w:val="20"/>
        </w:rPr>
        <w:t>of 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employed, or acted by implication of Tenant to authorize or to employ on behalf of Tenant for a commission, finder’s fee or other compensation as a result of Tenant’s entering into this Amendment.  </w:t>
            </w:r>
          </w:p>
        </w:tc>
      </w:tr>
    </w:tbl>
    <w:p>
      <w:pPr>
        <w:pStyle w:val="TextBody"/>
        <w:bidi w:val="0"/>
        <w:spacing w:lineRule="auto" w:line="328" w:before="0" w:after="20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9.</w:t>
            </w:r>
          </w:p>
        </w:tc>
        <w:tc>
          <w:tcPr>
            <w:tcW w:w="100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Full Force and Effect; Conflict with Lease:</w:t>
            </w:r>
            <w:r>
              <w:rPr>
                <w:caps w:val="false"/>
                <w:smallCaps w:val="false"/>
              </w:rPr>
              <w:t xml:space="preserve">  </w:t>
            </w:r>
            <w:r>
              <w:rPr>
                <w:rFonts w:ascii="Times New Roman;Times;serif" w:hAnsi="Times New Roman;Times;serif"/>
                <w:b w:val="false"/>
                <w:i w:val="false"/>
                <w:caps w:val="false"/>
                <w:smallCaps w:val="false"/>
                <w:sz w:val="24"/>
              </w:rPr>
              <w:t>Except as expressly provided hereinabove, all other terms and conditions of the Lease shall apply herein and remain in full force and effect. In the event of any conflict between the terms of this First Amendment and those of the Lease, the terms of this Amendment will be deemed to have superseded those of the Lease and exclusively govern the matter in question.  </w:t>
            </w:r>
          </w:p>
        </w:tc>
      </w:tr>
    </w:tbl>
    <w:p>
      <w:pPr>
        <w:pStyle w:val="TextBody"/>
        <w:bidi w:val="0"/>
        <w:spacing w:lineRule="auto" w:line="328" w:before="0" w:after="20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8"/>
        <w:gridCol w:w="9874"/>
      </w:tblGrid>
      <w:tr>
        <w:trPr/>
        <w:tc>
          <w:tcPr>
            <w:tcW w:w="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10.</w:t>
            </w:r>
          </w:p>
        </w:tc>
        <w:tc>
          <w:tcPr>
            <w:tcW w:w="98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Defined Terms</w:t>
            </w:r>
            <w:r>
              <w:rPr>
                <w:rFonts w:ascii="Times New Roman;Times;serif" w:hAnsi="Times New Roman;Times;serif"/>
                <w:b w:val="false"/>
                <w:i w:val="false"/>
                <w:caps w:val="false"/>
                <w:smallCaps w:val="false"/>
                <w:sz w:val="24"/>
              </w:rPr>
              <w:t xml:space="preserve">:  Capitalized terms used herein and not otherwise defined shall have the meanings given to them in the Lease. </w:t>
            </w:r>
          </w:p>
        </w:tc>
      </w:tr>
    </w:tbl>
    <w:p>
      <w:pPr>
        <w:pStyle w:val="TextBody"/>
        <w:bidi w:val="0"/>
        <w:spacing w:lineRule="auto" w:line="328" w:before="0" w:after="20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w:t>
            </w:r>
          </w:p>
        </w:tc>
        <w:tc>
          <w:tcPr>
            <w:tcW w:w="9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Counterparts; Electronic Execution</w:t>
            </w:r>
            <w:r>
              <w:rPr>
                <w:rFonts w:ascii="Times New Roman;Times;serif" w:hAnsi="Times New Roman;Times;serif"/>
                <w:b w:val="false"/>
                <w:i w:val="false"/>
                <w:caps w:val="false"/>
                <w:smallCaps w:val="false"/>
                <w:sz w:val="24"/>
              </w:rPr>
              <w:t>.  This Amendment may be executed in any number of counterparts (including facsimile signature pages), each of which need not be fully executed by all parties hereto, but all counterparts hereof, taken together, shall be considered one single instrument as if all parties had executed the same counterpart. Delivery of an executed counterpart of this Amendment by electronic signature, fax or e-mail transmission of signature shall be equally as effective as delivery of a manually executed counterpart of this Amendment.  Any participant delivering an executed counterpart of this Amendment by electronic signature, fax or e-mail transmission of signature shall also deliver a manually executed counterpart of this Amendment, but the failure to deliver a manually executed counterpart shall not affect the validity, enforceability or binding effect of this Amendment.</w:t>
            </w:r>
          </w:p>
        </w:tc>
      </w:tr>
    </w:tbl>
    <w:p>
      <w:pPr>
        <w:pStyle w:val="TextBody"/>
        <w:bidi w:val="0"/>
        <w:spacing w:lineRule="auto" w:line="328" w:before="0" w:after="200"/>
        <w:ind w:left="0" w:right="0" w:hanging="0"/>
        <w:jc w:val="center"/>
        <w:rPr>
          <w:rFonts w:ascii="Times New Roman;Times;serif" w:hAnsi="Times New Roman;Times;serif"/>
          <w:sz w:val="24"/>
        </w:rPr>
      </w:pPr>
      <w:r>
        <w:rPr>
          <w:rFonts w:ascii="Times New Roman;Times;serif" w:hAnsi="Times New Roman;Times;serif"/>
          <w:sz w:val="24"/>
        </w:rPr>
        <w:t>[Signatures Follow on Next Page]</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sz w:val="20"/>
        </w:rPr>
        <w:t>Page 4</w:t>
      </w:r>
      <w:r>
        <w:rPr>
          <w:rFonts w:ascii="Helvetica;sans-serif" w:hAnsi="Helvetica;sans-serif"/>
          <w:sz w:val="20"/>
        </w:rPr>
        <w:t xml:space="preserve"> </w:t>
      </w:r>
      <w:r>
        <w:rPr>
          <w:rFonts w:ascii="Times New Roman;Times;serif" w:hAnsi="Times New Roman;Times;serif"/>
          <w:sz w:val="20"/>
        </w:rPr>
        <w:t>of 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28" w:before="0" w:after="200"/>
        <w:ind w:left="0" w:right="0" w:hanging="0"/>
        <w:jc w:val="both"/>
        <w:rPr>
          <w:rFonts w:ascii="Helvetica;sans-serif" w:hAnsi="Helvetica;sans-serif"/>
          <w:sz w:val="22"/>
        </w:rPr>
      </w:pPr>
      <w:r>
        <w:rPr>
          <w:rFonts w:ascii="Times New Roman;Times;serif" w:hAnsi="Times New Roman;Times;serif"/>
          <w:b/>
          <w:sz w:val="24"/>
        </w:rPr>
        <w:t>IN WITNESS WHEREOF</w:t>
      </w:r>
      <w:r>
        <w:rPr>
          <w:rFonts w:ascii="Times New Roman;Times;serif" w:hAnsi="Times New Roman;Times;serif"/>
          <w:sz w:val="24"/>
        </w:rPr>
        <w:t>, the parties have caused this Amendment to be executed as of the day first hereinabove written.</w:t>
      </w:r>
    </w:p>
    <w:p>
      <w:pPr>
        <w:pStyle w:val="TextBody"/>
        <w:bidi w:val="0"/>
        <w:spacing w:lineRule="auto" w:line="328" w:before="0" w:after="200"/>
        <w:ind w:left="0" w:right="0" w:hanging="0"/>
        <w:jc w:val="left"/>
        <w:rPr>
          <w:rFonts w:ascii="Helvetica;sans-serif" w:hAnsi="Helvetica;sans-serif"/>
          <w:sz w:val="22"/>
        </w:rPr>
      </w:pPr>
      <w:r>
        <w:rPr>
          <w:rFonts w:ascii="Times New Roman;Times;serif" w:hAnsi="Times New Roman;Times;serif"/>
          <w:b/>
          <w:i w:val="false"/>
          <w:caps w:val="false"/>
          <w:smallCaps w:val="false"/>
          <w:sz w:val="24"/>
        </w:rPr>
        <w:t>LANDLORD</w:t>
      </w:r>
      <w:r>
        <w:rPr>
          <w:rFonts w:ascii="Times New Roman;Times;serif" w:hAnsi="Times New Roman;Times;serif"/>
          <w:b/>
          <w:sz w:val="24"/>
        </w:rPr>
        <w:t>TENANT</w:t>
      </w:r>
    </w:p>
    <w:p>
      <w:pPr>
        <w:pStyle w:val="TextBody"/>
        <w:bidi w:val="0"/>
        <w:spacing w:lineRule="auto" w:line="328" w:before="0" w:after="0"/>
        <w:ind w:left="0" w:right="0" w:hanging="0"/>
        <w:jc w:val="both"/>
        <w:rPr>
          <w:rFonts w:ascii="Times New Roman;Times;serif" w:hAnsi="Times New Roman;Times;serif"/>
          <w:sz w:val="24"/>
        </w:rPr>
      </w:pPr>
      <w:r>
        <w:rPr>
          <w:rFonts w:ascii="Times New Roman;Times;serif" w:hAnsi="Times New Roman;Times;serif"/>
          <w:sz w:val="24"/>
        </w:rPr>
        <w:t>Chrin-Carson Development, LLCLulu’s Fashion Lounge Holdings, Inc.</w:t>
      </w:r>
    </w:p>
    <w:p>
      <w:pPr>
        <w:pStyle w:val="TextBody"/>
        <w:bidi w:val="0"/>
        <w:spacing w:lineRule="auto" w:line="328" w:before="0" w:after="200"/>
        <w:ind w:left="360" w:right="0" w:hanging="0"/>
        <w:jc w:val="both"/>
        <w:rPr/>
      </w:pPr>
      <w:r>
        <w:rPr/>
        <w:t>​</w:t>
      </w:r>
    </w:p>
    <w:p>
      <w:pPr>
        <w:pStyle w:val="TextBody"/>
        <w:bidi w:val="0"/>
        <w:spacing w:lineRule="auto" w:line="328" w:before="0" w:after="200"/>
        <w:ind w:left="360" w:right="0" w:hanging="0"/>
        <w:jc w:val="both"/>
        <w:rPr/>
      </w:pPr>
      <w:r>
        <w:rPr/>
        <w:t>​</w:t>
      </w:r>
    </w:p>
    <w:p>
      <w:pPr>
        <w:pStyle w:val="TextBody"/>
        <w:bidi w:val="0"/>
        <w:spacing w:lineRule="auto" w:line="328" w:before="0" w:after="0"/>
        <w:ind w:left="0" w:right="0" w:hanging="0"/>
        <w:jc w:val="both"/>
        <w:rPr>
          <w:rFonts w:ascii="Helvetica;sans-serif" w:hAnsi="Helvetica;sans-serif"/>
          <w:sz w:val="22"/>
        </w:rPr>
      </w:pPr>
      <w:r>
        <w:rPr>
          <w:rFonts w:ascii="Times New Roman;Times;serif" w:hAnsi="Times New Roman;Times;serif"/>
          <w:sz w:val="24"/>
          <w:u w:val="single"/>
        </w:rPr>
        <w:t>By:</w:t>
      </w:r>
      <w:r>
        <w:rPr>
          <w:rFonts w:ascii="Helvetica;sans-serif" w:hAnsi="Helvetica;sans-serif"/>
          <w:sz w:val="22"/>
          <w:u w:val="single"/>
        </w:rPr>
        <w:t>​ ​</w:t>
      </w:r>
      <w:r>
        <w:rPr>
          <w:rFonts w:ascii="Times New Roman;Times;serif" w:hAnsi="Times New Roman;Times;serif"/>
          <w:sz w:val="24"/>
          <w:u w:val="single"/>
        </w:rPr>
        <w:t>/s/ Todd Burnight</w:t>
      </w:r>
      <w:r>
        <w:rPr>
          <w:rFonts w:ascii="Helvetica;sans-serif" w:hAnsi="Helvetica;sans-serif"/>
          <w:sz w:val="22"/>
          <w:u w:val="single"/>
        </w:rPr>
        <w:t>​ ​​ ​​ ​</w:t>
      </w:r>
      <w:r>
        <w:rPr>
          <w:rFonts w:ascii="Times New Roman;Times;serif" w:hAnsi="Times New Roman;Times;serif"/>
          <w:sz w:val="24"/>
          <w:u w:val="single"/>
        </w:rPr>
        <w:t>By:</w:t>
      </w:r>
      <w:r>
        <w:rPr>
          <w:rFonts w:ascii="Helvetica;sans-serif" w:hAnsi="Helvetica;sans-serif"/>
          <w:sz w:val="22"/>
          <w:u w:val="single"/>
        </w:rPr>
        <w:t>​ ​</w:t>
      </w:r>
      <w:r>
        <w:rPr>
          <w:rFonts w:ascii="Times New Roman;Times;serif" w:hAnsi="Times New Roman;Times;serif"/>
          <w:sz w:val="24"/>
          <w:u w:val="single"/>
        </w:rPr>
        <w:t>/s/ Crystal Landsem</w:t>
      </w:r>
      <w:r>
        <w:rPr>
          <w:rFonts w:ascii="Helvetica;sans-serif" w:hAnsi="Helvetica;sans-serif"/>
          <w:sz w:val="22"/>
          <w:u w:val="single"/>
        </w:rPr>
        <w:t>​ ​​ ​​ ​</w:t>
      </w:r>
    </w:p>
    <w:p>
      <w:pPr>
        <w:pStyle w:val="TextBody"/>
        <w:bidi w:val="0"/>
        <w:spacing w:lineRule="auto" w:line="328" w:before="0" w:after="0"/>
        <w:ind w:left="0" w:right="0" w:hanging="0"/>
        <w:jc w:val="both"/>
        <w:rPr>
          <w:rFonts w:ascii="Times New Roman;Times;serif" w:hAnsi="Times New Roman;Times;serif"/>
          <w:sz w:val="24"/>
        </w:rPr>
      </w:pPr>
      <w:r>
        <w:rPr>
          <w:rFonts w:ascii="Times New Roman;Times;serif" w:hAnsi="Times New Roman;Times;serif"/>
          <w:sz w:val="24"/>
        </w:rPr>
        <w:t>Todd BurnightIts:CEO</w:t>
      </w:r>
    </w:p>
    <w:p>
      <w:pPr>
        <w:pStyle w:val="TextBody"/>
        <w:bidi w:val="0"/>
        <w:spacing w:lineRule="auto" w:line="328" w:before="0" w:after="0"/>
        <w:ind w:left="0" w:right="0" w:hanging="0"/>
        <w:jc w:val="both"/>
        <w:rPr>
          <w:rFonts w:ascii="Times New Roman;Times;serif" w:hAnsi="Times New Roman;Times;serif"/>
          <w:sz w:val="24"/>
        </w:rPr>
      </w:pPr>
      <w:r>
        <w:rPr>
          <w:rFonts w:ascii="Times New Roman;Times;serif" w:hAnsi="Times New Roman;Times;serif"/>
          <w:sz w:val="24"/>
        </w:rPr>
        <w:t>Sr. Vice President</w:t>
      </w:r>
    </w:p>
    <w:p>
      <w:pPr>
        <w:pStyle w:val="TextBody"/>
        <w:bidi w:val="0"/>
        <w:spacing w:lineRule="auto" w:line="328" w:before="0" w:after="200"/>
        <w:ind w:left="0" w:right="0" w:hanging="0"/>
        <w:jc w:val="both"/>
        <w:rPr/>
      </w:pPr>
      <w:r>
        <w:rPr/>
        <w:t>​</w:t>
      </w:r>
    </w:p>
    <w:p>
      <w:pPr>
        <w:pStyle w:val="TextBody"/>
        <w:bidi w:val="0"/>
        <w:spacing w:lineRule="auto" w:line="328" w:before="0" w:after="200"/>
        <w:ind w:left="0" w:right="0" w:hanging="0"/>
        <w:jc w:val="both"/>
        <w:rPr/>
      </w:pPr>
      <w:r>
        <w:rPr/>
        <w:t>​</w:t>
      </w:r>
    </w:p>
    <w:p>
      <w:pPr>
        <w:pStyle w:val="TextBody"/>
        <w:bidi w:val="0"/>
        <w:spacing w:lineRule="auto" w:line="328" w:before="0" w:after="200"/>
        <w:ind w:left="0" w:right="0" w:hanging="0"/>
        <w:jc w:val="both"/>
        <w:rPr/>
      </w:pPr>
      <w:r>
        <w:rPr/>
        <w:t>​</w:t>
      </w:r>
    </w:p>
    <w:p>
      <w:pPr>
        <w:pStyle w:val="TextBody"/>
        <w:bidi w:val="0"/>
        <w:spacing w:lineRule="auto" w:line="328" w:before="0" w:after="0"/>
        <w:ind w:left="0" w:right="0" w:hanging="0"/>
        <w:jc w:val="both"/>
        <w:rPr>
          <w:rFonts w:ascii="Helvetica;sans-serif" w:hAnsi="Helvetica;sans-serif"/>
          <w:sz w:val="22"/>
        </w:rPr>
      </w:pPr>
      <w:r>
        <w:rPr>
          <w:rFonts w:ascii="Times New Roman;Times;serif" w:hAnsi="Times New Roman;Times;serif"/>
          <w:sz w:val="24"/>
          <w:u w:val="single"/>
        </w:rPr>
        <w:t>By:</w:t>
      </w:r>
      <w:r>
        <w:rPr>
          <w:rFonts w:ascii="Helvetica;sans-serif" w:hAnsi="Helvetica;sans-serif"/>
          <w:sz w:val="22"/>
          <w:u w:val="single"/>
        </w:rPr>
        <w:t>​ ​</w:t>
      </w:r>
      <w:r>
        <w:rPr>
          <w:rFonts w:ascii="Times New Roman;Times;serif" w:hAnsi="Times New Roman;Times;serif"/>
          <w:sz w:val="24"/>
          <w:u w:val="single"/>
        </w:rPr>
        <w:t>/s/ Christopher Hermance</w:t>
      </w:r>
      <w:r>
        <w:rPr>
          <w:rFonts w:ascii="Helvetica;sans-serif" w:hAnsi="Helvetica;sans-serif"/>
          <w:sz w:val="22"/>
          <w:u w:val="single"/>
        </w:rPr>
        <w:t>​ ​​ ​</w:t>
      </w:r>
    </w:p>
    <w:p>
      <w:pPr>
        <w:pStyle w:val="TextBody"/>
        <w:bidi w:val="0"/>
        <w:spacing w:lineRule="auto" w:line="328" w:before="0" w:after="0"/>
        <w:ind w:left="0" w:right="0" w:hanging="0"/>
        <w:jc w:val="both"/>
        <w:rPr>
          <w:rFonts w:ascii="Times New Roman;Times;serif" w:hAnsi="Times New Roman;Times;serif"/>
          <w:sz w:val="24"/>
        </w:rPr>
      </w:pPr>
      <w:r>
        <w:rPr>
          <w:rFonts w:ascii="Times New Roman;Times;serif" w:hAnsi="Times New Roman;Times;serif"/>
          <w:sz w:val="24"/>
        </w:rPr>
        <w:t>Christopher Hermance</w:t>
      </w:r>
    </w:p>
    <w:p>
      <w:pPr>
        <w:pStyle w:val="TextBody"/>
        <w:bidi w:val="0"/>
        <w:spacing w:lineRule="auto" w:line="328" w:before="0" w:after="200"/>
        <w:ind w:left="0" w:right="0" w:hanging="0"/>
        <w:jc w:val="both"/>
        <w:rPr>
          <w:rFonts w:ascii="Times New Roman;Times;serif" w:hAnsi="Times New Roman;Times;serif"/>
          <w:sz w:val="24"/>
        </w:rPr>
      </w:pPr>
      <w:r>
        <w:rPr>
          <w:rFonts w:ascii="Times New Roman;Times;serif" w:hAnsi="Times New Roman;Times;serif"/>
          <w:sz w:val="24"/>
        </w:rPr>
        <w:t>Managing Director</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sz w:val="20"/>
        </w:rPr>
        <w:t>Page 5</w:t>
      </w:r>
      <w:r>
        <w:rPr>
          <w:rFonts w:ascii="Helvetica;sans-serif" w:hAnsi="Helvetica;sans-serif"/>
          <w:sz w:val="20"/>
        </w:rPr>
        <w:t xml:space="preserve"> </w:t>
      </w:r>
      <w:r>
        <w:rPr>
          <w:rFonts w:ascii="Times New Roman;Times;serif" w:hAnsi="Times New Roman;Times;serif"/>
          <w:sz w:val="20"/>
        </w:rPr>
        <w:t>of 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4"/>
        </w:rPr>
      </w:pPr>
      <w:bookmarkStart w:id="905" w:name="tmb-20250330xex10d4.htm"/>
      <w:bookmarkStart w:id="906" w:name="kstmb20250330xex10d4"/>
      <w:bookmarkEnd w:id="905"/>
      <w:bookmarkEnd w:id="906"/>
      <w:r>
        <w:rPr>
          <w:rFonts w:ascii="Aptos" w:hAnsi="Aptos"/>
          <w:b/>
          <w:sz w:val="24"/>
        </w:rPr>
        <w:t>Exhibit 10.4</w:t>
      </w:r>
      <w:r>
        <w:br w:type="page"/>
      </w:r>
    </w:p>
    <w:p>
      <w:pPr>
        <w:pStyle w:val="TextBody"/>
        <w:bidi w:val="0"/>
        <w:spacing w:lineRule="auto" w:line="331" w:before="0" w:after="160"/>
        <w:ind w:left="0" w:right="0" w:hanging="0"/>
        <w:jc w:val="center"/>
        <w:rPr>
          <w:rFonts w:ascii="Aptos" w:hAnsi="Aptos"/>
          <w:sz w:val="24"/>
        </w:rPr>
      </w:pPr>
      <w:r>
        <w:rPr>
          <w:rFonts w:ascii="Aptos" w:hAnsi="Aptos"/>
          <w:b/>
          <w:sz w:val="24"/>
        </w:rPr>
        <w:t xml:space="preserve">LEASE TERMINATION AGREEMENT </w:t>
      </w:r>
      <w:r>
        <w:rPr>
          <w:rFonts w:ascii="Aptos" w:hAnsi="Aptos"/>
          <w:b/>
          <w:sz w:val="18"/>
        </w:rPr>
        <w:t>1</w:t>
      </w:r>
    </w:p>
    <w:p>
      <w:pPr>
        <w:pStyle w:val="TextBody"/>
        <w:bidi w:val="0"/>
        <w:spacing w:lineRule="auto" w:line="331" w:before="0" w:after="160"/>
        <w:ind w:left="0" w:right="0" w:hanging="0"/>
        <w:jc w:val="both"/>
        <w:rPr>
          <w:rFonts w:ascii="Aptos" w:hAnsi="Aptos"/>
          <w:sz w:val="24"/>
        </w:rPr>
      </w:pPr>
      <w:r>
        <w:rPr>
          <w:rFonts w:ascii="Aptos" w:hAnsi="Aptos"/>
          <w:sz w:val="24"/>
        </w:rPr>
        <w:t>This Agreement (the "Agreement") is entered into May 8, 2025, by and between Lulu’s Fashion Lounge, LLC, f/k/a Lulu’s Fashion Lounge, Inc., a Delaware company ("Lulus" or "Tenant"), on the one hand, and Hegan Lane Partnership, a California partnership (“HLP” or "Landlord"), on the other hand. Lulus and HLP will sometimes be collectively referred to within this Agreement as the "Parties".</w:t>
      </w:r>
    </w:p>
    <w:p>
      <w:pPr>
        <w:pStyle w:val="TextBody"/>
        <w:bidi w:val="0"/>
        <w:spacing w:lineRule="auto" w:line="331" w:before="0" w:after="160"/>
        <w:ind w:left="0" w:right="0" w:hanging="0"/>
        <w:jc w:val="left"/>
        <w:rPr>
          <w:rFonts w:ascii="Aptos" w:hAnsi="Aptos"/>
          <w:b/>
          <w:sz w:val="24"/>
        </w:rPr>
      </w:pPr>
      <w:r>
        <w:rPr>
          <w:rFonts w:ascii="Aptos" w:hAnsi="Aptos"/>
          <w:b/>
          <w:sz w:val="24"/>
        </w:rPr>
        <w:t>R E C I T A L S</w:t>
      </w:r>
    </w:p>
    <w:p>
      <w:pPr>
        <w:pStyle w:val="TextBody"/>
        <w:bidi w:val="0"/>
        <w:spacing w:lineRule="auto" w:line="331" w:before="0" w:after="160"/>
        <w:ind w:left="0" w:right="0" w:hanging="0"/>
        <w:jc w:val="both"/>
        <w:rPr>
          <w:rFonts w:ascii="Aptos" w:hAnsi="Aptos"/>
          <w:sz w:val="24"/>
        </w:rPr>
      </w:pPr>
      <w:r>
        <w:rPr>
          <w:rFonts w:ascii="Aptos" w:hAnsi="Aptos"/>
          <w:sz w:val="24"/>
        </w:rPr>
        <w:t>This Agreement is made with reference to the following facts and objectives:</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Aptos" w:hAnsi="Aptos"/>
                <w:sz w:val="24"/>
              </w:rPr>
            </w:pPr>
            <w:r>
              <w:rPr>
                <w:rFonts w:ascii="Aptos" w:hAnsi="Aptos"/>
                <w:sz w:val="24"/>
              </w:rPr>
              <w:t>A.</w:t>
            </w:r>
          </w:p>
        </w:tc>
        <w:tc>
          <w:tcPr>
            <w:tcW w:w="9945" w:type="dxa"/>
            <w:tcBorders/>
            <w:vAlign w:val="center"/>
          </w:tcPr>
          <w:p>
            <w:pPr>
              <w:pStyle w:val="TableContents"/>
              <w:bidi w:val="0"/>
              <w:spacing w:before="0" w:after="283"/>
              <w:jc w:val="left"/>
              <w:rPr>
                <w:rFonts w:ascii="Aptos" w:hAnsi="Aptos"/>
                <w:b w:val="false"/>
                <w:i w:val="false"/>
                <w:caps w:val="false"/>
                <w:smallCaps w:val="false"/>
                <w:sz w:val="24"/>
              </w:rPr>
            </w:pPr>
            <w:r>
              <w:rPr>
                <w:rFonts w:ascii="Aptos" w:hAnsi="Aptos"/>
                <w:b w:val="false"/>
                <w:i w:val="false"/>
                <w:caps w:val="false"/>
                <w:smallCaps w:val="false"/>
                <w:sz w:val="24"/>
              </w:rPr>
              <w:t>Landlord and Tenant entered into several Commercial Leases under the terms of which Landlord leased to Tenant and Tenant leased from Landlord that certain real property consisting of approximately 99,954 square feet in a warehouse building at 2812 Hegan Lane, Chico, California, which leases are more particularly described herein.  The first is a Commercial Lease Agreement for Units C and F in the 2812 Hegan Lane building, dated October 26, 2016, as amended twice on July 1, 2019, and as further amended December 27, 2022 (collectively with the amendments, the “Units C + F Lease”).  The second is a Commercial Lease Agreement for Unit E in the 2812 Hegan Lane building dated November 5, 2019, as amended December 27, 2022 (collectively with the amendment, the “Unit E Lease”).  The third is a Commercial Lease Agreement for Unit G in the 2812 Hegan Lane building dated September 24, 2020, as amended December 27, 2022 (as amended, the “Unit G Lease”). The Units C + F Lease, the Unit E Lease, and the Unit G Lease are herein referred to collectively as the “Lease,” and the real property described in the Lease is referred to herein as the “Premises.”  Each capitalized term used but not defined herein shall have the meaning given to such term in the Lease.</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Aptos" w:hAnsi="Aptos"/>
                <w:sz w:val="24"/>
              </w:rPr>
            </w:pPr>
            <w:r>
              <w:rPr>
                <w:rFonts w:ascii="Aptos" w:hAnsi="Aptos"/>
                <w:sz w:val="24"/>
              </w:rPr>
              <w:t>B.</w:t>
            </w:r>
          </w:p>
        </w:tc>
        <w:tc>
          <w:tcPr>
            <w:tcW w:w="9945" w:type="dxa"/>
            <w:tcBorders/>
            <w:vAlign w:val="center"/>
          </w:tcPr>
          <w:p>
            <w:pPr>
              <w:pStyle w:val="TableContents"/>
              <w:bidi w:val="0"/>
              <w:spacing w:before="0" w:after="283"/>
              <w:jc w:val="left"/>
              <w:rPr>
                <w:rFonts w:ascii="Aptos" w:hAnsi="Aptos"/>
                <w:b w:val="false"/>
                <w:i w:val="false"/>
                <w:caps w:val="false"/>
                <w:smallCaps w:val="false"/>
                <w:sz w:val="24"/>
              </w:rPr>
            </w:pPr>
            <w:r>
              <w:rPr>
                <w:rFonts w:ascii="Aptos" w:hAnsi="Aptos"/>
                <w:b w:val="false"/>
                <w:i w:val="false"/>
                <w:caps w:val="false"/>
                <w:smallCaps w:val="false"/>
                <w:sz w:val="24"/>
              </w:rPr>
              <w:t>The term of the Lease is scheduled to expire December 31, 2025. Landlord and Tenant have agreed to an early termination of the Lease which shall be effective May 16, 2025 ("Termination Date"), subject to the terms and condition set forth in this Agreement.</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Aptos" w:hAnsi="Aptos"/>
                <w:sz w:val="24"/>
              </w:rPr>
            </w:pPr>
            <w:r>
              <w:rPr>
                <w:rFonts w:ascii="Aptos" w:hAnsi="Aptos"/>
                <w:sz w:val="24"/>
              </w:rPr>
              <w:t>C.</w:t>
            </w:r>
          </w:p>
        </w:tc>
        <w:tc>
          <w:tcPr>
            <w:tcW w:w="9945" w:type="dxa"/>
            <w:tcBorders/>
            <w:vAlign w:val="center"/>
          </w:tcPr>
          <w:p>
            <w:pPr>
              <w:pStyle w:val="TableContents"/>
              <w:bidi w:val="0"/>
              <w:spacing w:before="0" w:after="283"/>
              <w:jc w:val="left"/>
              <w:rPr>
                <w:rFonts w:ascii="Aptos" w:hAnsi="Aptos"/>
                <w:b w:val="false"/>
                <w:i w:val="false"/>
                <w:caps w:val="false"/>
                <w:smallCaps w:val="false"/>
                <w:sz w:val="24"/>
              </w:rPr>
            </w:pPr>
            <w:r>
              <w:rPr>
                <w:rFonts w:ascii="Aptos" w:hAnsi="Aptos"/>
                <w:b w:val="false"/>
                <w:i w:val="false"/>
                <w:caps w:val="false"/>
                <w:smallCaps w:val="false"/>
                <w:sz w:val="24"/>
              </w:rPr>
              <w:t>Tenant has vacated the Premises and removed its personal property and effects from the Premises, except for those trade fixtures set forth on the attached Exhibit A. Landlord has examined the Premises and acknowledges the condition of the Premises as of the date of this Agreement.</w:t>
            </w:r>
          </w:p>
        </w:tc>
      </w:tr>
    </w:tbl>
    <w:p>
      <w:pPr>
        <w:pStyle w:val="HorizontalLine"/>
        <w:pBdr>
          <w:bottom w:val="single" w:sz="6" w:space="0" w:color="000000"/>
        </w:pBdr>
        <w:bidi w:val="0"/>
        <w:spacing w:before="0" w:after="0"/>
        <w:ind w:left="0" w:right="7042" w:hanging="0"/>
        <w:jc w:val="left"/>
        <w:rPr/>
      </w:pPr>
      <w:r>
        <w:rPr/>
      </w:r>
    </w:p>
    <w:p>
      <w:pPr>
        <w:pStyle w:val="TextBody"/>
        <w:pBdr/>
        <w:bidi w:val="0"/>
        <w:spacing w:lineRule="auto" w:line="331" w:before="0" w:after="160"/>
        <w:ind w:left="0" w:right="0" w:hanging="490"/>
        <w:jc w:val="both"/>
        <w:rPr>
          <w:rFonts w:ascii="Aptos" w:hAnsi="Aptos"/>
          <w:sz w:val="20"/>
        </w:rPr>
      </w:pPr>
      <w:r>
        <w:rPr>
          <w:rFonts w:ascii="Aptos" w:hAnsi="Aptos"/>
          <w:sz w:val="15"/>
        </w:rPr>
        <w:t xml:space="preserve">1               </w:t>
      </w:r>
      <w:r>
        <w:rPr>
          <w:rFonts w:ascii="Aptos" w:hAnsi="Aptos"/>
          <w:sz w:val="20"/>
        </w:rPr>
        <w:t>Certain identified information has been excluded from the exhibit because it is both (i) not material and (ii) is the type that the registrant treats as private or confidential.</w:t>
      </w:r>
    </w:p>
    <w:p>
      <w:pPr>
        <w:pStyle w:val="TextBody"/>
        <w:bidi w:val="0"/>
        <w:spacing w:lineRule="auto" w:line="331" w:before="0" w:after="160"/>
        <w:ind w:left="450" w:right="0" w:hanging="0"/>
        <w:jc w:val="both"/>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Aptos" w:hAnsi="Aptos"/>
                <w:sz w:val="24"/>
              </w:rPr>
            </w:pPr>
            <w:r>
              <w:rPr>
                <w:rFonts w:ascii="Aptos" w:hAnsi="Aptos"/>
                <w:sz w:val="24"/>
              </w:rPr>
              <w:t>D.</w:t>
            </w:r>
          </w:p>
        </w:tc>
        <w:tc>
          <w:tcPr>
            <w:tcW w:w="9930" w:type="dxa"/>
            <w:tcBorders/>
            <w:vAlign w:val="center"/>
          </w:tcPr>
          <w:p>
            <w:pPr>
              <w:pStyle w:val="TableContents"/>
              <w:bidi w:val="0"/>
              <w:spacing w:before="0" w:after="283"/>
              <w:jc w:val="left"/>
              <w:rPr>
                <w:rFonts w:ascii="Aptos" w:hAnsi="Aptos"/>
                <w:b w:val="false"/>
                <w:i w:val="false"/>
                <w:caps w:val="false"/>
                <w:smallCaps w:val="false"/>
                <w:sz w:val="24"/>
              </w:rPr>
            </w:pPr>
            <w:r>
              <w:rPr>
                <w:rFonts w:ascii="Aptos" w:hAnsi="Aptos"/>
                <w:b w:val="false"/>
                <w:i w:val="false"/>
                <w:caps w:val="false"/>
                <w:smallCaps w:val="false"/>
                <w:sz w:val="24"/>
              </w:rPr>
              <w:t>Landlord and Tenant desire to enter into this Agreement for the purpose of agreeing to terminate the Lease; establishing their relative rights, duties and obligations under the Lease up through and including the Termination Date; and establishing their relative rights, duties and obligations following the termination of the Lease.</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Aptos" w:hAnsi="Aptos"/>
                <w:sz w:val="24"/>
              </w:rPr>
            </w:pPr>
            <w:r>
              <w:rPr>
                <w:rFonts w:ascii="Aptos" w:hAnsi="Aptos"/>
                <w:sz w:val="24"/>
              </w:rPr>
              <w:t>E.</w:t>
            </w:r>
          </w:p>
        </w:tc>
        <w:tc>
          <w:tcPr>
            <w:tcW w:w="9960" w:type="dxa"/>
            <w:tcBorders/>
            <w:vAlign w:val="center"/>
          </w:tcPr>
          <w:p>
            <w:pPr>
              <w:pStyle w:val="TableContents"/>
              <w:bidi w:val="0"/>
              <w:spacing w:before="0" w:after="283"/>
              <w:jc w:val="left"/>
              <w:rPr>
                <w:rFonts w:ascii="Aptos" w:hAnsi="Aptos"/>
                <w:b w:val="false"/>
                <w:i w:val="false"/>
                <w:caps w:val="false"/>
                <w:smallCaps w:val="false"/>
                <w:sz w:val="24"/>
              </w:rPr>
            </w:pPr>
            <w:r>
              <w:rPr>
                <w:rFonts w:ascii="Aptos" w:hAnsi="Aptos"/>
                <w:b w:val="false"/>
                <w:i w:val="false"/>
                <w:caps w:val="false"/>
                <w:smallCaps w:val="false"/>
                <w:sz w:val="24"/>
              </w:rPr>
              <w:t>Unless otherwise defined herein, Capitalized terms shall have the meaning ascribed to such terms in the Lease.</w:t>
            </w:r>
          </w:p>
        </w:tc>
      </w:tr>
    </w:tbl>
    <w:p>
      <w:pPr>
        <w:pStyle w:val="TextBody"/>
        <w:bidi w:val="0"/>
        <w:spacing w:lineRule="auto" w:line="331" w:before="0" w:after="160"/>
        <w:ind w:left="0" w:right="0" w:hanging="0"/>
        <w:jc w:val="both"/>
        <w:rPr>
          <w:rFonts w:ascii="Aptos" w:hAnsi="Aptos"/>
          <w:sz w:val="24"/>
        </w:rPr>
      </w:pPr>
      <w:r>
        <w:rPr>
          <w:rFonts w:ascii="Aptos" w:hAnsi="Aptos"/>
          <w:b/>
          <w:sz w:val="24"/>
        </w:rPr>
        <w:t>NOW, THEREFORE</w:t>
      </w:r>
      <w:r>
        <w:rPr>
          <w:rFonts w:ascii="Aptos" w:hAnsi="Aptos"/>
          <w:sz w:val="24"/>
        </w:rPr>
        <w:t>, the Parties hereby acknowledge and agree as follows:</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Aptos" w:hAnsi="Aptos"/>
                <w:sz w:val="24"/>
              </w:rPr>
            </w:pPr>
            <w:r>
              <w:rPr>
                <w:rFonts w:ascii="Aptos" w:hAnsi="Aptos"/>
                <w:sz w:val="24"/>
              </w:rPr>
              <w:t>1.</w:t>
            </w:r>
          </w:p>
        </w:tc>
        <w:tc>
          <w:tcPr>
            <w:tcW w:w="10030" w:type="dxa"/>
            <w:tcBorders/>
            <w:vAlign w:val="center"/>
          </w:tcPr>
          <w:p>
            <w:pPr>
              <w:pStyle w:val="TableContents"/>
              <w:bidi w:val="0"/>
              <w:spacing w:before="0" w:after="283"/>
              <w:jc w:val="left"/>
              <w:rPr/>
            </w:pPr>
            <w:r>
              <w:rPr>
                <w:rFonts w:ascii="Aptos" w:hAnsi="Aptos"/>
                <w:b/>
                <w:i w:val="false"/>
                <w:caps w:val="false"/>
                <w:smallCaps w:val="false"/>
                <w:sz w:val="24"/>
              </w:rPr>
              <w:t>RETURN OF POSSESSION OF PREMISES:</w:t>
            </w:r>
            <w:r>
              <w:rPr>
                <w:caps w:val="false"/>
                <w:smallCaps w:val="false"/>
              </w:rPr>
              <w:t> </w:t>
            </w:r>
            <w:r>
              <w:rPr>
                <w:rFonts w:ascii="Aptos" w:hAnsi="Aptos"/>
                <w:b w:val="false"/>
                <w:i w:val="false"/>
                <w:caps w:val="false"/>
                <w:smallCaps w:val="false"/>
                <w:sz w:val="24"/>
              </w:rPr>
              <w:t>Subject to Paragraph 4 hereof, Tenant will surrender and return possession of the Premises to Landlord on or prior to May 16, 2025: (i) in the same condition as exists as of the date of this Agreement, broom cleaned, and free and clear of any other leasehold occupants. Notwithstanding the forgoing, Tenant shall leave all trade fixtures listed on the attached Exhibit A, and all right and title to such trade fixtures shall transfer to Landlord when Tenant surrenders and returns possession of the Premises to Landlord.  Except as otherwise provided in Paragraph 2 hereof, Landlord acknowledges and agrees that the restoration obligations under the Lease are hereby waived and prior to vacating the premises Tenant shall not be obligated to (i) remove any Lessee Owned Alterations, (ii) remove or replace any Utility Installations, and (iii) remove any other improvements to the Premises.</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Aptos" w:hAnsi="Aptos"/>
                <w:sz w:val="24"/>
              </w:rPr>
            </w:pPr>
            <w:r>
              <w:rPr>
                <w:rFonts w:ascii="Aptos" w:hAnsi="Aptos"/>
                <w:sz w:val="24"/>
              </w:rPr>
              <w:t>2.</w:t>
            </w:r>
          </w:p>
        </w:tc>
        <w:tc>
          <w:tcPr>
            <w:tcW w:w="10026" w:type="dxa"/>
            <w:tcBorders/>
            <w:vAlign w:val="center"/>
          </w:tcPr>
          <w:p>
            <w:pPr>
              <w:pStyle w:val="TableContents"/>
              <w:bidi w:val="0"/>
              <w:spacing w:before="0" w:after="283"/>
              <w:jc w:val="left"/>
              <w:rPr/>
            </w:pPr>
            <w:r>
              <w:rPr>
                <w:rFonts w:ascii="Aptos" w:hAnsi="Aptos"/>
                <w:b/>
                <w:i w:val="false"/>
                <w:caps w:val="false"/>
                <w:smallCaps w:val="false"/>
                <w:sz w:val="24"/>
              </w:rPr>
              <w:t>LEASE TERMINATION:</w:t>
            </w:r>
            <w:r>
              <w:rPr>
                <w:caps w:val="false"/>
                <w:smallCaps w:val="false"/>
              </w:rPr>
              <w:t> </w:t>
            </w:r>
            <w:r>
              <w:rPr>
                <w:rFonts w:ascii="Aptos" w:hAnsi="Aptos"/>
                <w:b w:val="false"/>
                <w:i w:val="false"/>
                <w:caps w:val="false"/>
                <w:smallCaps w:val="false"/>
                <w:sz w:val="24"/>
              </w:rPr>
              <w:t xml:space="preserve">Subject to Paragraph 4 , Landlord and Tenant each acknowledges and agrees that the Lease and all of the Parties' right, title and interest under the Lease and any estate created thereby shall be deemed terminated effective on the Termination Date; provided, however, that the following obligations of the Tenant and/or Landlord shall not be released and shall survive termination of the Lease: (i) Indemnification; and (ii) Tenant's payment of the Lease Termination Fee (as defined below).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Aptos" w:hAnsi="Aptos"/>
                <w:sz w:val="24"/>
              </w:rPr>
            </w:pPr>
            <w:r>
              <w:rPr>
                <w:rFonts w:ascii="Aptos" w:hAnsi="Aptos"/>
                <w:sz w:val="24"/>
              </w:rPr>
              <w:t>3.</w:t>
            </w:r>
          </w:p>
        </w:tc>
        <w:tc>
          <w:tcPr>
            <w:tcW w:w="10025" w:type="dxa"/>
            <w:tcBorders/>
            <w:vAlign w:val="center"/>
          </w:tcPr>
          <w:p>
            <w:pPr>
              <w:pStyle w:val="TableContents"/>
              <w:bidi w:val="0"/>
              <w:spacing w:before="0" w:after="283"/>
              <w:jc w:val="left"/>
              <w:rPr/>
            </w:pPr>
            <w:r>
              <w:rPr>
                <w:rFonts w:ascii="Aptos" w:hAnsi="Aptos"/>
                <w:b/>
                <w:i w:val="false"/>
                <w:caps w:val="false"/>
                <w:smallCaps w:val="false"/>
                <w:sz w:val="24"/>
              </w:rPr>
              <w:t>LEASE TERMINATION FEE:</w:t>
            </w:r>
            <w:r>
              <w:rPr>
                <w:caps w:val="false"/>
                <w:smallCaps w:val="false"/>
              </w:rPr>
              <w:t> </w:t>
            </w:r>
            <w:r>
              <w:rPr>
                <w:rFonts w:ascii="Aptos" w:hAnsi="Aptos"/>
                <w:b w:val="false"/>
                <w:i w:val="false"/>
                <w:caps w:val="false"/>
                <w:smallCaps w:val="false"/>
                <w:sz w:val="24"/>
              </w:rPr>
              <w:t>Subject to Paragraph 4, as consideration for Landlord's execution of this Agreement, Tenant shall pay to Landlord a Lease Termination Fee in the sum of $[</w:t>
            </w:r>
            <w:r>
              <w:rPr>
                <w:rFonts w:ascii="Aptos" w:hAnsi="Aptos"/>
                <w:b w:val="false"/>
                <w:i w:val="false"/>
                <w:caps w:val="false"/>
                <w:smallCaps w:val="false"/>
                <w:sz w:val="24"/>
                <w:shd w:fill="000000" w:val="clear"/>
              </w:rPr>
              <w:t>150,000</w:t>
            </w:r>
            <w:r>
              <w:rPr>
                <w:rFonts w:ascii="Aptos" w:hAnsi="Aptos"/>
                <w:b w:val="false"/>
                <w:i w:val="false"/>
                <w:caps w:val="false"/>
                <w:smallCaps w:val="false"/>
                <w:sz w:val="24"/>
              </w:rPr>
              <w:t>]. The Lease Termination Fee is payable to Landlord by Tenant on or before the Termination Date and is in lieu of any unpaid rent and other sums accrued under the Lease through the Lease Termination Date. No portion of the Lease Termination Fee is refundable to Tenant under any circumstances.</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Aptos" w:hAnsi="Aptos"/>
                <w:sz w:val="24"/>
              </w:rPr>
            </w:pPr>
            <w:r>
              <w:rPr>
                <w:rFonts w:ascii="Aptos" w:hAnsi="Aptos"/>
                <w:sz w:val="24"/>
              </w:rPr>
              <w:t>4.</w:t>
            </w:r>
          </w:p>
        </w:tc>
        <w:tc>
          <w:tcPr>
            <w:tcW w:w="10020" w:type="dxa"/>
            <w:tcBorders/>
            <w:vAlign w:val="center"/>
          </w:tcPr>
          <w:p>
            <w:pPr>
              <w:pStyle w:val="TableContents"/>
              <w:bidi w:val="0"/>
              <w:spacing w:before="0" w:after="283"/>
              <w:jc w:val="left"/>
              <w:rPr/>
            </w:pPr>
            <w:r>
              <w:rPr>
                <w:rFonts w:ascii="Aptos" w:hAnsi="Aptos"/>
                <w:b/>
                <w:i w:val="false"/>
                <w:caps w:val="false"/>
                <w:smallCaps w:val="false"/>
                <w:sz w:val="24"/>
              </w:rPr>
              <w:t>DISPOSTION OF SECURITY DEPOSIT:</w:t>
            </w:r>
            <w:r>
              <w:rPr>
                <w:caps w:val="false"/>
                <w:smallCaps w:val="false"/>
              </w:rPr>
              <w:t> </w:t>
            </w:r>
            <w:r>
              <w:rPr>
                <w:rFonts w:ascii="Aptos" w:hAnsi="Aptos"/>
                <w:b w:val="false"/>
                <w:i w:val="false"/>
                <w:caps w:val="false"/>
                <w:smallCaps w:val="false"/>
                <w:sz w:val="24"/>
              </w:rPr>
              <w:t>Landlord and Tenant agree that Tenant's security deposit in the amount of $[</w:t>
            </w:r>
            <w:r>
              <w:rPr>
                <w:rFonts w:ascii="Aptos" w:hAnsi="Aptos"/>
                <w:b w:val="false"/>
                <w:i w:val="false"/>
                <w:caps w:val="false"/>
                <w:smallCaps w:val="false"/>
                <w:sz w:val="24"/>
                <w:shd w:fill="000000" w:val="clear"/>
              </w:rPr>
              <w:t>36,689.00</w:t>
            </w:r>
            <w:r>
              <w:rPr>
                <w:rFonts w:ascii="Aptos" w:hAnsi="Aptos"/>
                <w:b w:val="false"/>
                <w:i w:val="false"/>
                <w:caps w:val="false"/>
                <w:smallCaps w:val="false"/>
                <w:sz w:val="24"/>
              </w:rPr>
              <w:t>] will be applied to the termination fee. Tenant further affirms that no other additional deposits or prepaid rent or other sums are currently to be credited to Tenant's account or refunded to Tenant.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Aptos" w:hAnsi="Aptos"/>
                <w:sz w:val="24"/>
              </w:rPr>
            </w:pPr>
            <w:r>
              <w:rPr>
                <w:rFonts w:ascii="Aptos" w:hAnsi="Aptos"/>
                <w:sz w:val="24"/>
              </w:rPr>
              <w:t>5.</w:t>
            </w:r>
          </w:p>
        </w:tc>
        <w:tc>
          <w:tcPr>
            <w:tcW w:w="10025" w:type="dxa"/>
            <w:tcBorders/>
            <w:vAlign w:val="center"/>
          </w:tcPr>
          <w:p>
            <w:pPr>
              <w:pStyle w:val="TableContents"/>
              <w:bidi w:val="0"/>
              <w:spacing w:before="0" w:after="283"/>
              <w:jc w:val="left"/>
              <w:rPr/>
            </w:pPr>
            <w:r>
              <w:rPr>
                <w:rFonts w:ascii="Aptos" w:hAnsi="Aptos"/>
                <w:b/>
                <w:i w:val="false"/>
                <w:caps w:val="false"/>
                <w:smallCaps w:val="false"/>
                <w:sz w:val="24"/>
              </w:rPr>
              <w:t>FACTUAL DIFFERENCE:</w:t>
            </w:r>
            <w:r>
              <w:rPr>
                <w:caps w:val="false"/>
                <w:smallCaps w:val="false"/>
              </w:rPr>
              <w:t> </w:t>
            </w:r>
            <w:r>
              <w:rPr>
                <w:rFonts w:ascii="Aptos" w:hAnsi="Aptos"/>
                <w:b w:val="false"/>
                <w:i w:val="false"/>
                <w:caps w:val="false"/>
                <w:smallCaps w:val="false"/>
                <w:sz w:val="24"/>
              </w:rPr>
              <w:t>Each of the Parties understands and accepts the risk that the facts, pursuant to which this Agreement is entered, may be different from the facts now known or believed by each such Party to be true. This Agreement shall remain, in all respects, effective and shall not be subject to termination or rescission by virtue of any such difference in fact, absent a showing of intentional fraud by any of the Parties in inducing any other Party to enter into this Agreement.</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Aptos" w:hAnsi="Aptos"/>
                <w:sz w:val="24"/>
              </w:rPr>
            </w:pPr>
            <w:r>
              <w:rPr>
                <w:rFonts w:ascii="Aptos" w:hAnsi="Aptos"/>
                <w:sz w:val="24"/>
              </w:rPr>
              <w:t>6.</w:t>
            </w:r>
          </w:p>
        </w:tc>
        <w:tc>
          <w:tcPr>
            <w:tcW w:w="10004" w:type="dxa"/>
            <w:tcBorders/>
            <w:vAlign w:val="center"/>
          </w:tcPr>
          <w:p>
            <w:pPr>
              <w:pStyle w:val="TableContents"/>
              <w:bidi w:val="0"/>
              <w:spacing w:before="0" w:after="283"/>
              <w:jc w:val="left"/>
              <w:rPr/>
            </w:pPr>
            <w:r>
              <w:rPr>
                <w:rFonts w:ascii="Aptos" w:hAnsi="Aptos"/>
                <w:b/>
                <w:i w:val="false"/>
                <w:caps w:val="false"/>
                <w:smallCaps w:val="false"/>
                <w:sz w:val="24"/>
              </w:rPr>
              <w:t>BINDING EFFECT:</w:t>
            </w:r>
            <w:r>
              <w:rPr>
                <w:caps w:val="false"/>
                <w:smallCaps w:val="false"/>
              </w:rPr>
              <w:t> </w:t>
            </w:r>
            <w:r>
              <w:rPr>
                <w:rFonts w:ascii="Aptos" w:hAnsi="Aptos"/>
                <w:b w:val="false"/>
                <w:i w:val="false"/>
                <w:caps w:val="false"/>
                <w:smallCaps w:val="false"/>
                <w:sz w:val="24"/>
              </w:rPr>
              <w:t>This Agreement shall be binding upon and inure to the benefit of the respective heirs, successors, assigns, estates and personal representatives of the Parties.</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Aptos" w:hAnsi="Aptos"/>
                <w:sz w:val="24"/>
              </w:rPr>
            </w:pPr>
            <w:r>
              <w:rPr>
                <w:rFonts w:ascii="Aptos" w:hAnsi="Aptos"/>
                <w:sz w:val="24"/>
              </w:rPr>
              <w:t>7.</w:t>
            </w:r>
          </w:p>
        </w:tc>
        <w:tc>
          <w:tcPr>
            <w:tcW w:w="10022" w:type="dxa"/>
            <w:tcBorders/>
            <w:vAlign w:val="center"/>
          </w:tcPr>
          <w:p>
            <w:pPr>
              <w:pStyle w:val="TableContents"/>
              <w:bidi w:val="0"/>
              <w:spacing w:before="0" w:after="283"/>
              <w:jc w:val="left"/>
              <w:rPr/>
            </w:pPr>
            <w:r>
              <w:rPr>
                <w:rFonts w:ascii="Aptos" w:hAnsi="Aptos"/>
                <w:b/>
                <w:i w:val="false"/>
                <w:caps w:val="false"/>
                <w:smallCaps w:val="false"/>
                <w:sz w:val="24"/>
              </w:rPr>
              <w:t>ENTIRE AGREEMENT: </w:t>
            </w:r>
            <w:r>
              <w:rPr>
                <w:rFonts w:ascii="Aptos" w:hAnsi="Aptos"/>
                <w:b w:val="false"/>
                <w:i w:val="false"/>
                <w:caps w:val="false"/>
                <w:smallCaps w:val="false"/>
                <w:sz w:val="24"/>
              </w:rPr>
              <w:t>This Agreement is entered into by each of the parties without reliance upon any statement, representation, promise, inducement, or agreement not expressly contained within this Agreement. This Agreement constitutes the entire agreement between the Parties and supersedes all prior oral or written agreements concerning termination of the Leases.</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Aptos" w:hAnsi="Aptos"/>
                <w:sz w:val="24"/>
              </w:rPr>
            </w:pPr>
            <w:r>
              <w:rPr>
                <w:rFonts w:ascii="Aptos" w:hAnsi="Aptos"/>
                <w:sz w:val="24"/>
              </w:rPr>
              <w:t>8.</w:t>
            </w:r>
          </w:p>
        </w:tc>
        <w:tc>
          <w:tcPr>
            <w:tcW w:w="10004" w:type="dxa"/>
            <w:tcBorders/>
            <w:vAlign w:val="center"/>
          </w:tcPr>
          <w:p>
            <w:pPr>
              <w:pStyle w:val="TableContents"/>
              <w:bidi w:val="0"/>
              <w:spacing w:before="0" w:after="283"/>
              <w:jc w:val="left"/>
              <w:rPr/>
            </w:pPr>
            <w:r>
              <w:rPr>
                <w:rFonts w:ascii="Aptos" w:hAnsi="Aptos"/>
                <w:b/>
                <w:i w:val="false"/>
                <w:caps w:val="false"/>
                <w:smallCaps w:val="false"/>
                <w:sz w:val="24"/>
              </w:rPr>
              <w:t>MODIFICATIONS:</w:t>
            </w:r>
            <w:r>
              <w:rPr>
                <w:caps w:val="false"/>
                <w:smallCaps w:val="false"/>
              </w:rPr>
              <w:t> </w:t>
            </w:r>
            <w:r>
              <w:rPr>
                <w:rFonts w:ascii="Aptos" w:hAnsi="Aptos"/>
                <w:b w:val="false"/>
                <w:i w:val="false"/>
                <w:caps w:val="false"/>
                <w:smallCaps w:val="false"/>
                <w:sz w:val="24"/>
              </w:rPr>
              <w:t>This Agreement shall not be amended or modified except in a writing signed by each of the Parties affected by such amendment or modification.</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Aptos" w:hAnsi="Aptos"/>
                <w:sz w:val="24"/>
              </w:rPr>
            </w:pPr>
            <w:r>
              <w:rPr>
                <w:rFonts w:ascii="Aptos" w:hAnsi="Aptos"/>
                <w:sz w:val="24"/>
              </w:rPr>
              <w:t>9.</w:t>
            </w:r>
          </w:p>
        </w:tc>
        <w:tc>
          <w:tcPr>
            <w:tcW w:w="10011" w:type="dxa"/>
            <w:tcBorders/>
            <w:vAlign w:val="center"/>
          </w:tcPr>
          <w:p>
            <w:pPr>
              <w:pStyle w:val="TableContents"/>
              <w:bidi w:val="0"/>
              <w:spacing w:before="0" w:after="283"/>
              <w:jc w:val="left"/>
              <w:rPr/>
            </w:pPr>
            <w:r>
              <w:rPr>
                <w:rFonts w:ascii="Aptos" w:hAnsi="Aptos"/>
                <w:b/>
                <w:i w:val="false"/>
                <w:caps w:val="false"/>
                <w:smallCaps w:val="false"/>
                <w:sz w:val="24"/>
              </w:rPr>
              <w:t>ATTORNEYS' FEES:</w:t>
            </w:r>
            <w:r>
              <w:rPr>
                <w:caps w:val="false"/>
                <w:smallCaps w:val="false"/>
              </w:rPr>
              <w:t> </w:t>
            </w:r>
            <w:r>
              <w:rPr>
                <w:rFonts w:ascii="Aptos" w:hAnsi="Aptos"/>
                <w:b w:val="false"/>
                <w:i w:val="false"/>
                <w:caps w:val="false"/>
                <w:smallCaps w:val="false"/>
                <w:sz w:val="24"/>
              </w:rPr>
              <w:t>If any Party takes any steps to enforce or interpret this Agreement, the prevailing party shall be entitled to its reasonable attorneys' fees and costs in addition to any other relief to which it may be entitled.</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Aptos" w:hAnsi="Aptos"/>
                <w:sz w:val="24"/>
              </w:rPr>
            </w:pPr>
            <w:r>
              <w:rPr>
                <w:rFonts w:ascii="Aptos" w:hAnsi="Aptos"/>
                <w:sz w:val="24"/>
              </w:rPr>
              <w:t>10.</w:t>
            </w:r>
          </w:p>
        </w:tc>
        <w:tc>
          <w:tcPr>
            <w:tcW w:w="9878" w:type="dxa"/>
            <w:tcBorders/>
            <w:vAlign w:val="center"/>
          </w:tcPr>
          <w:p>
            <w:pPr>
              <w:pStyle w:val="TableContents"/>
              <w:bidi w:val="0"/>
              <w:spacing w:before="0" w:after="283"/>
              <w:jc w:val="left"/>
              <w:rPr/>
            </w:pPr>
            <w:r>
              <w:rPr>
                <w:rFonts w:ascii="Aptos" w:hAnsi="Aptos"/>
                <w:b/>
                <w:i w:val="false"/>
                <w:caps w:val="false"/>
                <w:smallCaps w:val="false"/>
                <w:sz w:val="24"/>
              </w:rPr>
              <w:t>WARRANTY OF NONASSIGNMENT:</w:t>
            </w:r>
            <w:r>
              <w:rPr>
                <w:caps w:val="false"/>
                <w:smallCaps w:val="false"/>
              </w:rPr>
              <w:t> </w:t>
            </w:r>
            <w:r>
              <w:rPr>
                <w:rFonts w:ascii="Aptos" w:hAnsi="Aptos"/>
                <w:b w:val="false"/>
                <w:i w:val="false"/>
                <w:caps w:val="false"/>
                <w:smallCaps w:val="false"/>
                <w:sz w:val="24"/>
              </w:rPr>
              <w:t>Tenant warrants that it has not actually or purportedly assigned or transferred to any person or entity not a party to this Agreement all or any portion of its rights in connection with the Lease or Premises or any released matter. Tenant agrees to indemnify and hold harmless Landlord from and against any claim, damage, liability, or action arising from any such actual or purported assignment or transfer of claims, including the payment of attorneys' fees and costs actually incurred, whether or not litigation is actually commenced.</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Aptos" w:hAnsi="Aptos"/>
                <w:sz w:val="24"/>
              </w:rPr>
            </w:pPr>
            <w:r>
              <w:rPr>
                <w:rFonts w:ascii="Aptos" w:hAnsi="Aptos"/>
                <w:sz w:val="24"/>
              </w:rPr>
              <w:t>11.</w:t>
            </w:r>
          </w:p>
        </w:tc>
        <w:tc>
          <w:tcPr>
            <w:tcW w:w="9864" w:type="dxa"/>
            <w:tcBorders/>
            <w:vAlign w:val="center"/>
          </w:tcPr>
          <w:p>
            <w:pPr>
              <w:pStyle w:val="TableContents"/>
              <w:bidi w:val="0"/>
              <w:spacing w:before="0" w:after="283"/>
              <w:jc w:val="left"/>
              <w:rPr/>
            </w:pPr>
            <w:r>
              <w:rPr>
                <w:rFonts w:ascii="Aptos" w:hAnsi="Aptos"/>
                <w:b/>
                <w:i w:val="false"/>
                <w:caps w:val="false"/>
                <w:smallCaps w:val="false"/>
                <w:sz w:val="24"/>
              </w:rPr>
              <w:t>NEGOTIATED TRANSACTIONS:</w:t>
            </w:r>
            <w:r>
              <w:rPr>
                <w:caps w:val="false"/>
                <w:smallCaps w:val="false"/>
              </w:rPr>
              <w:t> </w:t>
            </w:r>
            <w:r>
              <w:rPr>
                <w:rFonts w:ascii="Aptos" w:hAnsi="Aptos"/>
                <w:b w:val="false"/>
                <w:i w:val="false"/>
                <w:caps w:val="false"/>
                <w:smallCaps w:val="false"/>
                <w:sz w:val="24"/>
              </w:rPr>
              <w:t>The drafting and negotiation of this Agreement has been participated in by each of the Parties. For all purposes, this Agreement shall be deemed to have been drafted jointly by each of the Parties.</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Aptos" w:hAnsi="Aptos"/>
                <w:sz w:val="24"/>
              </w:rPr>
            </w:pPr>
            <w:r>
              <w:rPr>
                <w:rFonts w:ascii="Aptos" w:hAnsi="Aptos"/>
                <w:sz w:val="24"/>
              </w:rPr>
              <w:t>12.</w:t>
            </w:r>
          </w:p>
        </w:tc>
        <w:tc>
          <w:tcPr>
            <w:tcW w:w="9874" w:type="dxa"/>
            <w:tcBorders/>
            <w:vAlign w:val="center"/>
          </w:tcPr>
          <w:p>
            <w:pPr>
              <w:pStyle w:val="TableContents"/>
              <w:bidi w:val="0"/>
              <w:spacing w:before="0" w:after="283"/>
              <w:jc w:val="left"/>
              <w:rPr/>
            </w:pPr>
            <w:r>
              <w:rPr>
                <w:rFonts w:ascii="Aptos" w:hAnsi="Aptos"/>
                <w:b/>
                <w:i w:val="false"/>
                <w:caps w:val="false"/>
                <w:smallCaps w:val="false"/>
                <w:sz w:val="24"/>
              </w:rPr>
              <w:t>COUNTERPARTS; ELECTRONIC EXECUTION.</w:t>
            </w:r>
            <w:r>
              <w:rPr>
                <w:caps w:val="false"/>
                <w:smallCaps w:val="false"/>
              </w:rPr>
              <w:t xml:space="preserve">  </w:t>
            </w:r>
            <w:r>
              <w:rPr>
                <w:rFonts w:ascii="Aptos" w:hAnsi="Aptos"/>
                <w:b w:val="false"/>
                <w:i w:val="false"/>
                <w:caps w:val="false"/>
                <w:smallCaps w:val="false"/>
                <w:sz w:val="24"/>
              </w:rPr>
              <w:t xml:space="preserve">This Amendment may be executed in any number of counterparts (including facsimile signature pages), each of which need not be fully executed by all parties hereto, but all counterparts hereof, taken together, shall be considered one single instrument as if all parties had executed the same counterpart. Delivery of an executed counterpart of this Amendment by electronic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Aptos" w:hAnsi="Aptos"/>
                <w:b w:val="false"/>
                <w:i w:val="false"/>
                <w:caps w:val="false"/>
                <w:smallCaps w:val="false"/>
                <w:sz w:val="24"/>
              </w:rPr>
            </w:pPr>
            <w:r>
              <w:rPr>
                <w:rFonts w:ascii="Aptos" w:hAnsi="Aptos"/>
                <w:b w:val="false"/>
                <w:i w:val="false"/>
                <w:caps w:val="false"/>
                <w:smallCaps w:val="false"/>
                <w:sz w:val="24"/>
              </w:rPr>
              <w:t>signature, fax or e-mail transmission of signature shall be equally as effective as delivery of a manually executed counterpart of this Amendment.  </w:t>
            </w:r>
          </w:p>
        </w:tc>
      </w:tr>
    </w:tbl>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rFonts w:ascii="Aptos" w:hAnsi="Aptos"/>
                <w:sz w:val="24"/>
              </w:rPr>
            </w:pPr>
            <w:r>
              <w:rPr>
                <w:rFonts w:ascii="Aptos" w:hAnsi="Aptos"/>
                <w:sz w:val="24"/>
              </w:rPr>
              <w:t>13.</w:t>
            </w:r>
          </w:p>
        </w:tc>
        <w:tc>
          <w:tcPr>
            <w:tcW w:w="9841" w:type="dxa"/>
            <w:tcBorders/>
            <w:vAlign w:val="center"/>
          </w:tcPr>
          <w:p>
            <w:pPr>
              <w:pStyle w:val="TableContents"/>
              <w:bidi w:val="0"/>
              <w:spacing w:before="0" w:after="283"/>
              <w:jc w:val="left"/>
              <w:rPr/>
            </w:pPr>
            <w:r>
              <w:rPr>
                <w:rFonts w:ascii="Aptos" w:hAnsi="Aptos"/>
                <w:b/>
                <w:i w:val="false"/>
                <w:caps w:val="false"/>
                <w:smallCaps w:val="false"/>
                <w:sz w:val="24"/>
              </w:rPr>
              <w:t>SUCCESSORS:</w:t>
            </w:r>
            <w:r>
              <w:rPr>
                <w:caps w:val="false"/>
                <w:smallCaps w:val="false"/>
              </w:rPr>
              <w:t> </w:t>
            </w:r>
            <w:r>
              <w:rPr>
                <w:rFonts w:ascii="Aptos" w:hAnsi="Aptos"/>
                <w:b w:val="false"/>
                <w:i w:val="false"/>
                <w:caps w:val="false"/>
                <w:smallCaps w:val="false"/>
                <w:sz w:val="24"/>
              </w:rPr>
              <w:t>This Agreement shall be binding on and inure to the benefit of the Parties and their successors and assigns.</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Aptos" w:hAnsi="Aptos"/>
                <w:sz w:val="24"/>
              </w:rPr>
            </w:pPr>
            <w:r>
              <w:rPr>
                <w:rFonts w:ascii="Aptos" w:hAnsi="Aptos"/>
                <w:sz w:val="24"/>
              </w:rPr>
              <w:t>14.</w:t>
            </w:r>
          </w:p>
        </w:tc>
        <w:tc>
          <w:tcPr>
            <w:tcW w:w="9871" w:type="dxa"/>
            <w:tcBorders/>
            <w:vAlign w:val="center"/>
          </w:tcPr>
          <w:p>
            <w:pPr>
              <w:pStyle w:val="TableContents"/>
              <w:bidi w:val="0"/>
              <w:spacing w:before="0" w:after="283"/>
              <w:jc w:val="left"/>
              <w:rPr/>
            </w:pPr>
            <w:r>
              <w:rPr>
                <w:rFonts w:ascii="Aptos" w:hAnsi="Aptos"/>
                <w:b/>
                <w:i w:val="false"/>
                <w:caps w:val="false"/>
                <w:smallCaps w:val="false"/>
                <w:sz w:val="24"/>
              </w:rPr>
              <w:t>AUTHORITY:</w:t>
            </w:r>
            <w:r>
              <w:rPr>
                <w:caps w:val="false"/>
                <w:smallCaps w:val="false"/>
              </w:rPr>
              <w:t> </w:t>
            </w:r>
            <w:r>
              <w:rPr>
                <w:rFonts w:ascii="Aptos" w:hAnsi="Aptos"/>
                <w:b w:val="false"/>
                <w:i w:val="false"/>
                <w:caps w:val="false"/>
                <w:smallCaps w:val="false"/>
                <w:sz w:val="24"/>
              </w:rPr>
              <w:t>Any person executing this Agreement on behalf of a corporation, partnership or estate warrants that he or she has been duly authorized by such entity or estate to execute this Agreement on its behalf pursuant to duly adopted resolutions, order or the court or some other document or agreement empowering him or her to do so.</w:t>
            </w:r>
          </w:p>
        </w:tc>
      </w:tr>
    </w:tbl>
    <w:p>
      <w:pPr>
        <w:pStyle w:val="TextBody"/>
        <w:bidi w:val="0"/>
        <w:spacing w:lineRule="auto" w:line="331" w:before="0" w:after="160"/>
        <w:ind w:left="0" w:right="0" w:hanging="0"/>
        <w:jc w:val="both"/>
        <w:rPr>
          <w:rFonts w:ascii="Aptos" w:hAnsi="Aptos"/>
          <w:sz w:val="24"/>
        </w:rPr>
      </w:pPr>
      <w:r>
        <w:rPr>
          <w:rFonts w:ascii="Aptos" w:hAnsi="Aptos"/>
          <w:b/>
          <w:sz w:val="24"/>
        </w:rPr>
        <w:t>IN WITNESS WHEREOF,</w:t>
      </w:r>
      <w:r>
        <w:rPr>
          <w:rFonts w:ascii="Aptos" w:hAnsi="Aptos"/>
          <w:sz w:val="24"/>
        </w:rPr>
        <w:t> the Parties have executed this Agreement as of the date first above written.</w:t>
      </w:r>
    </w:p>
    <w:tbl>
      <w:tblPr>
        <w:tblW w:w="6989" w:type="dxa"/>
        <w:jc w:val="left"/>
        <w:tblInd w:w="0" w:type="dxa"/>
        <w:tblLayout w:type="fixed"/>
        <w:tblCellMar>
          <w:top w:w="0" w:type="dxa"/>
          <w:left w:w="0" w:type="dxa"/>
          <w:bottom w:w="0" w:type="dxa"/>
          <w:right w:w="0" w:type="dxa"/>
        </w:tblCellMar>
      </w:tblPr>
      <w:tblGrid>
        <w:gridCol w:w="496"/>
        <w:gridCol w:w="2791"/>
        <w:gridCol w:w="109"/>
        <w:gridCol w:w="109"/>
        <w:gridCol w:w="547"/>
        <w:gridCol w:w="2783"/>
        <w:gridCol w:w="154"/>
      </w:tblGrid>
      <w:tr>
        <w:trPr/>
        <w:tc>
          <w:tcPr>
            <w:tcW w:w="3287" w:type="dxa"/>
            <w:gridSpan w:val="2"/>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330" w:type="dxa"/>
            <w:gridSpan w:val="2"/>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287" w:type="dxa"/>
            <w:gridSpan w:val="2"/>
            <w:tcBorders/>
            <w:vAlign w:val="center"/>
          </w:tcPr>
          <w:p>
            <w:pPr>
              <w:pStyle w:val="TableContents"/>
              <w:bidi w:val="0"/>
              <w:spacing w:lineRule="auto" w:line="285" w:before="0" w:after="0"/>
              <w:ind w:left="0" w:right="0" w:hanging="0"/>
              <w:jc w:val="both"/>
              <w:rPr>
                <w:rFonts w:ascii="Aptos" w:hAnsi="Aptos"/>
                <w:b/>
                <w:sz w:val="24"/>
              </w:rPr>
            </w:pPr>
            <w:r>
              <w:rPr>
                <w:rFonts w:ascii="Aptos" w:hAnsi="Aptos"/>
                <w:b/>
                <w:sz w:val="24"/>
              </w:rPr>
              <w:t>LANDLORD</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30" w:type="dxa"/>
            <w:gridSpan w:val="2"/>
            <w:tcBorders/>
            <w:vAlign w:val="center"/>
          </w:tcPr>
          <w:p>
            <w:pPr>
              <w:pStyle w:val="TableContents"/>
              <w:bidi w:val="0"/>
              <w:spacing w:lineRule="auto" w:line="285" w:before="0" w:after="0"/>
              <w:ind w:left="0" w:right="0" w:hanging="0"/>
              <w:jc w:val="both"/>
              <w:rPr>
                <w:rFonts w:ascii="Aptos" w:hAnsi="Aptos"/>
                <w:b/>
                <w:sz w:val="24"/>
              </w:rPr>
            </w:pPr>
            <w:r>
              <w:rPr>
                <w:rFonts w:ascii="Aptos" w:hAnsi="Aptos"/>
                <w:b/>
                <w:sz w:val="24"/>
              </w:rPr>
              <w:t>TENANT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287" w:type="dxa"/>
            <w:gridSpan w:val="2"/>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30" w:type="dxa"/>
            <w:gridSpan w:val="2"/>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287" w:type="dxa"/>
            <w:gridSpan w:val="2"/>
            <w:tcBorders/>
            <w:vAlign w:val="center"/>
          </w:tcPr>
          <w:p>
            <w:pPr>
              <w:pStyle w:val="TableContents"/>
              <w:bidi w:val="0"/>
              <w:spacing w:lineRule="auto" w:line="285" w:before="0" w:after="0"/>
              <w:ind w:left="0" w:right="0" w:hanging="0"/>
              <w:jc w:val="both"/>
              <w:rPr>
                <w:rFonts w:ascii="Aptos" w:hAnsi="Aptos"/>
                <w:sz w:val="24"/>
              </w:rPr>
            </w:pPr>
            <w:r>
              <w:rPr>
                <w:rFonts w:ascii="Aptos" w:hAnsi="Aptos"/>
                <w:sz w:val="24"/>
              </w:rPr>
              <w:t>Hegan Lane Partnership</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30" w:type="dxa"/>
            <w:gridSpan w:val="2"/>
            <w:tcBorders/>
            <w:vAlign w:val="center"/>
          </w:tcPr>
          <w:p>
            <w:pPr>
              <w:pStyle w:val="TableContents"/>
              <w:bidi w:val="0"/>
              <w:spacing w:lineRule="auto" w:line="285" w:before="0" w:after="0"/>
              <w:ind w:left="0" w:right="0" w:hanging="0"/>
              <w:jc w:val="both"/>
              <w:rPr>
                <w:rFonts w:ascii="Aptos" w:hAnsi="Aptos"/>
                <w:sz w:val="24"/>
              </w:rPr>
            </w:pPr>
            <w:r>
              <w:rPr>
                <w:rFonts w:ascii="Aptos" w:hAnsi="Aptos"/>
                <w:sz w:val="24"/>
              </w:rPr>
              <w:t>Lulu’s Fashion Lounge, LLC</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287" w:type="dxa"/>
            <w:gridSpan w:val="2"/>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30" w:type="dxa"/>
            <w:gridSpan w:val="2"/>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287" w:type="dxa"/>
            <w:gridSpan w:val="2"/>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30" w:type="dxa"/>
            <w:gridSpan w:val="2"/>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96" w:type="dxa"/>
            <w:tcBorders/>
            <w:vAlign w:val="center"/>
          </w:tcPr>
          <w:p>
            <w:pPr>
              <w:pStyle w:val="TableContents"/>
              <w:bidi w:val="0"/>
              <w:spacing w:lineRule="auto" w:line="285" w:before="0" w:after="0"/>
              <w:ind w:left="0" w:right="0" w:hanging="0"/>
              <w:jc w:val="both"/>
              <w:rPr>
                <w:rFonts w:ascii="Aptos" w:hAnsi="Aptos"/>
                <w:sz w:val="24"/>
              </w:rPr>
            </w:pPr>
            <w:r>
              <w:rPr>
                <w:rFonts w:ascii="Aptos" w:hAnsi="Aptos"/>
                <w:sz w:val="24"/>
              </w:rPr>
              <w:t>By:</w:t>
            </w:r>
          </w:p>
        </w:tc>
        <w:tc>
          <w:tcPr>
            <w:tcW w:w="27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/s/ Steven Seidenglanz</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547" w:type="dxa"/>
            <w:tcBorders/>
            <w:vAlign w:val="center"/>
          </w:tcPr>
          <w:p>
            <w:pPr>
              <w:pStyle w:val="TableContents"/>
              <w:bidi w:val="0"/>
              <w:spacing w:lineRule="auto" w:line="285" w:before="0" w:after="0"/>
              <w:ind w:left="0" w:right="0" w:hanging="0"/>
              <w:jc w:val="both"/>
              <w:rPr>
                <w:rFonts w:ascii="Aptos" w:hAnsi="Aptos"/>
                <w:sz w:val="24"/>
              </w:rPr>
            </w:pPr>
            <w:r>
              <w:rPr>
                <w:rFonts w:ascii="Aptos" w:hAnsi="Aptos"/>
                <w:sz w:val="24"/>
              </w:rPr>
              <w:t>By:</w:t>
            </w:r>
          </w:p>
        </w:tc>
        <w:tc>
          <w:tcPr>
            <w:tcW w:w="2783"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ptos" w:hAnsi="Aptos"/>
                <w:sz w:val="24"/>
              </w:rPr>
            </w:pPr>
            <w:r>
              <w:rPr>
                <w:rFonts w:ascii="Aptos" w:hAnsi="Aptos"/>
                <w:sz w:val="24"/>
              </w:rPr>
              <w:t>/s/ Crystal Landsem</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496" w:type="dxa"/>
            <w:tcBorders/>
            <w:vAlign w:val="center"/>
          </w:tcPr>
          <w:p>
            <w:pPr>
              <w:pStyle w:val="TableContents"/>
              <w:bidi w:val="0"/>
              <w:spacing w:lineRule="auto" w:line="285" w:before="0" w:after="0"/>
              <w:ind w:left="0" w:right="0" w:hanging="0"/>
              <w:jc w:val="both"/>
              <w:rPr>
                <w:rFonts w:ascii="Aptos" w:hAnsi="Aptos"/>
                <w:sz w:val="24"/>
              </w:rPr>
            </w:pPr>
            <w:r>
              <w:rPr>
                <w:rFonts w:ascii="Aptos" w:hAnsi="Aptos"/>
                <w:sz w:val="24"/>
              </w:rPr>
              <w:t>Its:</w:t>
            </w:r>
          </w:p>
        </w:tc>
        <w:tc>
          <w:tcPr>
            <w:tcW w:w="279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Managing Partner</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547" w:type="dxa"/>
            <w:tcBorders/>
            <w:vAlign w:val="center"/>
          </w:tcPr>
          <w:p>
            <w:pPr>
              <w:pStyle w:val="TableContents"/>
              <w:bidi w:val="0"/>
              <w:spacing w:lineRule="auto" w:line="285" w:before="0" w:after="0"/>
              <w:ind w:left="0" w:right="0" w:hanging="0"/>
              <w:jc w:val="both"/>
              <w:rPr>
                <w:rFonts w:ascii="Aptos" w:hAnsi="Aptos"/>
                <w:sz w:val="24"/>
              </w:rPr>
            </w:pPr>
            <w:r>
              <w:rPr>
                <w:rFonts w:ascii="Aptos" w:hAnsi="Aptos"/>
                <w:sz w:val="24"/>
              </w:rPr>
              <w:t>Its:</w:t>
            </w:r>
          </w:p>
        </w:tc>
        <w:tc>
          <w:tcPr>
            <w:tcW w:w="2783"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both"/>
              <w:rPr>
                <w:rFonts w:ascii="Aptos" w:hAnsi="Aptos"/>
                <w:sz w:val="24"/>
              </w:rPr>
            </w:pPr>
            <w:r>
              <w:rPr>
                <w:rFonts w:ascii="Aptos" w:hAnsi="Aptos"/>
                <w:sz w:val="24"/>
              </w:rPr>
              <w:t>CEO</w:t>
            </w:r>
          </w:p>
        </w:tc>
        <w:tc>
          <w:tcPr>
            <w:tcW w:w="154" w:type="dxa"/>
            <w:tcBorders/>
            <w:vAlign w:val="center"/>
          </w:tcPr>
          <w:p>
            <w:pPr>
              <w:pStyle w:val="TableContents"/>
              <w:bidi w:val="0"/>
              <w:spacing w:lineRule="auto" w:line="285" w:before="0" w:after="0"/>
              <w:ind w:left="0" w:right="0" w:hanging="0"/>
              <w:jc w:val="both"/>
              <w:rPr/>
            </w:pPr>
            <w:r>
              <w:rPr/>
              <w:t>​</w:t>
            </w:r>
          </w:p>
        </w:tc>
      </w:tr>
      <w:tr>
        <w:trPr/>
        <w:tc>
          <w:tcPr>
            <w:tcW w:w="3287" w:type="dxa"/>
            <w:gridSpan w:val="2"/>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285" w:before="0" w:after="0"/>
              <w:ind w:left="0" w:right="0" w:hanging="0"/>
              <w:jc w:val="both"/>
              <w:rPr/>
            </w:pPr>
            <w:r>
              <w:rPr/>
              <w:t>​</w:t>
            </w:r>
          </w:p>
        </w:tc>
        <w:tc>
          <w:tcPr>
            <w:tcW w:w="3330" w:type="dxa"/>
            <w:gridSpan w:val="2"/>
            <w:tcBorders/>
            <w:vAlign w:val="center"/>
          </w:tcPr>
          <w:p>
            <w:pPr>
              <w:pStyle w:val="TableContents"/>
              <w:bidi w:val="0"/>
              <w:spacing w:lineRule="auto" w:line="285" w:before="0" w:after="0"/>
              <w:ind w:left="0" w:right="0" w:hanging="0"/>
              <w:jc w:val="both"/>
              <w:rPr/>
            </w:pPr>
            <w:r>
              <w:rPr/>
              <w:t>​</w:t>
            </w:r>
          </w:p>
        </w:tc>
        <w:tc>
          <w:tcPr>
            <w:tcW w:w="154" w:type="dxa"/>
            <w:tcBorders/>
            <w:vAlign w:val="center"/>
          </w:tcPr>
          <w:p>
            <w:pPr>
              <w:pStyle w:val="TableContents"/>
              <w:bidi w:val="0"/>
              <w:spacing w:lineRule="auto" w:line="285" w:before="0" w:after="0"/>
              <w:ind w:left="0" w:right="0" w:hanging="0"/>
              <w:jc w:val="both"/>
              <w:rPr/>
            </w:pPr>
            <w:r>
              <w:rPr/>
              <w:t>​</w:t>
            </w:r>
          </w:p>
        </w:tc>
      </w:tr>
    </w:tbl>
    <w:p>
      <w:pPr>
        <w:pStyle w:val="TextBody"/>
        <w:bidi w:val="0"/>
        <w:spacing w:lineRule="auto" w:line="331" w:before="0" w:after="160"/>
        <w:ind w:left="0" w:right="0" w:hanging="0"/>
        <w:jc w:val="left"/>
        <w:rPr/>
      </w:pPr>
      <w:r>
        <w:rPr/>
        <w:t>​</w:t>
      </w:r>
    </w:p>
    <w:p>
      <w:pPr>
        <w:pStyle w:val="TextBody"/>
        <w:bidi w:val="0"/>
        <w:spacing w:lineRule="auto" w:line="331" w:before="0" w:after="160"/>
        <w:ind w:left="36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center"/>
        <w:rPr>
          <w:rFonts w:ascii="Aptos" w:hAnsi="Aptos"/>
          <w:b/>
          <w:sz w:val="24"/>
        </w:rPr>
      </w:pPr>
      <w:r>
        <w:rPr>
          <w:rFonts w:ascii="Aptos" w:hAnsi="Aptos"/>
          <w:b/>
          <w:sz w:val="24"/>
        </w:rPr>
        <w:t>Exhibit A</w:t>
      </w:r>
    </w:p>
    <w:tbl>
      <w:tblPr>
        <w:tblW w:w="10205" w:type="dxa"/>
        <w:jc w:val="left"/>
        <w:tblInd w:w="0" w:type="dxa"/>
        <w:tblLayout w:type="fixed"/>
        <w:tblCellMar>
          <w:top w:w="30" w:type="dxa"/>
          <w:left w:w="37" w:type="dxa"/>
          <w:bottom w:w="30" w:type="dxa"/>
          <w:right w:w="37" w:type="dxa"/>
        </w:tblCellMar>
      </w:tblPr>
      <w:tblGrid>
        <w:gridCol w:w="3303"/>
        <w:gridCol w:w="968"/>
        <w:gridCol w:w="5934"/>
      </w:tblGrid>
      <w:tr>
        <w:trPr/>
        <w:tc>
          <w:tcPr>
            <w:tcW w:w="3303" w:type="dxa"/>
            <w:tcBorders>
              <w:top w:val="single" w:sz="2" w:space="0" w:color="CCCCCC"/>
              <w:left w:val="single" w:sz="2" w:space="0" w:color="CCCCCC"/>
              <w:bottom w:val="single" w:sz="2" w:space="0" w:color="CCCCCC"/>
              <w:right w:val="single" w:sz="2" w:space="0" w:color="CCCCCC"/>
            </w:tcBorders>
            <w:shd w:fill="D0D0D0" w:val="clear"/>
            <w:vAlign w:val="center"/>
          </w:tcPr>
          <w:p>
            <w:pPr>
              <w:pStyle w:val="TableContents"/>
              <w:bidi w:val="0"/>
              <w:spacing w:lineRule="auto" w:line="285" w:before="0" w:after="0"/>
              <w:ind w:left="0" w:right="0" w:hanging="0"/>
              <w:jc w:val="left"/>
              <w:rPr>
                <w:rFonts w:ascii="Aptos" w:hAnsi="Aptos"/>
                <w:b/>
                <w:sz w:val="22"/>
              </w:rPr>
            </w:pPr>
            <w:r>
              <w:rPr>
                <w:rFonts w:ascii="Aptos" w:hAnsi="Aptos"/>
                <w:b/>
                <w:sz w:val="22"/>
              </w:rPr>
              <w:t>Equipment/Item</w:t>
            </w:r>
          </w:p>
        </w:tc>
        <w:tc>
          <w:tcPr>
            <w:tcW w:w="968" w:type="dxa"/>
            <w:tcBorders>
              <w:top w:val="single" w:sz="2" w:space="0" w:color="CCCCCC"/>
              <w:left w:val="single" w:sz="2" w:space="0" w:color="CCCCCC"/>
              <w:bottom w:val="single" w:sz="2" w:space="0" w:color="CCCCCC"/>
              <w:right w:val="single" w:sz="2" w:space="0" w:color="CCCCCC"/>
            </w:tcBorders>
            <w:shd w:fill="D0D0D0" w:val="clear"/>
            <w:vAlign w:val="center"/>
          </w:tcPr>
          <w:p>
            <w:pPr>
              <w:pStyle w:val="TableContents"/>
              <w:bidi w:val="0"/>
              <w:spacing w:lineRule="auto" w:line="285" w:before="0" w:after="0"/>
              <w:ind w:left="0" w:right="0" w:hanging="0"/>
              <w:jc w:val="left"/>
              <w:rPr>
                <w:rFonts w:ascii="Aptos" w:hAnsi="Aptos"/>
                <w:b/>
                <w:sz w:val="22"/>
              </w:rPr>
            </w:pPr>
            <w:r>
              <w:rPr>
                <w:rFonts w:ascii="Aptos" w:hAnsi="Aptos"/>
                <w:b/>
                <w:sz w:val="22"/>
              </w:rPr>
              <w:t>QTY</w:t>
            </w:r>
          </w:p>
        </w:tc>
        <w:tc>
          <w:tcPr>
            <w:tcW w:w="5934" w:type="dxa"/>
            <w:tcBorders>
              <w:top w:val="single" w:sz="2" w:space="0" w:color="CCCCCC"/>
              <w:left w:val="single" w:sz="2" w:space="0" w:color="CCCCCC"/>
              <w:bottom w:val="single" w:sz="2" w:space="0" w:color="CCCCCC"/>
              <w:right w:val="single" w:sz="2" w:space="0" w:color="CCCCCC"/>
            </w:tcBorders>
            <w:shd w:fill="D0D0D0" w:val="clear"/>
            <w:vAlign w:val="center"/>
          </w:tcPr>
          <w:p>
            <w:pPr>
              <w:pStyle w:val="TableContents"/>
              <w:bidi w:val="0"/>
              <w:spacing w:lineRule="auto" w:line="285" w:before="0" w:after="0"/>
              <w:ind w:left="0" w:right="0" w:hanging="0"/>
              <w:jc w:val="left"/>
              <w:rPr>
                <w:rFonts w:ascii="Aptos" w:hAnsi="Aptos"/>
                <w:b/>
                <w:sz w:val="22"/>
              </w:rPr>
            </w:pPr>
            <w:r>
              <w:rPr>
                <w:rFonts w:ascii="Aptos" w:hAnsi="Aptos"/>
                <w:b/>
                <w:sz w:val="22"/>
              </w:rPr>
              <w:t>Notes</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8 Foot Racks</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404</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8 foot Height by 8 foot Length by 4 foot depth. 6 level with wire grates</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24 Foot Racks</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134</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24 foot Height by 8 foot Length by 4 foot depth.</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Conveyance system</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1</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Custom built by box logix automation BL7048 model</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Big Ass Fans</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9</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Industrial Ceiling Fans (4 - 20 foot, 2 - 24 foot, 3 - 18 foot)</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Forklift and Charging Unit</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1</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Raymond Model - 4460C40TT - 400 key hours</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Trash Compactor Unit</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1</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Marathon RJ225 Dock level Stationary Compactor</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Ice Machine</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1</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Manitowoc Ice IYT0500A/D570 550 lb Indigo NXT™ Half Cube Ice Machine w/ Bin - 532 lb Storage, Air Cooled, 115v</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Office Desk</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28</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Desk, white, 63x31 1/2 "</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Office Chairs</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60</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Black multiple models</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Office File Cabinets</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15</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Black Office 3 drawer file cabinets</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 xml:space="preserve">8x8 6 levle 2ft depth industrial racks </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27</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 xml:space="preserve">5 level unline ladders </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20</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AirScubbers</w:t>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right"/>
              <w:rPr>
                <w:rFonts w:ascii="Aptos" w:hAnsi="Aptos"/>
                <w:sz w:val="22"/>
              </w:rPr>
            </w:pPr>
            <w:r>
              <w:rPr>
                <w:rFonts w:ascii="Aptos" w:hAnsi="Aptos"/>
                <w:sz w:val="22"/>
              </w:rPr>
              <w:t>8</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lineRule="auto" w:line="285" w:before="0" w:after="0"/>
              <w:ind w:left="0" w:right="0" w:hanging="0"/>
              <w:jc w:val="left"/>
              <w:rPr>
                <w:rFonts w:ascii="Aptos" w:hAnsi="Aptos"/>
                <w:sz w:val="22"/>
              </w:rPr>
            </w:pPr>
            <w:r>
              <w:rPr>
                <w:rFonts w:ascii="Aptos" w:hAnsi="Aptos"/>
                <w:sz w:val="22"/>
              </w:rPr>
              <w:t>HEPA-AIRE Model H2KM</w:t>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c>
          <w:tcPr>
            <w:tcW w:w="968"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shd w:fill="B7B7B7" w:val="clear"/>
            <w:vAlign w:val="center"/>
          </w:tcPr>
          <w:p>
            <w:pPr>
              <w:pStyle w:val="TableContents"/>
              <w:bidi w:val="0"/>
              <w:spacing w:lineRule="auto" w:line="285" w:before="0" w:after="0"/>
              <w:ind w:left="0" w:right="0" w:hanging="0"/>
              <w:jc w:val="left"/>
              <w:rPr>
                <w:rFonts w:ascii="Aptos" w:hAnsi="Aptos"/>
                <w:b/>
                <w:sz w:val="20"/>
              </w:rPr>
            </w:pPr>
            <w:r>
              <w:rPr>
                <w:rFonts w:ascii="Aptos" w:hAnsi="Aptos"/>
                <w:b/>
                <w:sz w:val="20"/>
              </w:rPr>
              <w:t>Racking Details</w:t>
            </w:r>
          </w:p>
        </w:tc>
        <w:tc>
          <w:tcPr>
            <w:tcW w:w="968" w:type="dxa"/>
            <w:tcBorders>
              <w:top w:val="single" w:sz="2" w:space="0" w:color="CCCCCC"/>
              <w:left w:val="single" w:sz="2" w:space="0" w:color="CCCCCC"/>
              <w:bottom w:val="single" w:sz="2" w:space="0" w:color="CCCCCC"/>
              <w:right w:val="single" w:sz="2" w:space="0" w:color="CCCCCC"/>
            </w:tcBorders>
            <w:shd w:fill="B7B7B7" w:val="clear"/>
            <w:vAlign w:val="center"/>
          </w:tcPr>
          <w:p>
            <w:pPr>
              <w:pStyle w:val="TableContents"/>
              <w:bidi w:val="0"/>
              <w:spacing w:before="0" w:after="283"/>
              <w:ind w:left="0" w:right="0" w:hanging="0"/>
              <w:jc w:val="left"/>
              <w:rPr>
                <w:sz w:val="4"/>
                <w:szCs w:val="4"/>
              </w:rPr>
            </w:pPr>
            <w:r>
              <w:rPr>
                <w:sz w:val="4"/>
                <w:szCs w:val="4"/>
              </w:rPr>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shd w:fill="EFEFEF" w:val="clear"/>
            <w:vAlign w:val="center"/>
          </w:tcPr>
          <w:p>
            <w:pPr>
              <w:pStyle w:val="TableContents"/>
              <w:bidi w:val="0"/>
              <w:spacing w:lineRule="auto" w:line="285" w:before="0" w:after="0"/>
              <w:ind w:left="0" w:right="0" w:hanging="0"/>
              <w:jc w:val="left"/>
              <w:rPr>
                <w:rFonts w:ascii="Aptos" w:hAnsi="Aptos"/>
                <w:sz w:val="20"/>
              </w:rPr>
            </w:pPr>
            <w:r>
              <w:rPr>
                <w:rFonts w:ascii="Aptos" w:hAnsi="Aptos"/>
                <w:sz w:val="20"/>
              </w:rPr>
              <w:t>Part</w:t>
            </w:r>
          </w:p>
        </w:tc>
        <w:tc>
          <w:tcPr>
            <w:tcW w:w="968" w:type="dxa"/>
            <w:tcBorders>
              <w:top w:val="single" w:sz="2" w:space="0" w:color="CCCCCC"/>
              <w:left w:val="single" w:sz="2" w:space="0" w:color="CCCCCC"/>
              <w:bottom w:val="single" w:sz="2" w:space="0" w:color="CCCCCC"/>
              <w:right w:val="single" w:sz="2" w:space="0" w:color="CCCCCC"/>
            </w:tcBorders>
            <w:shd w:fill="EFEFEF" w:val="clear"/>
            <w:vAlign w:val="center"/>
          </w:tcPr>
          <w:p>
            <w:pPr>
              <w:pStyle w:val="TableContents"/>
              <w:bidi w:val="0"/>
              <w:spacing w:lineRule="auto" w:line="285" w:before="0" w:after="0"/>
              <w:ind w:left="0" w:right="0" w:hanging="0"/>
              <w:jc w:val="left"/>
              <w:rPr>
                <w:rFonts w:ascii="Aptos" w:hAnsi="Aptos"/>
                <w:sz w:val="20"/>
              </w:rPr>
            </w:pPr>
            <w:r>
              <w:rPr>
                <w:rFonts w:ascii="Aptos" w:hAnsi="Aptos"/>
                <w:sz w:val="20"/>
              </w:rPr>
              <w:t xml:space="preserve">Quantity </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"I" Series Frame 3" x 3" x 14Ga 48" x 288"</w:t>
              <w:br/>
              <w:t>P2 Bracing</w:t>
              <w:br/>
              <w:t>FOOT PLATE - 5" X 8" X .375 5/8" Holes (4) 1" Edge</w:t>
            </w:r>
          </w:p>
        </w:tc>
        <w:tc>
          <w:tcPr>
            <w:tcW w:w="968"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right"/>
              <w:rPr>
                <w:rFonts w:ascii="Aptos" w:hAnsi="Aptos"/>
                <w:sz w:val="24"/>
              </w:rPr>
            </w:pPr>
            <w:r>
              <w:rPr>
                <w:rFonts w:ascii="Aptos" w:hAnsi="Aptos"/>
                <w:sz w:val="24"/>
              </w:rPr>
              <w:t>148</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"I" Series Step Beam 3 -3/4" x 16Ga 96"</w:t>
              <w:br/>
              <w:t>1-5/8" Step</w:t>
              <w:br/>
              <w:t>(2) C5 3 Pin Interchange Connector Standard Drop</w:t>
            </w:r>
          </w:p>
        </w:tc>
        <w:tc>
          <w:tcPr>
            <w:tcW w:w="968"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285" w:before="0" w:after="0"/>
              <w:ind w:left="0" w:right="0" w:hanging="0"/>
              <w:jc w:val="right"/>
              <w:rPr>
                <w:rFonts w:ascii="Aptos" w:hAnsi="Aptos"/>
                <w:sz w:val="24"/>
              </w:rPr>
            </w:pPr>
            <w:r>
              <w:rPr>
                <w:rFonts w:ascii="Aptos" w:hAnsi="Aptos"/>
                <w:sz w:val="24"/>
              </w:rPr>
              <w:t>2128</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3303"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"I" Series Frame 3" x 1-5/8" x 14Ga 48" x 96"</w:t>
              <w:br/>
              <w:t>​</w:t>
            </w:r>
          </w:p>
        </w:tc>
        <w:tc>
          <w:tcPr>
            <w:tcW w:w="968"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right"/>
              <w:rPr>
                <w:rFonts w:ascii="Aptos" w:hAnsi="Aptos"/>
                <w:sz w:val="24"/>
              </w:rPr>
            </w:pPr>
            <w:r>
              <w:rPr>
                <w:rFonts w:ascii="Aptos" w:hAnsi="Aptos"/>
                <w:sz w:val="24"/>
              </w:rPr>
              <w:t>440</w:t>
            </w:r>
          </w:p>
        </w:tc>
        <w:tc>
          <w:tcPr>
            <w:tcW w:w="593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7041" w:type="dxa"/>
        <w:jc w:val="left"/>
        <w:tblInd w:w="0" w:type="dxa"/>
        <w:tblLayout w:type="fixed"/>
        <w:tblCellMar>
          <w:top w:w="30" w:type="dxa"/>
          <w:left w:w="37" w:type="dxa"/>
          <w:bottom w:w="30" w:type="dxa"/>
          <w:right w:w="37" w:type="dxa"/>
        </w:tblCellMar>
      </w:tblPr>
      <w:tblGrid>
        <w:gridCol w:w="6181"/>
        <w:gridCol w:w="706"/>
        <w:gridCol w:w="154"/>
      </w:tblGrid>
      <w:tr>
        <w:trPr/>
        <w:tc>
          <w:tcPr>
            <w:tcW w:w="6181"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P2 Bracing;</w:t>
              <w:br/>
              <w:t>3/8" x 5" x 8" Foot Plate</w:t>
            </w:r>
          </w:p>
        </w:tc>
        <w:tc>
          <w:tcPr>
            <w:tcW w:w="706"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before="0" w:after="283"/>
              <w:ind w:left="0" w:right="0" w:hanging="0"/>
              <w:jc w:val="left"/>
              <w:rPr>
                <w:sz w:val="4"/>
                <w:szCs w:val="4"/>
              </w:rPr>
            </w:pPr>
            <w:r>
              <w:rPr>
                <w:sz w:val="4"/>
                <w:szCs w:val="4"/>
              </w:rPr>
            </w:r>
          </w:p>
        </w:tc>
        <w:tc>
          <w:tcPr>
            <w:tcW w:w="15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6181"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"I" Series Step Beam 2 -1/2" x 16Ga 96"</w:t>
              <w:br/>
              <w:t>1-5/8" Step</w:t>
              <w:br/>
              <w:t>(2) C5 3 Pin Interchange Connector Standard Drop</w:t>
            </w:r>
          </w:p>
        </w:tc>
        <w:tc>
          <w:tcPr>
            <w:tcW w:w="706" w:type="dxa"/>
            <w:tcBorders>
              <w:top w:val="single" w:sz="2" w:space="0" w:color="CCCCCC"/>
              <w:left w:val="single" w:sz="2" w:space="0" w:color="CCCCCC"/>
              <w:bottom w:val="single" w:sz="2" w:space="0" w:color="CCCCCC"/>
              <w:right w:val="single" w:sz="2" w:space="0" w:color="CCCCCC"/>
            </w:tcBorders>
            <w:shd w:fill="FFFFFF" w:val="clear"/>
            <w:vAlign w:val="center"/>
          </w:tcPr>
          <w:p>
            <w:pPr>
              <w:pStyle w:val="TableContents"/>
              <w:bidi w:val="0"/>
              <w:spacing w:lineRule="auto" w:line="285" w:before="0" w:after="0"/>
              <w:ind w:left="0" w:right="0" w:hanging="0"/>
              <w:jc w:val="right"/>
              <w:rPr>
                <w:rFonts w:ascii="Aptos" w:hAnsi="Aptos"/>
                <w:sz w:val="24"/>
              </w:rPr>
            </w:pPr>
            <w:r>
              <w:rPr>
                <w:rFonts w:ascii="Aptos" w:hAnsi="Aptos"/>
                <w:sz w:val="24"/>
              </w:rPr>
              <w:t>4040</w:t>
            </w:r>
          </w:p>
        </w:tc>
        <w:tc>
          <w:tcPr>
            <w:tcW w:w="15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6181"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48" Dbl Rack End Row Guard</w:t>
              <w:br/>
              <w:t>6" x 4" x 1/2" Angle</w:t>
              <w:br/>
              <w:t>12" Pipe</w:t>
            </w:r>
          </w:p>
        </w:tc>
        <w:tc>
          <w:tcPr>
            <w:tcW w:w="706"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right"/>
              <w:rPr>
                <w:rFonts w:ascii="Aptos" w:hAnsi="Aptos"/>
                <w:sz w:val="24"/>
              </w:rPr>
            </w:pPr>
            <w:r>
              <w:rPr>
                <w:rFonts w:ascii="Aptos" w:hAnsi="Aptos"/>
                <w:sz w:val="24"/>
              </w:rPr>
              <w:t>24</w:t>
            </w:r>
          </w:p>
        </w:tc>
        <w:tc>
          <w:tcPr>
            <w:tcW w:w="15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ind w:left="0" w:right="0" w:hanging="0"/>
              <w:jc w:val="left"/>
              <w:rPr>
                <w:sz w:val="4"/>
                <w:szCs w:val="4"/>
              </w:rPr>
            </w:pPr>
            <w:r>
              <w:rPr>
                <w:sz w:val="4"/>
                <w:szCs w:val="4"/>
              </w:rPr>
            </w:r>
          </w:p>
        </w:tc>
      </w:tr>
      <w:tr>
        <w:trPr/>
        <w:tc>
          <w:tcPr>
            <w:tcW w:w="6181"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left"/>
              <w:rPr>
                <w:rFonts w:ascii="Aptos" w:hAnsi="Aptos"/>
                <w:sz w:val="24"/>
              </w:rPr>
            </w:pPr>
            <w:r>
              <w:rPr>
                <w:rFonts w:ascii="Aptos" w:hAnsi="Aptos"/>
                <w:sz w:val="24"/>
              </w:rPr>
              <w:t>48" deep x 46" wide</w:t>
              <w:br/>
              <w:t>2.5" x 4" mesh, 6 ga wire</w:t>
              <w:br/>
              <w:t>3 step channels (16ga), 1.5" waterfall</w:t>
              <w:br/>
              <w:t>1500 lbs cap (UDL)</w:t>
            </w:r>
          </w:p>
        </w:tc>
        <w:tc>
          <w:tcPr>
            <w:tcW w:w="706" w:type="dxa"/>
            <w:tcBorders>
              <w:top w:val="single" w:sz="2" w:space="0" w:color="CCCCCC"/>
              <w:left w:val="single" w:sz="2" w:space="0" w:color="CCCCCC"/>
              <w:bottom w:val="single" w:sz="2" w:space="0" w:color="CCCCCC"/>
              <w:right w:val="single" w:sz="2" w:space="0" w:color="CCCCCC"/>
            </w:tcBorders>
            <w:shd w:fill="D9D9D9" w:val="clear"/>
            <w:vAlign w:val="center"/>
          </w:tcPr>
          <w:p>
            <w:pPr>
              <w:pStyle w:val="TableContents"/>
              <w:bidi w:val="0"/>
              <w:spacing w:lineRule="auto" w:line="285" w:before="0" w:after="0"/>
              <w:ind w:left="0" w:right="0" w:hanging="0"/>
              <w:jc w:val="right"/>
              <w:rPr>
                <w:rFonts w:ascii="Aptos" w:hAnsi="Aptos"/>
                <w:sz w:val="24"/>
              </w:rPr>
            </w:pPr>
            <w:r>
              <w:rPr>
                <w:rFonts w:ascii="Aptos" w:hAnsi="Aptos"/>
                <w:sz w:val="24"/>
              </w:rPr>
              <w:t>6168</w:t>
            </w:r>
          </w:p>
        </w:tc>
        <w:tc>
          <w:tcPr>
            <w:tcW w:w="154" w:type="dxa"/>
            <w:tcBorders>
              <w:top w:val="single" w:sz="2" w:space="0" w:color="CCCCCC"/>
              <w:left w:val="single" w:sz="2" w:space="0" w:color="CCCCCC"/>
              <w:bottom w:val="single" w:sz="2" w:space="0" w:color="CCCCCC"/>
              <w:right w:val="single" w:sz="2" w:space="0" w:color="CCCCCC"/>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07" w:name="tmb-20250330xex31d1.htm"/>
      <w:bookmarkStart w:id="908" w:name="kstmb20250330xex31d1"/>
      <w:bookmarkEnd w:id="907"/>
      <w:bookmarkEnd w:id="908"/>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762" w:type="dxa"/>
        <w:jc w:val="center"/>
        <w:tblInd w:w="0" w:type="dxa"/>
        <w:tblLayout w:type="fixed"/>
        <w:tblCellMar>
          <w:top w:w="0" w:type="dxa"/>
          <w:left w:w="0" w:type="dxa"/>
          <w:bottom w:w="0" w:type="dxa"/>
          <w:right w:w="0" w:type="dxa"/>
        </w:tblCellMar>
      </w:tblPr>
      <w:tblGrid>
        <w:gridCol w:w="1741"/>
        <w:gridCol w:w="109"/>
        <w:gridCol w:w="406"/>
        <w:gridCol w:w="250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105535" cy="175260"/>
                      <wp:effectExtent l="0" t="0" r="0" b="0"/>
                      <wp:wrapNone/>
                      <wp:docPr id="244" name="Frame242"/>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591945" cy="175260"/>
                      <wp:effectExtent l="0" t="0" r="0" b="0"/>
                      <wp:wrapNone/>
                      <wp:docPr id="246" name="Frame244"/>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09" w:name="tmb-20250330xex31d2.htm"/>
      <w:bookmarkStart w:id="910" w:name="kstmb20250330xex31d2"/>
      <w:bookmarkEnd w:id="909"/>
      <w:bookmarkEnd w:id="910"/>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Tiffany R. Smith,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127" w:type="dxa"/>
        <w:jc w:val="left"/>
        <w:tblInd w:w="0" w:type="dxa"/>
        <w:tblLayout w:type="fixed"/>
        <w:tblCellMar>
          <w:top w:w="0" w:type="dxa"/>
          <w:left w:w="0" w:type="dxa"/>
          <w:bottom w:w="0" w:type="dxa"/>
          <w:right w:w="0" w:type="dxa"/>
        </w:tblCellMar>
      </w:tblPr>
      <w:tblGrid>
        <w:gridCol w:w="1741"/>
        <w:gridCol w:w="109"/>
        <w:gridCol w:w="406"/>
        <w:gridCol w:w="38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105535" cy="175260"/>
                      <wp:effectExtent l="0" t="0" r="0" b="0"/>
                      <wp:wrapNone/>
                      <wp:docPr id="247" name="Frame24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458085" cy="175260"/>
                      <wp:effectExtent l="0" t="0" r="0" b="0"/>
                      <wp:wrapNone/>
                      <wp:docPr id="249" name="Frame24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11" w:name="tmb-20250330xex32d1.htm"/>
      <w:bookmarkStart w:id="912" w:name="kstmb20250330xex32d1"/>
      <w:bookmarkEnd w:id="911"/>
      <w:bookmarkEnd w:id="912"/>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March 30, 2025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762" w:type="dxa"/>
        <w:jc w:val="center"/>
        <w:tblInd w:w="0" w:type="dxa"/>
        <w:tblLayout w:type="fixed"/>
        <w:tblCellMar>
          <w:top w:w="0" w:type="dxa"/>
          <w:left w:w="0" w:type="dxa"/>
          <w:bottom w:w="0" w:type="dxa"/>
          <w:right w:w="0" w:type="dxa"/>
        </w:tblCellMar>
      </w:tblPr>
      <w:tblGrid>
        <w:gridCol w:w="1741"/>
        <w:gridCol w:w="109"/>
        <w:gridCol w:w="406"/>
        <w:gridCol w:w="250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105535" cy="175260"/>
                      <wp:effectExtent l="0" t="0" r="0" b="0"/>
                      <wp:wrapNone/>
                      <wp:docPr id="250" name="Frame248"/>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91945" cy="175260"/>
                      <wp:effectExtent l="0" t="0" r="0" b="0"/>
                      <wp:wrapNone/>
                      <wp:docPr id="252" name="Frame250"/>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13" w:name="tmb-20250330xex32d2.htm"/>
      <w:bookmarkStart w:id="914" w:name="kstmb20250330xex32d2"/>
      <w:bookmarkEnd w:id="913"/>
      <w:bookmarkEnd w:id="914"/>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March 30, 2025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127" w:type="dxa"/>
        <w:jc w:val="center"/>
        <w:tblInd w:w="0" w:type="dxa"/>
        <w:tblLayout w:type="fixed"/>
        <w:tblCellMar>
          <w:top w:w="0" w:type="dxa"/>
          <w:left w:w="0" w:type="dxa"/>
          <w:bottom w:w="0" w:type="dxa"/>
          <w:right w:w="0" w:type="dxa"/>
        </w:tblCellMar>
      </w:tblPr>
      <w:tblGrid>
        <w:gridCol w:w="1741"/>
        <w:gridCol w:w="109"/>
        <w:gridCol w:w="406"/>
        <w:gridCol w:w="38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105535" cy="175260"/>
                      <wp:effectExtent l="0" t="0" r="0" b="0"/>
                      <wp:wrapNone/>
                      <wp:docPr id="253" name="Frame25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458085" cy="175260"/>
                      <wp:effectExtent l="0" t="0" r="0" b="0"/>
                      <wp:wrapNone/>
                      <wp:docPr id="255" name="Frame25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2025</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ermina Demi">
    <w:charset w:val="01"/>
    <w:family w:val="auto"/>
    <w:pitch w:val="default"/>
  </w:font>
  <w:font w:name="Poppins SemiBold">
    <w:charset w:val="01"/>
    <w:family w:val="auto"/>
    <w:pitch w:val="default"/>
  </w:font>
  <w:font w:name="Poppins">
    <w:charset w:val="01"/>
    <w:family w:val="auto"/>
    <w:pitch w:val="default"/>
  </w:font>
  <w:font w:name="Helvetica">
    <w:altName w:val="Arial"/>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0201/000155837025003845/tmb-20241229xex10d36.htm" TargetMode="External"/><Relationship Id="rId4" Type="http://schemas.openxmlformats.org/officeDocument/2006/relationships/hyperlink" Target="https://www.sec.gov/Archives/edgar/data/1780201/000155837025003845/tmb-20241229xex10d36.htm" TargetMode="External"/><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26097</Words>
  <Characters>142653</Characters>
  <CharactersWithSpaces>169615</CharactersWithSpaces>
  <Paragraphs>4482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