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420" w:right="920" w:hanging="3410"/>
        <w:spacing w:after="0" w:line="328" w:lineRule="auto"/>
        <w:tabs>
          <w:tab w:leader="none" w:pos="50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28,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20" w:hanging="510"/>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6" w:lineRule="exact"/>
        <w:rPr>
          <w:rFonts w:ascii="MS PGothic" w:cs="MS PGothic" w:eastAsia="MS PGothic" w:hAnsi="MS PGothic"/>
          <w:sz w:val="18"/>
          <w:szCs w:val="18"/>
          <w:color w:val="auto"/>
          <w:highlight w:val="black"/>
        </w:rPr>
      </w:pPr>
    </w:p>
    <w:p>
      <w:pPr>
        <w:ind w:left="21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17"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1"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20-8442468</w:t>
            </w:r>
          </w:p>
        </w:tc>
      </w:tr>
      <w:tr>
        <w:trPr>
          <w:trHeight w:val="135"/>
        </w:trPr>
        <w:tc>
          <w:tcPr>
            <w:tcW w:w="3880" w:type="dxa"/>
            <w:vAlign w:val="bottom"/>
          </w:tcPr>
          <w:p>
            <w:pPr>
              <w:jc w:val="center"/>
              <w:ind w:right="170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780" w:type="dxa"/>
            <w:vAlign w:val="bottom"/>
          </w:tcPr>
          <w:p>
            <w:pPr>
              <w:jc w:val="center"/>
              <w:ind w:left="17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33"/>
        </w:trPr>
        <w:tc>
          <w:tcPr>
            <w:tcW w:w="3880" w:type="dxa"/>
            <w:vAlign w:val="bottom"/>
          </w:tcPr>
          <w:p>
            <w:pPr>
              <w:jc w:val="center"/>
              <w:ind w:right="170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780" w:type="dxa"/>
            <w:vAlign w:val="bottom"/>
          </w:tcPr>
          <w:p>
            <w:pPr>
              <w:jc w:val="center"/>
              <w:ind w:left="1706"/>
              <w:spacing w:after="0" w:line="133"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16"/>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w w:val="98"/>
              </w:rPr>
              <w:t>195 Humboldt Avenue</w:t>
            </w:r>
          </w:p>
        </w:tc>
        <w:tc>
          <w:tcPr>
            <w:tcW w:w="2780" w:type="dxa"/>
            <w:vAlign w:val="bottom"/>
          </w:tcPr>
          <w:p>
            <w:pPr>
              <w:spacing w:after="0"/>
              <w:rPr>
                <w:sz w:val="18"/>
                <w:szCs w:val="18"/>
                <w:color w:val="auto"/>
              </w:rPr>
            </w:pPr>
          </w:p>
        </w:tc>
      </w:t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Chico, California</w:t>
            </w:r>
          </w:p>
        </w:tc>
        <w:tc>
          <w:tcPr>
            <w:tcW w:w="278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95928</w:t>
            </w:r>
          </w:p>
        </w:tc>
      </w:tr>
      <w:tr>
        <w:trPr>
          <w:trHeight w:val="166"/>
        </w:trPr>
        <w:tc>
          <w:tcPr>
            <w:tcW w:w="388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520" w:type="dxa"/>
            <w:vAlign w:val="bottom"/>
            <w:tcBorders>
              <w:top w:val="single" w:sz="8" w:color="auto"/>
              <w:left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right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95"/>
        </w:trPr>
        <w:tc>
          <w:tcPr>
            <w:tcW w:w="3520" w:type="dxa"/>
            <w:vAlign w:val="bottom"/>
            <w:tcBorders>
              <w:left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520" w:type="dxa"/>
            <w:vAlign w:val="bottom"/>
            <w:tcBorders>
              <w:bottom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213"/>
        </w:trPr>
        <w:tc>
          <w:tcPr>
            <w:tcW w:w="3520" w:type="dxa"/>
            <w:vAlign w:val="bottom"/>
          </w:tcPr>
          <w:p>
            <w:pPr>
              <w:spacing w:after="0"/>
              <w:rPr>
                <w:sz w:val="18"/>
                <w:szCs w:val="18"/>
                <w:color w:val="auto"/>
              </w:rPr>
            </w:pP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tc>
        <w:tc>
          <w:tcPr>
            <w:tcW w:w="3560" w:type="dxa"/>
            <w:vAlign w:val="bottom"/>
          </w:tcPr>
          <w:p>
            <w:pPr>
              <w:spacing w:after="0"/>
              <w:rPr>
                <w:sz w:val="18"/>
                <w:szCs w:val="18"/>
                <w:color w:val="auto"/>
              </w:rPr>
            </w:pPr>
          </w:p>
        </w:tc>
      </w:tr>
      <w:tr>
        <w:trPr>
          <w:trHeight w:val="174"/>
        </w:trPr>
        <w:tc>
          <w:tcPr>
            <w:tcW w:w="3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6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rPr>
              <w:t>None.</w:t>
            </w:r>
          </w:p>
        </w:tc>
        <w:tc>
          <w:tcPr>
            <w:tcW w:w="3560" w:type="dxa"/>
            <w:vAlign w:val="bottom"/>
          </w:tcPr>
          <w:p>
            <w:pPr>
              <w:spacing w:after="0"/>
              <w:rPr>
                <w:sz w:val="15"/>
                <w:szCs w:val="15"/>
                <w:color w:val="auto"/>
              </w:rPr>
            </w:pPr>
          </w:p>
        </w:tc>
      </w:tr>
    </w:tbl>
    <w:p>
      <w:pPr>
        <w:spacing w:after="0" w:line="92" w:lineRule="exact"/>
        <w:rPr>
          <w:sz w:val="24"/>
          <w:szCs w:val="24"/>
          <w:color w:val="auto"/>
        </w:rPr>
      </w:pPr>
    </w:p>
    <w:p>
      <w:pPr>
        <w:ind w:left="20" w:right="2880"/>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80"/>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Accelerated filer</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20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1" w:lineRule="exact"/>
        <w:rPr>
          <w:sz w:val="24"/>
          <w:szCs w:val="24"/>
          <w:color w:val="auto"/>
        </w:rPr>
      </w:pPr>
    </w:p>
    <w:p>
      <w:pPr>
        <w:ind w:left="20" w:right="20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6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left="20" w:right="480"/>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left="20" w:right="320"/>
        <w:spacing w:after="0" w:line="238" w:lineRule="auto"/>
        <w:rPr>
          <w:sz w:val="20"/>
          <w:szCs w:val="20"/>
          <w:color w:val="auto"/>
        </w:rPr>
      </w:pPr>
      <w:r>
        <w:rPr>
          <w:rFonts w:ascii="Times New Roman" w:cs="Times New Roman" w:eastAsia="Times New Roman" w:hAnsi="Times New Roman"/>
          <w:sz w:val="13"/>
          <w:szCs w:val="13"/>
          <w:color w:val="auto"/>
        </w:rPr>
        <w:t>At June 27, 2025, the last business day of the registrant’s most recently completed second fiscal quarter, the aggregate market value of the common stock of the registrant held by non-affiliates was approximately $2.9 million based on the closing price of the common stock on such date.</w:t>
      </w:r>
    </w:p>
    <w:p>
      <w:pPr>
        <w:spacing w:after="0" w:line="1" w:lineRule="exact"/>
        <w:rPr>
          <w:sz w:val="24"/>
          <w:szCs w:val="24"/>
          <w:color w:val="auto"/>
        </w:rPr>
      </w:pPr>
    </w:p>
    <w:p>
      <w:pPr>
        <w:ind w:left="20" w:right="220"/>
        <w:spacing w:after="0" w:line="255" w:lineRule="auto"/>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27, 2026, was 2,856,939. The foregoing reflects the reverse stock split of the registrant’s common stock that became effective as of the opening of business on July 7, 2025.</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0" w:lineRule="exact"/>
        <w:rPr>
          <w:sz w:val="24"/>
          <w:szCs w:val="24"/>
          <w:color w:val="auto"/>
        </w:rPr>
      </w:pPr>
    </w:p>
    <w:p>
      <w:pPr>
        <w:ind w:left="20" w:right="200"/>
        <w:spacing w:after="0" w:line="32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594360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80" w:type="dxa"/>
            <w:vAlign w:val="bottom"/>
            <w:gridSpan w:val="1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6"/>
              </w:rPr>
              <w:t>Part 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460" w:type="dxa"/>
            <w:vAlign w:val="bottom"/>
            <w:tcBorders>
              <w:bottom w:val="single" w:sz="8" w:color="0000EE"/>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2"/>
              </w:rPr>
              <w:t>1A.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6"/>
              </w:rPr>
              <w:t>1B.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1C</w:t>
            </w:r>
            <w:r>
              <w:rPr>
                <w:rFonts w:ascii="Times New Roman" w:cs="Times New Roman" w:eastAsia="Times New Roman" w:hAnsi="Times New Roman"/>
                <w:sz w:val="18"/>
                <w:szCs w:val="18"/>
                <w:color w:val="000000"/>
              </w:rPr>
              <w:t>.</w:t>
            </w:r>
          </w:p>
        </w:tc>
        <w:tc>
          <w:tcPr>
            <w:tcW w:w="848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0000EE"/>
              </w:rPr>
              <w:t>Cybersecurity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tcBorders>
              <w:top w:val="single" w:sz="8" w:color="0000EE"/>
            </w:tcBorders>
            <w:gridSpan w:val="3"/>
          </w:tcPr>
          <w:p>
            <w:pPr>
              <w:spacing w:after="0"/>
              <w:rPr>
                <w:sz w:val="18"/>
                <w:szCs w:val="18"/>
                <w:color w:val="auto"/>
              </w:rPr>
            </w:pPr>
          </w:p>
        </w:tc>
        <w:tc>
          <w:tcPr>
            <w:tcW w:w="7320" w:type="dxa"/>
            <w:vAlign w:val="bottom"/>
            <w:gridSpan w:val="1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000" w:type="dxa"/>
            <w:vAlign w:val="bottom"/>
            <w:gridSpan w:val="1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56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3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660" w:type="dxa"/>
            <w:vAlign w:val="bottom"/>
            <w:gridSpan w:val="2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8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2"/>
              </w:rPr>
              <w:t>7A.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06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86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82"/>
              </w:rPr>
              <w:t>9A.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56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9B.</w:t>
            </w:r>
          </w:p>
        </w:tc>
        <w:tc>
          <w:tcPr>
            <w:tcW w:w="848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0000EE"/>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9C.</w:t>
            </w:r>
          </w:p>
        </w:tc>
        <w:tc>
          <w:tcPr>
            <w:tcW w:w="848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20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04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288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548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3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520" w:type="dxa"/>
            <w:vAlign w:val="bottom"/>
            <w:tcBorders>
              <w:top w:val="single" w:sz="8" w:color="0000EE"/>
            </w:tcBorders>
            <w:gridSpan w:val="5"/>
          </w:tcPr>
          <w:p>
            <w:pPr>
              <w:spacing w:after="0"/>
              <w:rPr>
                <w:sz w:val="18"/>
                <w:szCs w:val="18"/>
                <w:color w:val="auto"/>
              </w:rPr>
            </w:pPr>
          </w:p>
        </w:tc>
        <w:tc>
          <w:tcPr>
            <w:tcW w:w="526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898"/>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top w:val="single" w:sz="8" w:color="0000EE"/>
            </w:tcBorders>
            <w:gridSpan w:val="5"/>
          </w:tcPr>
          <w:p>
            <w:pPr>
              <w:spacing w:after="0"/>
              <w:rPr>
                <w:sz w:val="24"/>
                <w:szCs w:val="24"/>
                <w:color w:val="auto"/>
              </w:rPr>
            </w:pPr>
          </w:p>
        </w:tc>
        <w:tc>
          <w:tcPr>
            <w:tcW w:w="3380" w:type="dxa"/>
            <w:vAlign w:val="bottom"/>
            <w:gridSpan w:val="1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Annual Report on Form 10-K to the terms “Lulus,” “we,” “us,” “our,” or the “Company” refer to Lulu’s Fashion Lounge Holdings, Inc. and its consolidated subsidiaries.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 week year when the fourth quarter will be 14 weeks. References herein to “fiscal 2025” and/or “2025” relate to the year ended December 28, 2025, “fiscal 2024” and/or “2024” relate to the year ended December 29, 2024 and “fiscal 2023” and/or “2023” relate to the year ended December 31, 2023. The fiscal years ended December 28, 2025, December 29, 2024 and December 31, 2023 consisted of 52 weeks.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Throughout this Annual Report on Form 10-K,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Annual Report on Form 10-K, we also reference Adjusted EBITDA, </w:t>
      </w:r>
      <w:r>
        <w:rPr>
          <w:rFonts w:ascii="Times New Roman" w:cs="Times New Roman" w:eastAsia="Times New Roman" w:hAnsi="Times New Roman"/>
          <w:sz w:val="18"/>
          <w:szCs w:val="18"/>
          <w:color w:val="212529"/>
        </w:rPr>
        <w:t>Adjusted EBITDA Margin and Free Cash Flow</w:t>
      </w:r>
      <w:r>
        <w:rPr>
          <w:rFonts w:ascii="Times New Roman" w:cs="Times New Roman" w:eastAsia="Times New Roman" w:hAnsi="Times New Roman"/>
          <w:sz w:val="18"/>
          <w:szCs w:val="18"/>
          <w:color w:val="auto"/>
        </w:rPr>
        <w:t xml:space="preserve"> which are non-GAAP (generally accepted accounting principles in the United States of America) financial measure. See “Management’s Discussion and Analysis of Financial Condition and Results of Operations—Non-GAAP Financial Measures” for a discussion of Adjusted EBITDA, </w:t>
      </w:r>
      <w:r>
        <w:rPr>
          <w:rFonts w:ascii="Times New Roman" w:cs="Times New Roman" w:eastAsia="Times New Roman" w:hAnsi="Times New Roman"/>
          <w:sz w:val="18"/>
          <w:szCs w:val="18"/>
          <w:color w:val="212529"/>
        </w:rPr>
        <w:t>Adjusted EBITDA Margin and Free Cash Flow as well as a reconciliation of net</w:t>
      </w:r>
      <w:r>
        <w:rPr>
          <w:rFonts w:ascii="Times New Roman" w:cs="Times New Roman" w:eastAsia="Times New Roman" w:hAnsi="Times New Roman"/>
          <w:sz w:val="18"/>
          <w:szCs w:val="18"/>
          <w:color w:val="auto"/>
        </w:rPr>
        <w:t xml:space="preserve"> loss </w:t>
      </w:r>
      <w:r>
        <w:rPr>
          <w:rFonts w:ascii="Times New Roman" w:cs="Times New Roman" w:eastAsia="Times New Roman" w:hAnsi="Times New Roman"/>
          <w:sz w:val="18"/>
          <w:szCs w:val="18"/>
          <w:color w:val="212529"/>
        </w:rPr>
        <w:t>to Adjusted EBITDA 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reconciliation to non-GAAP Free Cash Flow from net cash provided by operating activities</w:t>
      </w:r>
      <w:r>
        <w:rPr>
          <w:rFonts w:ascii="Times New Roman" w:cs="Times New Roman" w:eastAsia="Times New Roman" w:hAnsi="Times New Roman"/>
          <w:sz w:val="18"/>
          <w:szCs w:val="18"/>
          <w:color w:val="000000"/>
        </w:rPr>
        <w:t>. Net loss is the most directly comparable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financial measure to Adjusted EBITDA </w:t>
      </w:r>
      <w:r>
        <w:rPr>
          <w:rFonts w:ascii="Times New Roman" w:cs="Times New Roman" w:eastAsia="Times New Roman" w:hAnsi="Times New Roman"/>
          <w:sz w:val="18"/>
          <w:szCs w:val="18"/>
          <w:color w:val="212529"/>
        </w:rPr>
        <w:t>and net cash provided by operating activities is the most directly comparable financial measure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to Free Cash Flow, </w:t>
      </w:r>
      <w:r>
        <w:rPr>
          <w:rFonts w:ascii="Times New Roman" w:cs="Times New Roman" w:eastAsia="Times New Roman" w:hAnsi="Times New Roman"/>
          <w:sz w:val="18"/>
          <w:szCs w:val="18"/>
          <w:color w:val="000000"/>
        </w:rPr>
        <w:t>required by, or presented in accordance with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ind w:left="680" w:right="2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a strong community around the Lulus brand with engaged customers and influencers;</w:t>
      </w: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anticipate, identify, measure, and respond quickly to new and rapidly changing fashion trends, customer preferences and demands, and other factors;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drive traffic to our platform;</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key operating metrics are subject to inherent challenges;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influencers, affiliate marketing, email, SMS, podcast advertisements, promotional partnerships and direct mail may adversely impact our brand and reputation or subject us to fines or other penalties;</w:t>
      </w: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connecting with our target customer base through effective marketing channels, it could have a material adverse effect on our business;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forecast income and appropriately plan our expenses;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provide high-quality customer support or have significant changes to policies and/or services, third party or otherwise, it could have a material adverse effect on our business;</w:t>
      </w: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regulation, including increases in tariff rates and the imposition of additional tariffs, could increase our costs and adversely impact our business;</w:t>
      </w: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growing portion of our revenue is derived from wholesale partners, and changes in our relationships with, or the loss of, wholesale partners could adversely impact our financial condition and results of operations;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seasonality, which could result in fluctuations in our results of operations;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borrowings, and we may incur additional indebtedness in the future;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growth strategy will largely depend on our ability to manage the unique challenges presented by international markets;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the highly competitive retail apparel industry;</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consumer discretionary spending and may be adversely affected by economic downturns and other macroeconomic conditions or trends;</w:t>
      </w: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successfully maintain our desired merchandise assortment or manage our inventory effectively, we may be unable to attract a sufficient number of customers or sell sufficient quantities of our merchandise;</w:t>
      </w:r>
    </w:p>
    <w:p>
      <w:pPr>
        <w:jc w:val="both"/>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merchandise on a timely basis at competitive prices could suffer as a result of any deterioration or change in our supplier relationships or events and regulations that adversely affect our suppliers or their ability to obtain financing for their operations;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returns and damages could harm our business;</w:t>
      </w:r>
    </w:p>
    <w:p>
      <w:pPr>
        <w:spacing w:after="0" w:line="9" w:lineRule="exact"/>
        <w:rPr>
          <w:rFonts w:ascii="Times New Roman" w:cs="Times New Roman" w:eastAsia="Times New Roman" w:hAnsi="Times New Roman"/>
          <w:sz w:val="18"/>
          <w:szCs w:val="18"/>
          <w:color w:val="auto"/>
        </w:rPr>
      </w:pPr>
    </w:p>
    <w:p>
      <w:pPr>
        <w:jc w:val="both"/>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technology and systems to support our supply chain, payments, financial reporting and other key aspects of our business;</w:t>
      </w:r>
    </w:p>
    <w:p>
      <w:pPr>
        <w:jc w:val="both"/>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email, SMS and other messaging services, and any restrictions on the sending of emails or messages or an inability to timely or successfully deliver such communications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technology based on artificial intelligence presents risks;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and warehousing;</w:t>
      </w: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distribution facilities and disruptions to the operations at these locations could have a material adverse effect on our business, financial condition, cash flows, and results of operations;</w:t>
      </w: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distributors, and other suppliers, and they may not continue to produce products or provide services that are consistent with our standards or applicable regulatory requirements;</w:t>
      </w:r>
    </w:p>
    <w:p>
      <w:pPr>
        <w:ind w:left="680" w:hanging="321"/>
        <w:spacing w:after="0" w:line="26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third-party suppliers and manufacturers are based in China, which exposes us to risks inherent in doing business there;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left="680" w:right="20" w:hanging="321"/>
        <w:spacing w:after="0" w:line="257"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increasing the number of direct sourcing relationships with manufacturers overseas, but because our experience with direct sourcing is still relatively limited, we may be exposed to unforeseen risks that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independent third-party transportation providers for substantially all of our merchandise;</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current laws, rules and regulations or changes to such laws, rules and regulations and other legal uncertainties may adversely affect our business, financial performance, results of operations or business growth;</w:t>
      </w: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trademarks or other intellectual property rights;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comply with applicable laws, including a failure to use acceptable labor practices, or if our suppliers suffer disruptions in their businesses, we could suffer adverse business consequences;</w:t>
      </w: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including employment laws and laws related to our merchandise, could make conducting our business more expensive or otherwise cause us to change the way we do business;</w:t>
      </w:r>
    </w:p>
    <w:p>
      <w:pPr>
        <w:ind w:left="680" w:right="2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business growth and this capital might not be available or may be available only by diluting existing stockholders;</w:t>
      </w: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meet the Nasdaq Capital Market’s continued listing requirements and other Nasdaq rules, or we may risk delisting;</w:t>
      </w: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stock price will fluctuate significantly;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 material disruption to our business as a result of activist stockholders or others;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sellers of our stock may be manipulative and may drive down the market price of our common stock;</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market price and trading volume could decline if securities or industry analysts do not publish research or publish inaccurate or unfavorable research about our business;</w:t>
      </w:r>
    </w:p>
    <w:p>
      <w:pPr>
        <w:ind w:left="680" w:right="2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2024 Stock Repurchase Program will enhance long-term stockholder value and stock repurchases could increase the volatility of the trading price of our stock and could diminish our cash reserves;</w:t>
      </w: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significantly affect our financial results or financial condition;</w:t>
      </w: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goodwill impairment charges in the past, and may incur goodwill or intangible asset impairment charges again in the future;</w:t>
      </w:r>
    </w:p>
    <w:p>
      <w:pPr>
        <w:ind w:left="680" w:right="2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claims made against us from time to time that can result in litigation that could distract management from our business activities and result in significant liability or damage to our brand; and</w:t>
      </w: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personnel.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Lulus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focused on building authentic personal relationships with our customers and offering them coveted products they cannot purchase elsewhere. We incorporate the pulse of the consumer by engaging with her through reviews, feedback and one-on-one interactions with our style advisors, fit experts and bridal concierge across the web, social media, and the Lulus’ mobile app. Customers express their love for our brand on social media and by word-of-mouth (both in-person and online). We strive to provide opportunities for the customer to have an in-person connection with our products and the brand, through wholesale accounts with department stores and other brick and mortar retailers and in-person events.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key differentiator of our business model from traditional fashion retail is our use of data to optimize almost all elements of our business. Nowhere is this more pronounced than in our product creation and curation cycle. Traditional merchandising approaches are risky and capital intensive, characterized by extended in-house design cycles, seasonal assortment decisions, deep buys, limited customer feedback, and high markdowns. Unlike traditional retailers, we leverage a “test, learn, and reorder” strategy to bringing new products to market almost every week; we test them in small batches, learn about customer demand and then quickly reorder winning products in higher volume to optimize profitability. This strategy allows us to rapidly convert new products into profitable sales on a consistent and repeatable basis while minimizing fashion and trend risk.</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Customer-Driven Fashion Brand: </w:t>
      </w:r>
      <w:r>
        <w:rPr>
          <w:rFonts w:ascii="Times New Roman" w:cs="Times New Roman" w:eastAsia="Times New Roman" w:hAnsi="Times New Roman"/>
          <w:sz w:val="18"/>
          <w:szCs w:val="18"/>
          <w:color w:val="auto"/>
        </w:rPr>
        <w:t>Lulus is one of the first digitally-native fashion brands in the United States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serving Gen Z and Millennial women. We take pride in our ability to offer more luxurious fabrics and incorporate elevated stylistic details into our products relative to what is offered by other comparably-priced brands. Our obsessive focus on customer experience creates deep personal connections, which in turn rewards us with customer loyalty and word-of-mouth sharing of the brand.</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Customer-Centric Experience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passionate about building a brand synonymous with exceptional customer service.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effectively brought the boutique experience online, developing one-on-one relationships with our customers in order to learn and then address their individual needs. Our customers value Lulus for our personalized fit and styling assistance from our live customer assistance when additional advice is required beyond that of our popular automated fit analyst tool. Further, we are able to offer standardized sizing across the Lulus assortment, simplifying the shopping experience and giving our customer confidence that she is selecting the best fit.</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Data to Best Serve our Customer: </w:t>
      </w:r>
      <w:r>
        <w:rPr>
          <w:rFonts w:ascii="Times New Roman" w:cs="Times New Roman" w:eastAsia="Times New Roman" w:hAnsi="Times New Roman"/>
          <w:sz w:val="18"/>
          <w:szCs w:val="18"/>
          <w:color w:val="auto"/>
        </w:rPr>
        <w:t>We have built a massive dataset which gives us strong insight into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 of customers have interacted with us, leaving detailed reviews, interacting with our on-demand Style Advisors, Fit Experts, and Bridal Concierge, and completing checkout surveys. Across Facebook, Instagram, Pinterest, Snapchat, TikTok, X, Threads, and YouTube, our over 8.9 million followers engage with us through their comments, feedback, photographs, and support of our brand. In aggregate, this data set gives us the ability to understand our customers’ preferences.</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Engagement Strategy: </w:t>
      </w:r>
      <w:r>
        <w:rPr>
          <w:rFonts w:ascii="Times New Roman" w:cs="Times New Roman" w:eastAsia="Times New Roman" w:hAnsi="Times New Roman"/>
          <w:sz w:val="18"/>
          <w:szCs w:val="18"/>
          <w:color w:val="auto"/>
        </w:rPr>
        <w:t>We strive to engage with our customer where she is, in authentic and personalized 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website, mobile app, email, SMS, social media and in-person connections. This strategy helps drive brand awareness while fostering deep connections with our customers. Our brand ambassador partnerships span a broad range of audience sizes and engagement levels, including nano- and micro-influencers, college ambassadors, and celebrity partners, all of whom are selected based on alignment with our brand and product offering.</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Data-Driven Product Creation Strategy: </w:t>
      </w:r>
      <w:r>
        <w:rPr>
          <w:rFonts w:ascii="Times New Roman" w:cs="Times New Roman" w:eastAsia="Times New Roman" w:hAnsi="Times New Roman"/>
          <w:sz w:val="18"/>
          <w:szCs w:val="18"/>
          <w:color w:val="auto"/>
        </w:rPr>
        <w:t>Our innovative product creation strategy leverages the power of our proprietary data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“test, learn, and reorder” approach to bring new styles online almost every weekday. We are highly focused on optimization of inventory levels to meet customer demand and minimize markdowns. This efficient, data-driven process, coupled with human insight, allows us to respond to fashion trends with speed and precision while significantly reducing risk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marketing strategy leverages our strong visual brand presence to build awareness and drive engagement with our large, diverse community of loyal customers. We integrate the power of data across multiple channels to offer a singular brand voice that speaks to Gen Z and Millennial women. We seek to meet the Lulus customer wherever she is, enabling her discovery of the brand and providing her opportunities to interact with others in the Lulus community. Through this engagement with our customers, we strive to build personal connections that are authentic and durable. We attract and engage customers through a combination of owned, earned and paid media.</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attracting a new or existing customer to our website or mobile experience, we seek to maximize conversion through a variety of strategies:</w:t>
      </w:r>
    </w:p>
    <w:p>
      <w:pPr>
        <w:spacing w:after="0" w:line="160" w:lineRule="exact"/>
        <w:rPr>
          <w:sz w:val="20"/>
          <w:szCs w:val="20"/>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Strength and Exclusivity: </w:t>
      </w:r>
      <w:r>
        <w:rPr>
          <w:rFonts w:ascii="Times New Roman" w:cs="Times New Roman" w:eastAsia="Times New Roman" w:hAnsi="Times New Roman"/>
          <w:sz w:val="18"/>
          <w:szCs w:val="18"/>
          <w:color w:val="auto"/>
        </w:rPr>
        <w:t>Rooted in our primarily digital-first approach, our brand's strength thrives on a profound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the Lulus customer. This focus empowers us to curate exclusive collections perfectly suited for all of her life's moments. Our frequently updated catalog further enhances this experience, enabling customers to discover products that align with their needs, including our exclusive Lulus products.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Reviews: </w:t>
      </w:r>
      <w:r>
        <w:rPr>
          <w:rFonts w:ascii="Times New Roman" w:cs="Times New Roman" w:eastAsia="Times New Roman" w:hAnsi="Times New Roman"/>
          <w:sz w:val="18"/>
          <w:szCs w:val="18"/>
          <w:color w:val="auto"/>
        </w:rPr>
        <w:t>One of the most important aspects of our digital shopping experience is our extensive database of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product reviews, which we first enabled in 2012 and now amounts to over one million reviews. Our website has the functionality to allow customers to upload their own product photos along with their reviews, which bring the products to life on a diverse array of body types.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Boutique Styling Experience: </w:t>
      </w:r>
      <w:r>
        <w:rPr>
          <w:rFonts w:ascii="Times New Roman" w:cs="Times New Roman" w:eastAsia="Times New Roman" w:hAnsi="Times New Roman"/>
          <w:sz w:val="18"/>
          <w:szCs w:val="18"/>
          <w:color w:val="auto"/>
        </w:rPr>
        <w:t>We strive to offer exceptional customer service before, during, and after each purchase.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accomplish this by continuously improving the boutique experience on our platform through features such as our product recommendation engine, targeted messaging, and with our in-house team of customer service associates who maintain deep expertise of our brand, products, and systems.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Personalized and Optimized Shopping Experience</w:t>
      </w:r>
      <w:r>
        <w:rPr>
          <w:rFonts w:ascii="Times New Roman" w:cs="Times New Roman" w:eastAsia="Times New Roman" w:hAnsi="Times New Roman"/>
          <w:sz w:val="18"/>
          <w:szCs w:val="18"/>
          <w:color w:val="auto"/>
        </w:rPr>
        <w:t>: We customize and personalize our interactions with each Lulus customer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information such as how they arrive on our site, on-site behavior, and what they buy. Our customer insights, predictive capabilities, product recommendations, and custom-built website work seamlessly together to offer customers a personalized experience across desktop, mobile web, our mobile app, email, and SMS.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strategies work in unison to help drive order conversion. Whether they are browsing social media or providing feedback on a recent purchase, we engage with our customers across a multitude of touchpoints throughout the discovery and purchase journey.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mass market appeal of our brand, we believe there is a significant opportunity to bring new customers into the Lulus community through increased brand awareness. We intend to grow awareness of the Lulus brand and attract new customers through the following strategies:</w:t>
      </w:r>
    </w:p>
    <w:p>
      <w:pPr>
        <w:spacing w:after="0" w:line="176"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investment in top-of-funnel marketing to boost brand visibility and attract new audiences.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engagement through key wholesale collaborations, introducing Lulus to new customers, showcasing our product and expanding our retail presence.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performance-driven digital marketing strategies to maximize reach and efficiency.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engaging on-site experiences to improve customer interaction and drive conversions.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marketing channels to reach untapped audiences.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ambassador program to deepen engagement and amplify brand stories.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through loyalty programs, customer reviews, and social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influencer partnerships through a more focused and efficient approach to reach and engage diverse audiences.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 activations and events around key cultural moments to increase awareness and engagement.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 strategic brand partnerships to capture new audiences, engage partner communities, and create memorable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and Retain Existing Customer Relationships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 large Lulus community of 2.3 million Active Customers as of December 28, 2025. We continue to leverage data-driven customer insights to try to develop strong customer relationships and become a one-stop shop for Gen Z and Millennial women. For example, we have had success leveraging data-driven insights across categories to offer personalized suggestions and reminders at targeted points in time, and we are focused on expanding these capabilities to provide enhanced real-time recommendations and post-purchase engagement. Additionally, we continually develop and evaluate new tools and programs designed to improve the key customer metrics that drive our business, such as frequency of purchase and Average Order Value (“AOV”) through the following strategies:</w:t>
      </w:r>
    </w:p>
    <w:p>
      <w:pPr>
        <w:spacing w:after="0" w:line="187"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our website and mobile experience through continued A/B and multivariate testing;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customer segmentation and personalization features;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multi-region distribution facilities to offer faster order delivery and developing new shipping options;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Love Rewards® loyalty program, to engender even deeper brand engagement, drive repeat purchase behavior and increase wallet share;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customer service through the expansion of our style advisors, fit experts, and bridal concierge dedicated to creating a truly personalized boutique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our brand positioning as a women’s clothing brand offering modern, feminine styles at accessible prices for every occasion;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new technology that enhances our customers’ experience.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learned that enhancing our existing customers’ experience drives increased word-of-mouth (in-person and online) recommendations, which in turn helps grow brand awareness. We leverage artificial intelligence (“AI”) and machine learning among other technologies to enhance customer experiences, including personalization, optimized marketing, improved product recommendations, and streamlined customer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Customer Expansion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there is great potential to expand our customer base and drive growth within our existing core categories by focusing on, among other things, product size, fit, and construction. We remain focused on actively repositioning our casual wear and footwear categories and continuing to prioritize assortment optimization and strengthening our presence as a key destination for event dressing. Our engagement with potential and existing customers through product reviews, exit surveys, social media, and in-person feedback helps us understand the products they are most interested in shopping for, as well as those that could be improved. Our product development strategy enables us to test our assortment with minimal upfront investment and risk and gives us the ability to leverage our existing categories to attract new customers and drive repeat orders.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w:t>
      </w:r>
      <w:r>
        <w:rPr>
          <w:rFonts w:ascii="Times New Roman" w:cs="Times New Roman" w:eastAsia="Times New Roman" w:hAnsi="Times New Roman"/>
          <w:sz w:val="18"/>
          <w:szCs w:val="18"/>
          <w:b w:val="1"/>
          <w:bCs w:val="1"/>
          <w:i w:val="1"/>
          <w:iCs w:val="1"/>
          <w:color w:val="D13438"/>
        </w:rPr>
        <w:t>​</w:t>
      </w:r>
      <w:r>
        <w:rPr>
          <w:rFonts w:ascii="Times New Roman" w:cs="Times New Roman" w:eastAsia="Times New Roman" w:hAnsi="Times New Roman"/>
          <w:sz w:val="18"/>
          <w:szCs w:val="18"/>
          <w:b w:val="1"/>
          <w:bCs w:val="1"/>
          <w:i w:val="1"/>
          <w:iCs w:val="1"/>
          <w:color w:val="auto"/>
        </w:rPr>
        <w:t xml:space="preserve"> our Channel Reach through Wholesale Partnerships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brand primarily operates direct-to-consumer, and while we expect that it will continue to operate in that manner as we continue to grow, we are focusing on channel expansion and wholesale initiatives to further build brand awareness, expand our reach and attract new customers. Lulus successfully launched in all Nordstrom stores across the U.S. in early 2026, and we intend to continue growing our successful wholesale initiatives with partners such as Dillard’s, Urban Outfitters, Amazon, Victoria’s Secret, and more. Lulus’ wholesale business grew 144% year-over-year from fiscal 2024 to 2025, and we believe there is continued opportunity to build partnerships that create mutual long-term value, expand awareness, reach new customers, and maintain a consistent brand experience.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International Expansion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expect the majority of our near-term customer demand to continue to come from the U.S., we believe that serving international customers represents a long-term growth opportunity. To date, we have shipped our merchandise to around 150 countries, with only limited marketing spend outside of the U.S., demonstrating our global appeal and broader market opportunity. We continue to focus on our platform, distribution and marketing process for international customers, allowing for a more optimized shopping experience, including more flexibility across languages and currencies, along with access to more communication channels and promotions. We believe that providing a localized shopping experience will significantly enhance our ability to serve customers in international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collaborate with a network of around 250 suppliers, who serve as our design and manufacturing partners. These suppliers often give us priority access and exclusivity to designs, given the strong relationships we have built over the last two decades. We do not have any long-term commitments requiring us to purchase minimum volumes from any supplier. We believe that continuing to enhance our localized shopping experience will improve our ability to serve customers in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www.lulus.com website, mobile app, and merchandising, customer, order, and warehouse management systems are proprietary, purpose-built solutions with the goal of delivering the best possible customer experience and operational efficiency. From payment card industry compliant checkout to the software running on handheld barcode scanners in order fulfillment, these key software processes are developed, maintained, and enhanced by our in-house engineering and data teams with the objective to exceed our customers’ expectations in a scalable way. Data-driven insights are core to what we do at Lulus. Technology drives and supports our business in several foundational areas, like our merchandising test, learn and reorder model, our cost-efficient marketing, and high operational efficiency.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proprietary reorder system is informed and powered by our data warehouse with predictive data modeling and business intelligence. Sales are analyzed across hundreds of product attributes and assortment architecture and trend analyses inform our buyers’ selection of new styles. Customer demand and return signal data, product profitability, seasonality, and product demand prediction are taken into consideration to advise our reorder buyers which products to reorder, when those reorders should arrive, and in what quantities.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combine purpose-built technology systems with customer focused engineering and data teams, to provide us with deep customer behavior insights. Integrating information from many available sources, from customer actions and feedback on the platforms to predictive analysis, continuously enhances our understanding of customer preference. This understanding allows us to activate personalization across our platform and in our various marketing channels. We utilize predictive analytics and AI to optimize our assortment and personalize the website experience through advanced search and product recommendations.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use our technology to optimize our operational efficiency as e-commerce fulfillment and reverse logistics are critical to profitability. We have implemented, and will continue to implement, robotics and other automation to support various processes and increase efficiency within our distribution facilities. Our business model is characterized by high SKU velocity, low to no SKU affinity, quick order-to-ship requirements, short return-to-refund timelines, and fast inventory turnover. We have built our own proprietary, integrated e-commerce backend system to minimize cost and maximize customer satisfaction.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built our software development and deployment cycles such that software changes can be deployed daily after being verified by fully automated testing, as well as by human functional testing. We work with reputable cloud services providers across multiple data centers, with fully redundant infrastructure within each data center, as well as with full failover capability between data centers, which allows us to serve our customers at virtually any time. Our infrastructure is fast, flexible and scalable to provide our customers with the best possible shopping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Protection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committed to the security of our customers’ data and personal information. We aggregate and analyze data in order to optimize the customer experience internally, and do not monetize the information we collect by selling it to third parties for money for their own external purposes. We utilize both on-premise and cloud-based technologies and undertake technical and other administrative measures to ensure the protection of our systems and customer data. We use various in-house and third-party tools to support our security policies and procedures including multi-factor authentication, user access controls, server monitoring, network firewalls, web application firewalls, security content policies, security training, and data encryption. We also use external certified security partners to test for vulnerabilities in our software and infrastructure, and assist in our security practices, which are designed to comply with the Payment Card Industry Data Security Standard. Finally, we have implemented processes and procedures to allow customers to review and delete their non-transactional account data and to opt out of the sharing or selling of their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women’s apparel, footwear, and accessories industry is large, fragmented, highly competitive and rapidly evolving. The industry consists of various brands and retailers that employ several different operating models at varying price points, and consumers have the option to shop both offline and online. Our competition includes traditional brands and retailers who market to consumers via offline and online channels. Our competition also includes e-commerce retailers that generally operate as online department stores for third-party and/or private label brands. Further, we may face new competitors and increased competition from existing competitors as we pursue increasing our brand awareness, growing our customer base, and channel and international expansion.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Competition in our industry is based on, among other things, quality, concept, price, breadth, and style of merchandise, as well as customer service, brand image, brand quality, strength of brand relationships, and ability to anticipate, identify, and respond to new and changing fashion trends. Because we are an early mover in our category, we believe we have a significant head start on becoming the go-to brand for Gen Z and Millennial consumers. As one of the first digitally-native brands, Lulus is well-positioned to capitalize on our deep digital footprint, social media infrastructure, loyal and active customer community, and product creation model. As a vertically integrated business, we retain full control of critical aspects of our business including brand, product, marketing, distribution, and customer service. Our long operating history means that we have collected a valuable dataset over the last decade while refining an efficient, scalable business model.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In 2025, consistent with most years, our net revenue was the highest during the second quarter due to the typically higher demand for event dresses in the spring and summer. Net revenue was the lowest during the fourth quarter given we are not a holiday gifting destination and event dress demand is typically lower during that time of year. The seasonality of our business has resulted in variability in our total net revenue quarter-to-quarter. We believe that this seasonality has affected and will continue to affect our results of operations. We recognized 23%, 29%, 26% and 22% of our annual net revenue during the first, second, third and fourth quarters of 2025,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2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trademarks, including LULUS® and </w:t>
      </w:r>
      <w:r>
        <w:rPr>
          <w:sz w:val="1"/>
          <w:szCs w:val="1"/>
          <w:color w:val="auto"/>
        </w:rPr>
        <w:drawing>
          <wp:inline distT="0" distB="0" distL="0" distR="0">
            <wp:extent cx="308610" cy="1111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61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are registered with the U.S. Patent and Trademark Office. We own additional registrations, including LULU’S®, LOVELULUS®, LOVE REWARDS®, and COVETED CURATED COLLECTED®. Each registration is renewable indefinitely, contingent upon continued use of the mark at the time of renewal. We own the domain name, and have a registered U.S. copyright for, www.lulus.com. We believe Lulus’ trademarks have significant value in the marketing of our merchandise. We also have registrations in Canada, the European Union (the “EU”), the United Kingdom, Australia, Mexico, China, and several other countries, as well as additional pending international applications. We vigorously protect our intellectual property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governing labor and employment, advertising and promotions, privacy, safety, customer protection, retailers and the promotion and sale of merchandise, and warehouse facilities. We monitor changes in these laws and believe that we are in material compliance with applicable laws.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subject to a number of domestic and foreign laws and regulations that affect companies conducting business on the internet, many of which are still evolving and could be interpreted in ways that could harm our business. These laws and regulations include federal and state consumer protection laws and regulations, which address, among other things, the privacy and security of consumer information, sending of commercial email, usage of SMS, push notifications, and other messaging, and unfair and deceptive trade practices. We maintain operational processes to address privacy and marketing requirements, including consent and preference management for email, SMS and targeted advertising, honoring applicable opt-out rights, and applying data minimization and protective techniques (such as pseudonymization, tokenization or encryption, as appropriate) to reduce risk while supporting business functions.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applicable federal and state laws and regulations addressing privacy and data security, we must provide notice to consumers of our policies with respect to the collection and use of personal information, our sharing of personal information with third parties, and notice of any changes to our data handling practices. In some instances, we may be obligated to give customers the right to prevent sharing or selling of their personal information with third parties. Under applicable federal and state laws, we also are required to adhere to a number of requirements when sending commercial email, SMS and other messages to consumers, including identifying advertising and promotional emails as such, ensuring that subject lines are not deceptive, giving consumers an opportunity to opt-out of further communications and clearly disclosing our name and physical address in each commercial email.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 of privacy and data security matters is a rapidly evolving area, and a growing number of U.S. states have enacted, or are considering, comprehensive privacy laws that establish varying requirements and individual rights. For example, California enacted the California Consumer Privacy Act (“CCPA”) which has been significantly amended and expanded by the California Privacy Rights Act (“CPRA”) and which, among other things, requires certain disclosures to California consumers, and affords such consumers new abilities to opt out of certain sales and sharing of personal information, including with regard to targeted advertising activities.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under applicable federal and state unfair competition laws, including the California Consumer Legal Remedies Act and Federal Trade Commission (“FTC”) regulations, we must, and our network of influencers may be required to, accurately identify product offerings, not make misleading claims on our websites or in advertising, and use qualifying disclosures where and when appropriate. The growth and demand for e-commerce could result in more stringent domestic and foreign consumer protection laws that impose additional compliance burdens on companies that transact substantial business on the internet. For additional information on our cybersecurity risk management, governance and controls, see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international business is subject to additional laws and regulations, including environmental laws and restrictions on imports from, exports to, and services provided to persons located in certain countries and territories, as well as foreign laws and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addressing topics such as advertising and marketing practices, customs duties and taxes, privacy, data protection, information security and consumer rights, any of which might apply by virtue of our sales in foreign countries and territories or our contacts with consumers in such foreign countries and territories. For example, the U.S. and China, where certain of our products are manufactured, have recently engaged in an escalating trade war, which has led to each side imposing tariffs that could adversely affect our business, financial condition and results of operations or cause us to relocate manufacturing to other countries and territories, which could disrupt our operations. The U.S. has imposed or threatened to impose tariffs on other countries as well, which could result in the adoption of retaliatory tariffs by those countries, including Canada and Mexico. In addition, the General Data Protection Regulation (“GDPR”), the UK General Data Protection Regulation (“UK GDPR”), the UK Data Protection Act 2018, and the Swiss Data Protection Act (“FADP”) impose stringent requirements regarding the collection, handling, use and transfer of personal data of individuals located in the European Economic Area (“EEA”) and provide for substantial penalties for noncompliance. These regulations impact the use of cookies, tracking technologies and other e-marketing efforts, and there have been significant recent European court and regulatory decisions in this area, including through privacy activists. More generally, many foreign jurisdictions have laws, regulations, or other requirements relating to privacy, data protection, and consumer protection, and countries and territories are adopting new legislation or other obligations with increasing frequency. Many of these laws may require disclosure to and consent from consumers for the use of data for various purposes, including marketing, which may reduce our ability to market our products. In addition, in June 2023, the EU's new Regulation (EU) 2023/1115 restricting sale in the EU of products that may cause deforestation or the degradation of forests entered into force. Initially, the regulation was set to apply from December 30, 2024, for large and medium-sized companies, and from June 30, 2025, for small and micro-sized enterprises. However, in response to concerns from global producers and internal EU stakeholders regarding preparedness and potential trade impacts, the European Union agreed to delay the implementation. The current compliance dates are December 30, 2026, for large and medium-sized companies, and June 30, 2027, for small and micro-sized enterprises. The regulation requires that certain commodities such as cattle, cocoa, coffee, oil palm, soya, wood, and rubber, and certain products derived therefrom, that are placed on the EU market, or exported from the EU market, no longer contribute to deforestation or forest degradation or do not originate from recently deforested land. The EU regulation contains requirements including due diligence and traceability obligations necessitating the linking of certain commodities and certain derived products to their place of production. We do not know of any existing environmental law, regulation nor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many jurisdictions, there is great uncertainty whether or how existing laws governing issues such as property ownership, sales and other taxes, libel and personal privacy apply to the internet and e-commerce. New legislation or regulation, the application of laws and regulations from jurisdictions whose laws do not currently apply to our business or the application of existing laws and regulations to the internet and e-commerce could result in significant additional obligations on our business or may necessitate changes to our business practices. These obligations or required changes could have an adverse effect on our cash flows and results of operations. Further, any actual or alleged failure to comply with any of these laws or regulations by us, our suppliers or our network of influencers could hurt our reputation, brand and business, force us to incur significant expenses in defending against proceedings or investigations, distract our management, increase our costs of doing business, result in a loss of customers and suppliers and may result in the imposition of monetary penalties. See “Risk Factors—Risks Related to Regulation, Taxation and Litigation — Unfavorable changes or failure by us to comply with evolving internet and e-commerce regulations could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Lulus, we believe in being responsible business stewards and strive to understand the impact that our business has on our employees, customers, and the planet. We will look for opportunities to play a constructive role in addressing the ESG challenges of the fashion industry while working towards creating long-term value for our Company and our stakeholders.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Governance. Lulus’ ESG efforts are overseen by our Board of Directors through our Nominating and Corporate Governance Committee. Our General Counsel works with internal stakeholders, as well as with outside specialists, to set and implement our ESG strategy. Our ESG strategy and initiatives are discussed regularly at the Board of Directors level.</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Approach. In 2022, we engaged a third-party ESG consultant to conduct a materiality assessment. Working with internal and external stakeholders, this process helped us to identify the priority material topics that our stakeholders care about. These priority material topics inform our efforts around ESG matters. We have also worked with a third-party greenhouse gas (“GHG”) consulting firm to assess our annual Scope 1 and 2 GHG emissions for each year since 2021. Gathering this data will enable us to set a baseline for our GHG Scope 1 and 2 emissions and is relevant for potential consideration in future plan(s). As the nature of product sourcing is a priority topic of interest to our stakeholders, we have established a Vendor and Supplier Code of Conduct which sets forth our expectations for working conditions in all factories producing Lulus products. Our Vendor and Supplier Code of Conduct can be accessed on our investor relations website, which is located at https://investors.lulus.com. We also provide training to our vendors and</w:t>
      </w:r>
    </w:p>
    <w:p>
      <w:pPr>
        <w:sectPr>
          <w:pgSz w:w="11900" w:h="16838" w:orient="portrait"/>
          <w:cols w:equalWidth="0" w:num="1">
            <w:col w:w="9920"/>
          </w:cols>
          <w:pgMar w:left="980" w:top="513" w:right="99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on responsible sourcing and production practices. In 2022, we engaged an outside supply chain risk management and audit company to evaluate our supply chain risks and develop an oversight and auditing program, under which we started conducting third-party audits in 2023. Lulus’ vendors and suppliers are subject to audit, at Lulus’ request, and are required to comply with all Lulus or third-party requests on behalf of Lulus to inspect or audit their facilities and records.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Permanent Chief Financial Officer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3, 2026, the Company appointed Heidi Crane as its permanent Chief Financial Officer (“CFO”), effective February 4, 2026 (“Effective Date”). Ms. Crane, had served as the Company’s fractional CFO since October 2025. Upon the Effective Date, Ms. Crane transitioned to a full-time employee of the Company, as well as its principal financial officer and principal accounting 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Employees and Demographics. </w:t>
      </w:r>
      <w:r>
        <w:rPr>
          <w:rFonts w:ascii="Times New Roman" w:cs="Times New Roman" w:eastAsia="Times New Roman" w:hAnsi="Times New Roman"/>
          <w:sz w:val="18"/>
          <w:szCs w:val="18"/>
          <w:color w:val="auto"/>
        </w:rPr>
        <w:t>Our employees, also known as the “LuCrew” are integral to our success, and we strive to prioritize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employees’ development, growth, and wellbeing. As of December 28, 2025, we had 523 full-time and 6 part-time employees. We use contingent labor in varying levels throughout the year to augment our workforce. None of our employees are represented by a labor union, and we have had no labor-related work stoppages. We believe that we have good relationships with our employees.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Culture and Values. </w:t>
      </w:r>
      <w:r>
        <w:rPr>
          <w:rFonts w:ascii="Times New Roman" w:cs="Times New Roman" w:eastAsia="Times New Roman" w:hAnsi="Times New Roman"/>
          <w:sz w:val="18"/>
          <w:szCs w:val="18"/>
          <w:color w:val="auto"/>
        </w:rPr>
        <w:t>We are proud of our strong culture, which is embodied by our workforce. Our culture is defined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core values: “All Voices, All In, Always Evolving.”</w:t>
      </w:r>
    </w:p>
    <w:p>
      <w:pPr>
        <w:spacing w:after="0" w:line="159" w:lineRule="exact"/>
        <w:rPr>
          <w:sz w:val="20"/>
          <w:szCs w:val="20"/>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Voices”: Quality starts with people, including the people we serve, our customers. We listen closely to our customers, whose feedback shapes what we offer and how we show up. We also create space for every voice to be heard, ensuring all team members feel safe, seen, and valued. We raise the bar by sharing ideas, speaking up, actively listening, and working together because great work comes from collaboration, care, and connection.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 We take full ownership of our work, from big wins to the smallest details, because quality is everyone’s responsibility. We anticipate needs, care deeply about our customers and co-workers, and strive for excellence in everything we do. No task is too small, and no one is above rolling up their sleeves to get it right. We commit and are accountable to deliver our best to our customers and each other with pride, purpose, and accountability.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Evolving”: Excellence requires evolution. We stay curious, seek feedback, and commit to getting better every day. From refining how we serve customers to improving product flow and internal processes, we pursue quality with intention and adaptability. Growth means knowing there’s always room to improve and that our journey forward is one we take together. Executing with quality isn’t a pass, fail, or a checkmark; it’s a continuous improvement cycle that keeps the Lulus experience feeling fresh, elevated, and uniquely ours.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embody these core values in our connections with our customers as well as our employees. Our core values form an integral part of our employee experience and expectations. Employees are introduced to these core values during orientation, and they are a component of employees’ performance evaluation. We also honor “Core Values Champions” in our monthly company newsletter and in our “All Voices” company meetings.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All Voices. </w:t>
      </w:r>
      <w:r>
        <w:rPr>
          <w:rFonts w:ascii="Times New Roman" w:cs="Times New Roman" w:eastAsia="Times New Roman" w:hAnsi="Times New Roman"/>
          <w:sz w:val="18"/>
          <w:szCs w:val="18"/>
          <w:color w:val="auto"/>
        </w:rPr>
        <w:t>Our core value of “All Voices” recognizes the importance of respecting each other’s backgrounds and self-expression,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ensuring that both internally and in our public materials we reflect the customer base that we serve. We are dedicated to fostering a culture of belonging, where every team member can show up as their authentic self and thrive. During 2025, we continued to dedicate internal resources to talent, culture and learning to help further the evolution of our All Voices core value as we continue to drive momentum in genuine ways. We held meaningful learning sessions, events sponsored by our multiple Employee Resource Groups (“ERGs”), and shared resources in our monthly employee newsletter. The ERGs create opportunities for employees to share their perspectives, connect with each other on a deeper level, and are intended to promote a culture that is open, inclusive and respectful. These groups have also contributed to greater understanding Companywide of different perspectives, with meetings, celebrations, and learning experiences open to the entire Company. Our ERGs continue to play a vital role in helping Lulus identify nonprofits to support. In 2025, we partnered with Gyrl Wonder and Altadena Girls Project, contributing monetarily and actively participating in their initiatives. Additionally, we provided clothing donations to various organizations, and our ERGs organized and participated in meaningful volunteer events within our communities.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Leadership and Development. </w:t>
      </w:r>
      <w:r>
        <w:rPr>
          <w:rFonts w:ascii="Times New Roman" w:cs="Times New Roman" w:eastAsia="Times New Roman" w:hAnsi="Times New Roman"/>
          <w:sz w:val="18"/>
          <w:szCs w:val="18"/>
          <w:color w:val="auto"/>
        </w:rPr>
        <w:t>Central to our “Always Evolving” core value is a dedication to developing our LuCrew members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them with skills and development opportunities. We have internal resources dedicated to employee learning and development. We continue to offer targeted leadership fundamentals training for our new and emerging leaders, a mentorship program as well as other opportunities for cross-functional knowledge sharing and collaboration.</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Our compensation and benefits are designed to enable us to attract, motivate, and retain qualified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talent. We regularly evaluate wages and salary bands to be competitive with the market. We also offer competitive employee benefits including life and health insurance (medical, dental, and vision), paid time off, paid sick leave, Company holiday pay, paid parental leave, an Employee Stock Purchase Program and a 401(k) plan. We recognize milestone anniversaries both in our newsletter and with individual gifts.</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Health and Safety. </w:t>
      </w:r>
      <w:r>
        <w:rPr>
          <w:rFonts w:ascii="Times New Roman" w:cs="Times New Roman" w:eastAsia="Times New Roman" w:hAnsi="Times New Roman"/>
          <w:sz w:val="18"/>
          <w:szCs w:val="18"/>
          <w:color w:val="auto"/>
        </w:rPr>
        <w:t>The health and safety of our employees is core to our Lulus values. Each of our Distribution Centers has a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and safety captains dedicated to maintaining a safe workplace. We continue to take proactive and precautionary steps to protect the health and safety of our employees. In addition, we provide several channels for employees to make suggestions or report concerns related to health and safety. In support of our employees’ mental health, we have an Employee Assistance Program that provides all employees up to three visits per year with a licensed professional counselor.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investor relations website is </w:t>
      </w:r>
      <w:r>
        <w:rPr>
          <w:rFonts w:ascii="Times New Roman" w:cs="Times New Roman" w:eastAsia="Times New Roman" w:hAnsi="Times New Roman"/>
          <w:sz w:val="18"/>
          <w:szCs w:val="18"/>
          <w:i w:val="1"/>
          <w:iCs w:val="1"/>
          <w:color w:val="auto"/>
        </w:rPr>
        <w:t>investors.lulus.com</w:t>
      </w:r>
      <w:r>
        <w:rPr>
          <w:rFonts w:ascii="Times New Roman" w:cs="Times New Roman" w:eastAsia="Times New Roman" w:hAnsi="Times New Roman"/>
          <w:sz w:val="18"/>
          <w:szCs w:val="18"/>
          <w:color w:val="auto"/>
        </w:rPr>
        <w:t xml:space="preserve">. In addition to the information about us contained in this Annual Report on Form 10-K, information about us can be found on our website. Our website and information included in or linked to our website are not part of this Annual Report on Form 10-K. 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these described below. You should carefully consider the risks and uncertainties described below, together with the other information contained in this Annual Report on Form 10-K, including our consolidated financial statements and related notes. The risks and uncertainties described below are not the only ones we face. Additional risks and uncertainties not presently known to us, or that we currently deem immaterial, may also become important factors that adversely affect our business. If any of the following risks or others not specified below materialize, our business, financial condition, results of operations and liquidity could be materially and adversely affected. In that case, the market price of our common stock could decline, and you may lose all or part of your investment. See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 strong community around the Lulus brand with engaged customers and influencers. We may not be able to maintain and enhance our existing brand community if we receive customer complaints, negative publicity or otherwise fail to live up to consumers’ expectations, which could materially adversely affect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maintaining our brand image, particularly with our core target customers, is important to maintaining and expanding our customer base and sales. Maintaining and enhancing our brand image may require us to make additional investments in areas such as merchandising, marketing, online operations, online displays and other promotions, and employee training. These investments may be substantial and may not ultimately be successful. If we are unable to maintain or enhance our brand image, brand awareness, and reputation, our business, financial condition, and results of operations may be materially and adversely affected.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identify new styles and maintain and enhance our existing brand is critical to retaining and expanding our base of customers. A significant portion of our customers’ experience depends on third parties outside of our control, including suppliers and logistics providers such as UPS and the U.S. Postal Service. If these third parties do not meet our or our customers’ expectations or if they increase their rates, our business may suffer irreparable damage or our costs may increase. In addition, maintaining and enhancing relationships with third-party brands may require us to make substantial investments, and these investments may not be successful. Also, if we fail to promote and maintain our brand, or if we incur excessive expenses in this effort, our business, financial condition,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may be materially adversely affected. We anticipate that, as our market becomes increasingly competitive, maintaining, and enhancing our brand may become increasingly difficult and expensive.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Customer complaints or negative publicity about our website or mobile app, products, merchandise quality, product delivery times, customer data handling and security practices or customer support, especially on social media, blogs, and in reviews, could rapidly and severely diminish consumer use of our website or mobile app and customer and supplier confidence in us, and result in harm to our brand. We believe that much of the growth in our customer base to date has originated from word-of-mouth, including social media and our influencer-driven marketing strategy. If we are not able to develop and maintain positive relationships with our network of influencers or our online customer community, our ability to promote and maintain or enhance awareness of Lulus and leverage social media platforms to drive visits to </w:t>
      </w:r>
      <w:r>
        <w:rPr>
          <w:rFonts w:ascii="Times New Roman" w:cs="Times New Roman" w:eastAsia="Times New Roman" w:hAnsi="Times New Roman"/>
          <w:sz w:val="18"/>
          <w:szCs w:val="18"/>
          <w:i w:val="1"/>
          <w:iCs w:val="1"/>
          <w:color w:val="auto"/>
        </w:rPr>
        <w:t>www.lulus.com</w:t>
      </w:r>
      <w:r>
        <w:rPr>
          <w:rFonts w:ascii="Times New Roman" w:cs="Times New Roman" w:eastAsia="Times New Roman" w:hAnsi="Times New Roman"/>
          <w:sz w:val="18"/>
          <w:szCs w:val="18"/>
          <w:color w:val="auto"/>
        </w:rPr>
        <w:t xml:space="preserve"> or our mobile app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acquire or retain customers may not be successful, which could prevent us from maintaining or increasing our sales.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Customer expectations and the associated competitive pressures have increased, and in order to expand our customer base, we must appeal to and acquire customers who have historically used other means of commerce in shopping for apparel and may prefer alternatives to our offerings, such as traditional brick-and-mortar retailers and the websites and mobile apps of our competitors. We have made significant investments related to customer acquisition and expect to continue to spend significant amounts to acquire additional customers. For example, we engage in social media marketing campaigns and maintain relationships with thousands of social media and celebrity influencers. Such campaigns can be expensive and may not result in cost-effective acquisition of customers. We also continue to invest in AI and generative AI technologies to enhance our customers’ shopping experience. We cannot assure that the benefit of acquiring new customers will exceed the cost. If we fail to deliver a quality shopping experience, or if consumers do not perceive the products we offer to be of high value and quality, we may not be able to acquire new customers. If we are unable to acquire or retain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seek to engage with our customers and build awareness of our brands through sponsoring unique events and experiences, such as in-person influencer events or pop-ups, which are experiences we create for our customers and influencers. We anticipate that our marketing initiatives may become increasingly expensive as competition increases and generating a meaningful return on those initiatives may be difficult. If our marketing efforts are not successful in promoting awareness of our brands and products, driving customer engagement or attracting new customers, or if we are not able to effectively manage our marketing expenses, our business, financial condition, and results of operations will be adversely affected.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obtain a significant amount of traffic via social networking platforms or other third-party online channels used by our current and prospective customers. As e-commerce and social networking platforms continue to rapidly evolve, we must continue to maintain and establish relationships with these channels and may be unable to develop or maintain these relationships on acceptable terms. These third-party platforms may unilaterally and with little or no notice change, among other things, their algorithms, policies, fee structures, content moderation rules, data access, and programs in ways that could, among other things, increase our customer acquisition costs, or otherwise diminish the effectiveness and economics of our efforts. Our participation on these platforms also exposes us to certain operational and reputational risks. We have in the past, and may again in the future, encounter counterfeit or unauthorized sellers offering similar or infringing products at lower prices, which could impact, among other things, our pricing and brand equity.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platforms are now using some form of AI shopping features, some using generative and agentic AI, to recommend or complete shopping journeys, and we may not support or be discovered by all of these new uses. We also acquire and retain customers through paid search/product listing ads, paid social, retargeting, affiliate marketing, personalized email, direct mail marketing and in-person experiences. The recent introduction of AI and large language models (LLMs) within search and other marketing channels may change consumer search behavior and our ability to cost effectively acquire and retain customers. For example, in March 2025, Google introduced an experimental AI mode within its search platform and other platforms have or may in the future launch similar functionality. If we are unable to adapt to this and similar changes, our net sales growth and profitability may be adversely affected. If we are unable to cost-effectively drive traffic to our website or mobile app, our ability to acquire new customers and our financial condition would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 high level of engagement with our customers and increase their spending with us, which could harm our business, financial condition, cash flows, or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high proportion of our net revenue comes from repeat purchases by existing customers, especially those existing customers who are highly engaged and purchase a significant amount of merchandise from us. If existing customers no longer find our merchandise</w:t>
      </w:r>
    </w:p>
    <w:p>
      <w:pPr>
        <w:sectPr>
          <w:pgSz w:w="11900" w:h="16838" w:orient="portrait"/>
          <w:cols w:equalWidth="0" w:num="1">
            <w:col w:w="9920"/>
          </w:cols>
          <w:pgMar w:left="980" w:top="513" w:right="99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appealing, they may make fewer purchases and may stop shopping with us. Even if our existing customers find our merchandise appealing, if customer buying preferences change, they may decide to purchase less merchandise over time. Additionally, if customers who purchase a significant amount of merchandise from us were to make fewer purchases or stop shopping with us, then our sales may decline. We experienced a decrease in the number of Active Customers in fiscal 2025 as compared to fiscal 2024. A continued decrease in the number of our Active Customers or a decrease in their spending on the merchandise we offer could negatively impact our business, financial condition, cash flows, and results of operations. Further, we believe that our future success will depend in part on our ability to increase sales to our existing customers over time and, if we are unable to do so, our business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identify, measure, and respond quickly to new and rapidly changing fashion trends, customer preferences and demands and other factors.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core market of apparel, footwear, and accessories for women is subject to new and rapidly changing fashion trends, constantly evolving consumer preferences and demands, and a modest brand loyalty. Accordingly, our success is dependent on our ability to anticipate, identify, measure and respond to the latest fashion trends and customer demands, and to translate such trends and demands into appropriate, desirable product offerings in a timely manner. A select team of our employees is primarily responsible for performing this analysis and making initial product decisions, and they rely on feedback on fashion trends from a variety of sources, which may not accurately predict evolving fashion trends. Our failure to anticipate, identify or react swiftly and appropriately to new and changing styles, trends or desired customer preferences or to accurately anticipate and forecast demand for certain product offerings is likely to lead to lower demand for our merchandise, which could cause, among other things, sales declines, excess inventories, a greater number of markdowns and lower margins.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if we are not able to anticipate, identify and respond to changing fashion trends and customer preferences, we may lose customers and market share to our competitors who are able to better anticipate, identify and respond to such trends and preferences. In addition, because our success depends on our brand image, our business could be materially adversely affected if new product offerings are not accepted by our customers. We cannot assure investors that our new product offerings will be met with the same level of acceptance as our past product offerings or that we will be able to adequately respond to fashion trends or the preferences of our customers in a timely manner or at all. If we do not accurately anticipate, identify, forecast, or analyze fashion trends and sales levels, it could have a material adverse effect on our business, financial condition, cash flows,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platform, which could negatively affect our business, financial condition, cash flows,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customers cost effectively. With respect to our marketing channels, we rely heavily on relationships with providers of online services, search engines, social media, directories, and other websites and e-commerce businesses to provide content, advertising banners, and other links that direct customers to our websites and retail store. We rely on these relationships to provide significant traffic to our website. In particular, we rely primarily on digital platforms, such as Google and Meta, as important marketing channels. Digital channels change their algorithms periodically, and our rankings in organic searches and visibility in social media feeds may be adversely affected by those changes, as has occurred from time to time, requiring us to increase our spending on paid marketing to offset the loss in traffic. Search engine companies may also determine that we are not in compliance with their guidelines and consequently penalize us in their algorithms as a result. Even with an increase in marketing spend to offset any loss in search engine optimization traffic as a result of algorithm changes, the recovery period in organic traffic may span multiple quarters or years. If digital platforms change or penalize us with their algorithms, terms of service, display and featuring of search results, or if competition increases for advertisements, we may be unable to cost-effectively attract customers.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third-party AI tools and platforms are rapidly evolving and may change traffic patterns, search visibility, or shopping behavior in ways that we cannot predict or fully support. In recent years, a shift in customer search behavior has started, with an increasing number of individuals transitioning from traditional search engines like Google to AI platform answer engines such as ChatGPT and Copilot for certain types of queries. This transition stems from the way AI tools can effectively address certain questions that users once turned to search engines to answer. This evolution in how people are seeking information, even if often complementing, rather than replacing, the kinds of customer searches we typically focus on, could have a material adverse effect on our business.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relationships with digital platforms are not covered by long-term contractual agreements and do not require any specific performance commitments. These third-party platforms may unilaterally and with little or no notice change, among other things, their algorithms, policies, fee structures, content moderation rules, data access, the types of information we can use for targeted advertising, and programs in ways that could, among other things, increase our customer acquisition costs, or otherwise diminish the effectiveness and economics of our efforts. In addition, many of the platforms and agencies with whom we have advertising arrangements provide advertising services to other companies, including retailers with whom we compete. As competition for online</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advertising has increased, the cost for some of these services has also increased. A significant increase in the cost of the marketing providers upon which we rely could adversely impact our ability to attract customers cost effectively and harm our business, financial condition, results of operations, and prospects.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Also, our ability to connect with customers remains highly reliant on key digital platforms. For example, we have cultivated a significant presence on TikTok, particularly among Gen Z customers, making any potential restriction or ban of this platform a considerable risk to maintaining that connection, engaging with customers and promoting our brand. Government actions, regulatory changes, or disruptions targeting specific platforms or their parent companies, such as TikTok, including potential bans, limitations on app store availability, forced divestitures, or heightened data-privacy and content-moderation requirements, could impair or eliminate our access to certain platforms, reduce user engagement, affect our ability to reach new customers or necessitate costly changes to our operations and technology. Increased scrutiny of endorsements and influencer advertising, data collection and cross-border data transfers, and AI–driven recommendations may also lead to new compliance obligations, enforcement actions, fines, or litigation, including class actions and claims under consumer protection, privacy, advertising, or intellectual property laws. If we or our influencers fail to comply with applicable platform terms or legal requirements, we could face account suspensions, content removals, monetization limits, or termination.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key operating metrics are subject to inherent challenges in measurement and real or perceived inaccuracies in such metrics may harm our reputation and negatively affect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track certain key operating metrics using internal data analytics tools, which have certain limitations. In addition, we rely on data received from third parties, including third-party platforms, to track certain performance indicators. We also aggregate and collate the data for analysis and reporting which is subject to error or unintended mistakes. Data from both such sources may include information subject to errors or unintended mistakes relating to fraudulent accounts and interactions with our sites or the social media accounts of our influencers (including as a result of the use of bots or other automated or manual mechanisms to generate false impressions that are delivered through our sites or their accounts). We have only limited abilities to verify data from our sites or third parties and perpetrators of fraudulent impressions may change their tactics and may become more sophisticated, which would make it still more difficult to detect such activity.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methodologies for tracking metrics may also change over time, which could result in changes to the metrics we report. If we undercount or overcount performance due to the internal data analytics tools we use, issues with the data received from third parties, errors or unintended mistakes, or if our internal data analytics tools contain algorithmic or other technical errors, the data we report may not be accurate or comparable with prior periods.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limitations, changes or errors with respect to how we measure data may affect our understanding of certain details of our business, which could affect our longer-term strategies. If our performance metrics are not accurate representations of the reach or monetization of our brand, if we discover material inaccuracies in our metrics or the data on which such metrics are based, or if we can no longer calculate any of our key performance metrics with a sufficient degree of accuracy and cannot find an adequate replacement for the metric, our business, financial condition and operating results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influencers, affiliate marketing, email, SMS, podcast advertisements, promotional partnerships and direct mail may adversely impact our brand and reputation or subject us to fines or other penalties.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social media including Facebook, Instagram, Pinterest, Snapchat, TikTok, X, Threads, and YouTube, as well as affiliate marketing, email, SMS, podcast advertisements, promotional partnerships and direct mail as part of our multi-channel approach to marketing, and we encourage our customers to use social media while shopping. We utilize various marketing-related contests and giveaways that are subject to applicable laws. We also maintain relationships with thousands of social media influencers, who serve as our brand ambassadors, and engage in sponsorship initiatives. Laws and regulations governing the use of these platforms and other digital marketing channels are rapidly evolving. It may become more difficult for us or our partners to comply with such laws, and future data privacy laws and regulations or industry standards may restrict or limit our ability to use some or all of the marketing strategies on which we currently rely. The failure by us, our employees or third parties acting at our direction to abide by applicable laws and regulations in the use of these platforms could adversely impact our reputation or subject us to fines or other penalties. In addition, our employees or third parties acting at our direction, including our large network of social media brand ambassadors, may knowingly or inadvertently make use of social media in ways that could lead to the loss or infringement of intellectual property, as well as the public disclosure of proprietary, confidential or sensitive personal information of our business, employees, customers, or others. Any such inappropriate use of social media tools could also cause business interruptions and reputational damage.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Customers value readily available information concerning retailers and their goods and services and often act on such information without further investigation and without regard to its accuracy.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financial condition, and results of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For example, in some cases, the FTC has sought enforcement action where an endorsement has failed to clearly and conspicuously disclose a financial relationship between an influencer and an advertiser.</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have an adverse impact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Our target customers often value readily available information and often act on such information without further investigation and without regard to its accuracy. The harm may be immediate, without affording us an opportunity for redress or correction.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connecting with our target customer base through effective marketing channels,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utilize a diverse array of marketing channels to engage our audience and drive traffic to our platform. These channels include organic content creation, affiliate marketing, email campaigns, SMS outreach, direct mail, paid search, social media marketing, and integrated brand campaigns designed to build awareness and deepen customer engagement. We also maintain promotional and strategic partnerships to extend our reach across multiple consumer touchpoints, including digital, out-of-home, and connected media formats.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multi-channel approach is intended to reduce reliance on any single marketing channel and provide flexibility in an evolving media landscape. However, despite these efforts, our ability to effectively reach and engage customers remains significantly dependent on key digital platforms and third-party marketing channels. Changes in platform algorithms, advertising policies, pricing structures, audience behavior, or platform performance could reduce the effectiveness of our marketing efforts and increase customer acquisition costs.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digital platforms we rely on are dependent on third-party mobile operating systems and infrastructure, including iOS and Android, which we do not control. Changes to operating system policies, privacy frameworks, data-sharing practices, or attribution capabilities could limit our ability to target, measure, and optimize marketing campaigns, potentially impacting traffic, conversion rates, and overall marketing efficiency.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marketing effectiveness may also be affected by increased competition for consumer attention, rising media costs, reduced effectiveness of paid channels, or shifts in consumer preferences that diminish engagement with existing formats or platforms. If we are unable to adapt our marketing strategies, messaging, or channel mix in response to these changes, our ability to acquire new customers, retain existing customers, and support our growth objectives could be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accurately forecast income and appropriately plan our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base our current and future expense levels on our operating forecasts and estimates of future income. Income and results of operations are difficult to forecast because they generally depend on the volume, timing and value of the orders we receive, and return rates, all of which are uncertain. In addition, we cannot be certain that the same growth rates, trends and other key performance metrics are meaningful predictors of future growth. Additionally, our business is affected by general economic and business conditions around the world, competition, shifting trends and changes in consumer preferences. The rapid changes and uncertainty in global trade practices, including tariff rates, make it difficult to predict sales, inventory levels and gross margin could result in significant fluctuations in our net sales, margins and profitability from period-to-period.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investments are based on future estimates of net revenue, and we may be unable to adjust our spending in a timely manner to compensate for any unexpected deviation from our sales forecast. This inability could cause our net income/(loss) after tax in a given quarter to be higher or lower than expected. We also make certain assumptions when forecasting the amount of expense we expect related to our future share based payments, which includes the expected volatility of our share price and</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expected life of share awards granted. These assumptions are partly based on historical results. If actual results differ from our estimates, our net income in a given quarter may be lower than expected or our net loss in a given quarter may be higher than expected.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accurately forecast and plan expenses could be adversely impacted by a number of third-party factors outside of our control, including, but not limited to, supply chain- and transportation-related costs. Although we are able to update our forecasts and estimates based on current data and modify the pricing of our products accordingly, there is often a lag before such modified pricing is reflected in our operating results, and there is a limit to how much of any third-party cost increase we can pass onto our customers. Any such limits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high-quality customer support or have significant changes to policies and/or services, third party or otherwise,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ongoing customer support is important to the successful marketing and sale of our merchandise. Providing this support requires that our customer support personnel have fashion, retail, technical, and other knowledge and expertise, making it difficult for us to hire qualified personnel and scale our support operations. The demand on our customer support organization will increase as we expand our business and pursue new customers, and such increased support could require us to devote significant development services and support personnel, which could strain our team and infrastructure and reduce our profit margins. If we are unable to hire and retain customer support personnel capable of consistently providing customer support at a high level, as demonstrated by their enthusiasm for our culture, understanding of our customers, and knowledge of the merchandise that we offer, our ability to expand our business may be impaired. Further, if we do not help our customers quickly resolve issues and provide effective ongoing customer support, our ability to sell additional merchandise to existing and future customers could suffer and our reputation would be harmed. If we modify our customer service policies or services, this may result in customer dissatisfaction and our ability to expand our business may be impaired. Our customer experience also depends on the availability and performance of third-party platforms and technologies we use to support customers. Any outages, disruptions, or performance issues affecting these systems could negatively impact our ability to support customers in a timely and effective manner. If we incorporate AI and automation into our customer support tools, we may be exposed to risks related to system accuracy, reliability, data handling, or evolving regulatory expectations, which could adversely affect the customer experience and our business.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regulation, including increases in tariff rates and the imposition of additional tariffs, could increase our costs and adversely impact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Due to our international sourcing activities, we are exposed to risks associated with changes in the laws and regulations governing the importing of products into the U.S. A predominant portion of the merchandise we sell is originally manufactured in countries other than the U.S., including China and Mexico. International trade disputes that result in increases in tariff rates, the implementation of new tariffs and other protectionist or retaliatory measures could adversely affect our business, including disruption and cost increases in our established patterns for sourcing our merchandise and increased uncertainties in planning our sourcing strategies and forecasting our margins. For example, since February 2025, the U.S. government has imposed incremental tariffs on most goods imported from China. At various points in 2025, the total tariff rate on our goods imported from China reached 152.5%. These tariffs are in addition to a pre-existing Section 301 tariff of 7.5% and baseline Harmonized Tariff Schedule, or HTS, tariffs, which vary by product. On February 20, 2026, the Supreme Court of the U.S. ruled against President Trump's use of the International Emergency Economic Powers Act (“IEEPA”), to impose tariffs on global trade partners, effective immediately. The impact of this decision on previous tariffs that we have paid is undetermined while the case is returned to the Court of International Trade for reconsideration in accordance with the Supreme Court ruling. Following the Supreme Court ruling, the U.S. announced new 10% global tariffs under Section 122 of the Trade Act of 1974 effective February 24, 2026 for a period of 150 days.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​Heightened tariffs, particularly on Chinese goods, directly impact our owned brand products and, to a lesser extent, a limited number of third-party branded products. If U.S. tariffs on China or other countries from which we source products are reinstated or are increased further, it may increase our cost of sales and may also increase the price of our products. We are working with our current suppliers to mitigate our exposure to current or potential tariffs and seeking opportunities to engage other suppliers, but there can be no assurance that we will be able to offset any increased costs or secure other suppliers. It is also possible one or more of these suppliers may suffer disruptions in their business or experience significant increases in the cost of their goods or services sold due to factors beyond their control, including changes in the import and export policies, including trade restrictions, new or increased tariffs, sanctions and countersanctions. Further, we may have to increase prices for our customers, which could reduce the competitiveness of our products and adversely affect customer demand and sales.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future changes in trade policy may adversely impact the macroeconomic environment, consumer sentiment and international demand if consumers outside of the U.S. boycott U.S. retailers. If we are not able to adjust our inventory levels and our inventory assortment in response to reduced customer demand, our gross margin may be adversely impacted.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general uncertainty and overall risk from potential changes in trade laws and policies, as we make business decisions in the face of such uncertainty, we may incorrectly anticipate the outcomes, miss out on business opportunities, or fail to effectively adapt our business strategies and manage the adjustments that are necessary in response to those changes. These risks could adversely affect our revenues, reduce our profitability, and negatively impact our business.</w:t>
      </w:r>
    </w:p>
    <w:p>
      <w:pPr>
        <w:spacing w:after="0" w:line="176" w:lineRule="exact"/>
        <w:rPr>
          <w:sz w:val="20"/>
          <w:szCs w:val="20"/>
          <w:color w:val="auto"/>
        </w:rPr>
      </w:pPr>
    </w:p>
    <w:p>
      <w:pPr>
        <w:jc w:val="both"/>
        <w:ind w:right="20"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b w:val="1"/>
          <w:bCs w:val="1"/>
          <w:i w:val="1"/>
          <w:iCs w:val="1"/>
          <w:color w:val="D13438"/>
        </w:rPr>
        <w:t>​</w:t>
      </w:r>
      <w:r>
        <w:rPr>
          <w:rFonts w:ascii="Times New Roman" w:cs="Times New Roman" w:eastAsia="Times New Roman" w:hAnsi="Times New Roman"/>
          <w:sz w:val="18"/>
          <w:szCs w:val="18"/>
          <w:b w:val="1"/>
          <w:bCs w:val="1"/>
          <w:i w:val="1"/>
          <w:iCs w:val="1"/>
          <w:color w:val="auto"/>
        </w:rPr>
        <w:t xml:space="preserve"> growing portion of our revenue is derived from wholesale partners, and changes in our relationships with, or the loss of, wholesale partners could adversely impact our financial condition and results of operations.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D13438"/>
        </w:rPr>
        <w:t>​</w:t>
      </w:r>
    </w:p>
    <w:p>
      <w:pPr>
        <w:spacing w:after="0" w:line="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have entered into a number of wholesale partnerships and intend to continue growing these initiatives. If any major wholesale partner decreases or ceases its purchases from us, cancels its orders, delays or defaults on its payment obligations to us, reduces the floor space, assortments, or advertising for our products or changes its manner of doing business with us for any reason, such as due to store closures, decreased foot traffic, inflationary pressures or recession, such actions could adversely affect our business and financial condition. In addition, competition between our wholesale partners may impact the prices at which they sell our products, thereby impacting the prices at which they are willing to buy products from us. Further, a decline in the performance or financial condition of a major wholesale customer—including bankruptcy or liquidation—could result in an adverse impact on revenue and require us to assume more credit risk relating to our receivables from that partner or limit our ability to collect amounts related to previous purchases by that partner. Any of these changes could also decrease our opportunities in the market and could adversely impact our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seasonality, which could result in fluctuations in our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experience fluctuations in aggregate sales volume during the year. Historically, our net revenue has typically been highest in our second fiscal quarter and lowest in our fourth fiscal quarter. The seasonality of our business has resulted in variability in our total net revenue quarter-to-quarter. In addition, our customers may change their order patterns and buying habits, including frequency of purchase and/or number of items per order. As a result, we may not be able to accurately predict our quarterly sales. Accordingly, our results of operations are likely to fluctuate significantly from period to period. This seasonality, along with other factors that are beyond our control, including general economic conditions, changes in consumer preferences, weather conditions, including the effects of climate change, the availability of import quotas, transportation disruptions and foreign currency exchange rate fluctuations, could adversely affect our business and cause our results of operations to fluctuate.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accept payments online via credit and debit cards, Lulus gift cards, Lulus online credit, buy now pay later options, and other digital wallet services, which subject us to certain regulations and risk of fraud, and we may in the future offer new payment options to customers that would be subject to additional regulations and risks. We pay interchange and other fees in connection with credit card payments, which may increase over time and adversely affect our results of operations. Certain payment processors may seek to implement reserves against our processed transactions which could negatively impact our cash flows should we continue to offer these payment methods to our customers. While we use third parties to process credit and debit card payments, we are subject to payment card association operating rules and certification requirements, including the Payment Card Industry Data Security Standard and rules governing electronic funds transfers. If we fail to comply with applicable rules (such as the PCI DSS 4.0 requirements) and regulations or experience a security breach involving payment card information, we may be subject to fines, assessments and/or higher transaction fees and may lose our ability to accept online payments or other payment card transactions. Further, payment card associations and/or payment gateways have implemented requirements to engage a Qualified Security Assessor (QSA) or Internal Security Assessor (ISA) to validate our compliance with certain requirements. If we fail to successfully complete such validation or fail to comply with these requirements, we may be unable to complete our annual PCI compliance, which could result in rejection by payment processors, fines from payment card associations, increased transaction fees, or loss of our ability to accept credit card payments, any of which could have a material adverse effect on our business, financial condition, and results of operations. If any of these events were to occur, our business, financial condition, and results of operations could be adversely affected.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pacing w:after="0" w:line="2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The domestic bank deposit balances may exceed the FDIC insurance limits. These balances could be impacted if one or more of the financial institutions in which we deposit money fails or is subject to other adverse conditions in the financial or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from customer and/or credit card fraud and theft.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 and theft, including stolen credit card numbers, claims that a customer did not authorize a purchase, merchant fraud, and customers who have closed bank accounts or have insufficient funds in open bank accounts to satisfy payments, and any such losses may be significant.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Although we have measures in place to detect and reduce the occurrence of fraudulent activity, those measures may not always be effective. Our failure to adequately prevent fraudulent transactions and theft could damage our reputation, result in litigation or regulatory action and lead to expenses that could substantially impact our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borrowings and we may incur additional indebtedness in the future, which may require us to use a portion of our cash flow to service debt and limit our financial and operating flexibility.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14, 2025, we entered into a Loan and Security Agreement with White Oak Commercial Finance, LLC, as Administrative Agent, and the lenders party thereto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us to maintain lockbox accounts and cash management arrangements under the control of the Administrative Agent, who has full dominion and control over each Collection Account and all Deposit Accounts (except Excluded Accounts) (as such terms are defined in the 2025 Credit Agreement).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28, 2025, the outstanding borrowing under the 2025 Credit Agreement was $14.4 million in addition to a $0.3 million letter of credit outstanding. After giving effect to the excess availability covenant and the outstanding letter of credit, the unused availability was $1.3 million.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borrowing base fluctuates and directly impacts our ability to borrow additional amounts under the 2025 Credit Agreement. The covenants in the 2025 Credit Agreement could limit our ability to finance our future operations or capital needs, or to pursue available business opportunities. Additionally, we may be required to take certain actions that would act in a manner contrary to our business objectives to meet the covenants. Our failure to comply with any of the covenants under our 2025 Credit Agreement could prevent us from being able to draw on the revolving credit facility, cause an event of default under the 2025 Credit Agreement and result in an acceleration of our outstanding indebtedness and various other rights and remedies of the lenders including the sale of the collateral. If our outstanding indebtedness were to be accelerated, we likely would not be able to satisfy all of our obligations under such indebtedness, which would materially adversely affect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and even if the markets in which we compete achieve the forecasted growth, our business may not grow at similar rates, or at all.</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are subject to significant uncertainty and are based on assumptions and estimates which may not prove to be accurate. The estimates and forecasts included in this Annual Report on Form 10-K relating to size and expected growth of our target market may prove to be inaccurate. Even if the markets in which we compete meet the size estimates and growth forecasts included in this Annual Report on Form 10-K, our business may not grow at similar rates, or at all. Our growth is subject to many factors, including our success in implementing our business strategy, which is subject to many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past results may not be indicative of future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past results, including periods of rapid growth of our net revenue and profitability and periods of macroeconomic pressure and corresponding decreases in net revenue and profitability, should not be considered as indicative of our future performance. We operate in a rapidly evolving industry that may not develop in a manner favorable to our business. You should consider our business and prospects in light of the risks and challenges we may encounter.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success will depend in large part upon our ability to, among other things:</w:t>
      </w:r>
    </w:p>
    <w:p>
      <w:pPr>
        <w:spacing w:after="0" w:line="225"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acquire new customers and engage with and retain existing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and effectively staff our distribution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inventory effectively;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market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consumer awareness of our brand and maintain our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offering and geographic reach;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assortment of merchandise that is attractive to our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in our business from information technology downtime, cybersecurity breaches, or labor stoppages;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our technology infrastructure;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to enhance the customer experience on our sites;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suppliers and deepen our relationships with existing suppliers.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address the risks and challenges that we face, including those associated with the challenges listed above as well as those described elsewhere in this “Risk Factors” section, our business and our operating results will be adversely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be able to achieve or maintain profitability in the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for the past three years and we may not be able to achieve or maintain profitability in the future. We incurred net losses of $14 million, $55 million, and $19 million in the fiscal years ended December 28, 2025, December 29, 2024, and December 31, 2023, respectively. Even as we try to manage our expenses and expand revenue, these efforts may be more costly than we expect and may not result in increased revenue or growth or margin improvements in our business in the future. Any failure to increase our revenue sufficiently to keep pace with our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business strategy, which, in turn, is dependent upon a number of factors, including our ability to:</w:t>
      </w:r>
    </w:p>
    <w:p>
      <w:pPr>
        <w:spacing w:after="0" w:line="121"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awareness and attract new customers;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retain our existing customer relationships;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international expansion.</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that we can successfully achieve any or all of the above initiatives in the manner or time period that we expect. Further, achieving these objectives will require investments which may result in short-term costs without generating any net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 and such growth may adversely affect our existing resources and cause us to encounter challenges we have not faced before.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grown over the years, with our net revenue increasing from $133 million in 2016 to $282 million in 2025, with variability in the years between primarily attributed to the impact of the COVID-19 pandemic and the ensuing pent-up demand period followed by a period of macroeconomic pressures and more muted consumer spending. If we experience substantial growth in the future, it may strain our existing infrastructure, including our consolidated distribution facilities, information technology systems, financial controls, merchandising, and operations personnel, and place increased demands on our suppliers, to the extent we increase the size of our merchandise orders. New order delivery times could lengthen as a result of the strains that growth may place on our existing resources, and our growth may make it otherwise difficult for us to respond quickly to changing trends, customer preferences and other factors, which could impair our ability to continue to offer on-trend merchandise and could result in excess inventory, greater markdowns, loss of market share and decreased sales which, in turn, could have a material adverse effect on our business, financial condition, and results of operations. In addition, our current and planned personnel, systems, procedures, and controls may not be adequate to support and effectively manage any expansion in future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we may not continue to grow as expected, which may result in the need to reduce resources. Any reductions to current personnel, systems, procedures, and controls may not be adequate to support and effectively manage our business and future operations. We have implemented cost reduction measures in recent years that included workforce reductions and we may undertake similar measures in the future. Any such restructuring plans, reductions in force or other cost reduction measures could divert management attention, adversely affect employee morale and turnover, and damage our reputation as an employer, which could increase the difficulty of attracting, retaining and motivating qualified personnel and maintaining our corporate culture. Further, our reduced headcount following such restructuring plans and any further turnover may increase the difficulty of executing on our plans, including due to the loss of historical, technical or other expertise, and challenges of covering leaves of absence with a reduced headcount, which may have an adverse effect on our business, prospects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pursue our international growth strategy, our success will largely depend on our ability to manage the unique challenges presented by international markets.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continue to sell products to customers located outside the U.S. Further, we may establish additional relationships in other countries to grow our operations. The substantial up-front investment required, the lack of consumer awareness of our products in jurisdictions outside of the U.S., differences in consumer preferences and trends between the U.S. and other jurisdictions, the risk of inadequate intellectual property protections and differences in packaging, labeling, privacy, consumer protection, advertising, ESG and related laws, rules and regulations are all substantial matters that need to be evaluated prior to doing business in new territories. We cannot assure that our international efforts will be successful. International sales and increased international operations may be subject to risks such as:</w:t>
      </w:r>
    </w:p>
    <w:p>
      <w:pPr>
        <w:spacing w:after="0" w:line="175" w:lineRule="exact"/>
        <w:rPr>
          <w:sz w:val="20"/>
          <w:szCs w:val="20"/>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laws and regulations, including more stringent regulations relating to data privacy and security, particularly in the EU;</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effects and foreign exchange controls making it difficult to repatriate earnings and cash;</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instability, terrorism and wars;</w:t>
      </w:r>
    </w:p>
    <w:p>
      <w:pPr>
        <w:spacing w:after="0" w:line="21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laws and labor disruptions;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consumer protection and product laws;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 controls;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use or to obtain adequate intellectual property protection for our key brands and products;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customs duties and the classifications of our goods by applicable governmental bodies;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system subject to undue influence or corruption;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culture in which illegal sales practices may be prevalent;</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sourcing;</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and</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overall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global apparel industry is subject to intense pricing pressure.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apparel industry is characterized by low barriers to entry for both suppliers and marketers, global sourcing through suppliers located throughout the world, trade liberalization, continuing movement of product sourcing to lower cost countries, regular promotional activity and the ongoing emergence of new competitors with widely varying strategies and resources. These factors have contributed,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may continue to contribute in the future, to intense pricing pressure and uncertainty throughout the supply chain. Pricing pressure has been exacerbated by the availability of raw materials in recent years. Additionally, the imposition or increase in tariffs, inflation and supply chain constraints could increase pricing pressure on our business. This pressure could have adverse effects on our business and financial condition, including:</w:t>
      </w:r>
    </w:p>
    <w:p>
      <w:pPr>
        <w:spacing w:after="0" w:line="180"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margins across our product lines and distribution channels;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supplier demands for allowances, incentives, and other forms of economic support;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us to reduce our product costs and operating expenses.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the highly competitive retail apparel industry, and the size and resources of some of our competitors may allow them to compete more effectively than we can, which could adversely impact our growth and market share, and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in the highly competitive retail apparel industry. We compete on the basis of a combination of factors, including our quality, concept, price, breadth, and style of merchandise, as well as our online experience and level of customer service, our brand image, and our ability to anticipate, identify and respond to new and changing fashion trends and customer demands. While we believe that we compete primarily with national and international apparel retailers and e-commerce businesses that specialize in women’s apparel, footwear, and accessories, we also face competition from foreign e-commerce platforms, national and regional department stores, specialty retailers, fast-fashion retailers, value retailers, and mass merchants. In addition, our expansion into markets served by our competitors and entry of new competitors or expansion of existing competitors into our markets could have a material adverse effect on our business, financial condition, and results of operations.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compete with a wide variety of large and small retailers and e-commerce businesses for customers, suppliers, influencers and personnel. The competitive landscape we face, particularly among apparel retailers, is subject to rapid change as new competitors emerge and existing competitors change their offerings. We cannot assure investors that we will be able to continue to compete successfully and navigate the shifts in the competitive landscape in our markets.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competitors are, and many of our potential competitors may be, larger and have greater name recognition and access to greater financial, marketing and other resources than us. Therefore, these competitors may be able to adapt to changes in trends and customer desires more quickly, devote greater resources to the marketing and sale of their products, generate greater brand recognition or adopt more aggressive pricing policies than we can. Many of our competitors also utilize advertising and marketing media which we have not historically used, including advertising via newspapers, magazines, and television, which may provide them with greater brand recognition than we have. As a result, we may lose market share, which could reduce our sales and have a material adverse effect on our business, financial condition, and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may also sell certain products or substantially similar products for prolonged promotional periods through online and also through outlet centers or discount stores, increasing the competitive pressure for those products. We cannot assure investors that we will continue to be able to compete successfully against existing or future competitors. Our expansion into markets served by our competitors and entry of new competitors or expansion of existing competitors into our markets could have a material adverse effect on us. Competitive forces and pressures may intensify as our presence in the retail marketplace grows.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possess exclusive rights to many of the elements that comprise our online experience and merchandise offerings. Some apparel retailers offer a personalized shopping experience that in certain ways is similar to the one we strive to provide to our customers. Our competitors may seek to emulate facets of our business strategy, including “test, learn, and reorder,” speed-to-market and online experience, which could result in a reduction of any competitive advantage or special appeal that we might possess. In addition, some of our merchandise offerings are sold to us on a non-exclusive basis. As a result, our current and future competitors, especially those with greater financial, marketing, or other resources, may be able to duplicate or improve upon some or all of the elements of our online experience or merchandise offerings that we believe are important in differentiating our website and our customers’ shopping experience. If our competitors were to duplicate or improve upon some or all of the elements of our online experience or product offerings, our competitive position could suffer, which could have a material adverse effect on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consumer discretionary spending and may be adversely affected by economic downturns and other macroeconomic conditions or trends.</w:t>
      </w:r>
    </w:p>
    <w:p>
      <w:pPr>
        <w:spacing w:after="0" w:line="15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subject to global economic conditions and their impact on consumer discretionary spending. Customer purchases of discretionary retail items and specialty retail products, which include our apparel, footwear, and accessories, may be adversely affected by economic conditions such as employment levels, salary and wage levels, the availability of customer credit, inflation, high interest rates, high tax rates, high fuel prices, increased tariffs and global trade instability, and customer confidence with respect to current and future economic conditions. Customer purchases may decline during recessionary periods or at other times when unemployment is higher, fuel prices are higher or disposable income is lower. During 2023, 2024, and 2025, we experienced reductions in net revenue due to challenging macroeconomic conditions where consumers generally lowered their spending levels. These risks may be exacerbated for retailers like us that focus significantly on selling discretionary fashion merchandise to customers who seek value. Customer willingness to make discretionary purchases may decline, may stall or may be slow to increase due to national and regional economic conditions.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may be particularly susceptible to economic and other conditions in certain regions, states or countries. Considerable uncertainty and volatility remains in the national and global economy, and any further or future slowdowns or disruptions in the economy could adversely affect online shopping traffic and customer discretionary spending and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Merchandise and Inventory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maintain our desired merchandise assortment or manage our inventory effectively, we may be unable to attract a sufficient number of customers or sell sufficient quantities of our merchandise, which could result in excess inventories, markdowns, and foregone sales.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offer our customers a broad merchandise assortment with new styles introduced virtually every day in small batches. This enables us to learn about customer demand using our proprietary reorder algorithm, which allows us to reorder best selling products in higher volume. We cannot assure investors that we will be able to continue to stock a broad assortment of merchandise at our current frequency. If we are unable to offer a broad merchandise assortment or manage our inventory effectively, customers may choose to visit our website less frequently, our brand could be impaired, we could lose sales, and our ability to compete successfully and our market share may decline. Further, any failure to manage our merchandise assortment or deficiencies in product testing may result in inaccurate demand forecasting and could lead to excess inventories which could result in higher markdowns. We have experienced logistics issues that have adversely affected our ability to manage our inventory in the past and may experience such issues in the future. If we are unable to identify the appropriate products to reorder in higher volume or successfully manage our desired merchandise assortment, it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merchandise on a timely basis at competitive prices could suffer as a result of any deterioration or change in our supplier relationships or events that adversely affect our suppliers or their ability to obtain financing for their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many important supplier relationships. We do not own or operate any manufacturing facilities. Instead, we purchase nearly all of our merchandise from third-party suppliers. During 2025, our top nine suppliers accounted for approximately 50% of our purchases, with no single supplier accounting for more than approximately 9.0% of our purchases. Our business and financial performance depend in large part on our ability to evaluate merchandise quickly for style and then modify if needed or to improve the quality, look, and fit of the item. We must also be able to quickly source merchandise and place orders in order to successfully execute our strategy of rapidly responding to evolving fashion trends. Merchandise may not be available to meet our fashion needs on a timely basis, at competitive prices, or at all. Due to the nature of our product strategy, we do not have long-term commitments with any of our suppliers, and we generally operate without any contractual assurances of continued supply, pricing, or access to new products. Our standard terms and conditions do not commit us or our suppliers to any particular quantities, which are established on a purchase order basis.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supplier relationships, and therefore our business, could be materially adversely affected if our suppliers:</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225" w:lineRule="exact"/>
        <w:rPr>
          <w:rFonts w:ascii="Times New Roman" w:cs="Times New Roman" w:eastAsia="Times New Roman" w:hAnsi="Times New Roman"/>
          <w:sz w:val="18"/>
          <w:szCs w:val="18"/>
          <w:color w:val="auto"/>
        </w:rPr>
      </w:pPr>
    </w:p>
    <w:p>
      <w:pPr>
        <w:ind w:left="4880" w:right="4440" w:hanging="4521"/>
        <w:spacing w:after="0" w:line="409" w:lineRule="auto"/>
        <w:tabs>
          <w:tab w:leader="none" w:pos="68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pricing terms to require us to pay upfront or upon delivery;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554355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right="2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access to styles, brands, and merchandise by entering into broad exclusivity arrangements with our competitors or otherwise in the marketplace;</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merchandise to our competitors with similar or better pricing, many of whom already purchase merchandise in significantly greater volume and, in some cases, at lower prices than we do;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quality of their merchandise;</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apparel, footwear, and accessories to retail customers directly through their own stores, catalogs, or on the internet and compete with us directly;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choose to discontinue selling merchandise to us.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business is driven in part by the price-value proposition we offer our customers. If the costs of the raw materials, for example cotton, synthetics, and trim, or other inputs, such as energy costs or prevailing wages, used in producing our merchandise increase, our suppliers may look to pass these cost increases along to us. The price and availability of such raw materials may fluctuate significantly, depending on many factors which are outside of our control, including commodity prices, crop yields, and weather patterns. In addition, the costs of other inputs are also outside of our control. If our suppliers attempt to pass any cost increases on to us and we refuse to pay the increases, we could lose those suppliers, resulting in the risk that we could not fill our purchase orders in a timely manner or at all. If we pay the increases, we could either attempt to raise retail prices for our merchandise, which could adversely affect our sales and our brand image, or choose not to raise prices, which could adversely affect the profitability of our merchandise sales. As a result, any increase in the cost of raw materials or other inputs could have a material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historically have established good working relationships with many suppliers, some of which have more limited resources, production capacities and operating histories than others. Market and economic events that adversely impact our suppliers could impair our ability to obtain merchandise in sufficient quantities. Such events include difficulties or problems associated with our suppliers’ business, finances, ability to import or ship merchandise as a result of strikes, labor disruptions or other events, costs, production, insurance, and reputation. We cannot assure investors that we will be able to acquire desired merchandise in sufficient quantities on acceptable terms or at all in the future, especially if we need significantly greater amounts of inventory in connection with the growth of our business, or that we will be able to get such merchandise delivered to our distribution facilities on a timely basis. We may need to develop new relationships, as our current suppliers may be unable to supply us with needed quantities and we may not be able to find similar merchandise on the same terms. If we are unable to acquire suitable merchandise in sufficient quantities, at acceptable prices with adequate delivery times due to the loss of or a deterioration or change in our relationship with one or more of our key suppliers or if events harmful to our suppliers occur, it could have a material adverse effect on our business, financial condition,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trade restrictions are imposed or existing trade restrictions become more burdensome, our ability to source imported merchandise efficiently and cost effectively could be materially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majority of our inventory is produced by foreign manufacturers, including those based in China, which is either directly imported by domestic importers or imported by us from foreign suppliers. While we believe this is the best strategic business model for the time being, our dependence on foreign supply sources is subject to risks associated with international trade conflicts, particularly with respect to export and import controls and laws, global sourcing and manufacturing which could result in disruptions to our operations.</w:t>
      </w:r>
    </w:p>
    <w:p>
      <w:pPr>
        <w:spacing w:after="0" w:line="2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Suppliers, to the extent they obtain merchandise from outside of the U.S., are subject to trade restrictions, including tariffs, safeguards, or quotas, changes to which could increase the cost or reduce the supply of merchandise available to us. For example, since February 2025, the U.S. government has imposed incremental tariffs on most goods imported from China. In addition, U.S. tariffs on goods imported from certain other countries included an incremental reciprocal tariff of 10% imposed since April 2025. On February 20, 2026, the Supreme Court of the United States of America ruled against President Trump's use of IEEPA, to impose tariffs on global trade partners, effective immediately. The impact of this decision on previous tariffs paid is undetermined while the case is returned to the Court of International Trade for reconsideration in accordance with the Supreme Court ruling.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32"/>
        <w:spacing w:after="0" w:line="257" w:lineRule="auto"/>
        <w:tabs>
          <w:tab w:leader="none" w:pos="3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tariffs, particularly on Chinese goods, directly impact our owned brand products and, to a lesser extent, a limited number of third-party branded products. If U.S. tariffs on China or other countries from which we or our suppliers source products are reinstated or are increased further, it may increase our cost of sales and may also increase the price of our products. In addition,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heightened tariffs may adversely impact our ability to acquire products on acceptable terms and may also adversely impact global logistics, which may result in our inability to purchase sufficient inventory to meet customer demand and in turn materially and adversely impact our sales.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trade restrictions could have a significant impact on our suppliers’ sourcing patterns in the future. The extent of this impact, if any, and the possible effect on our purchasing patterns and costs, cannot be determined at this time. We cannot predict whether any of the countries in which our suppliers’ merchandise is currently manufactured or may be manufactured in the future will be subject to additional trade restrictions imposed by the U.S. or foreign governments, nor can we predict the likelihood, type or effect of any restrictions. Trade restrictions, including increased tariffs or quotas, embargoes, safeguards, and customs restrictions against items we offer, as well as U.S. or foreign labor strikes, work stoppages or boycotts, could increase the cost or reduce the supply of merchandise to our suppliers, and we would expect the costs to be passed along in increased prices to us, which we may be unable to pass on to our customers,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returns and damages could harm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allow our customers to return merchandise, subject to our return policy. If merchandise return economics become more costly, our business, financial condition, and results of operations could be harmed. Further, we modify our policies relating to returns or damages from time to time, which may result in customer dissatisfaction or an increase in the number of merchandise returns or damaged products. Supplier non-compliance can also result in increased returns or damages. From time to time, our products are damaged or lost in transit or damaged by customers, which can increase return rates and inventory write-offs and harm our brand. Competitive pressures could cause us to alter our shipping policies, which could also result in customer dissatisfaction or an increase in the number of merchandise returns or damaged products. Due to our customer friendly return policy and consumer behavior, we have experienced and may in the future experience heightened levels of returns, which have and may continue to negatively impact our operating results and financial position. We have also experienced and may in the future experience increased levels of returns due to changes in consumer shopping behavior and discretionary spending as a result of changes in macroeconomic conditions or consumer confidence, including levels of unemployment, the size and timing of federal stimulus programs, salaries and wage rates, high inflation, high interest rates, recession or fears of recession, housing costs, energy and fuel costs, income tax rates and the timing of tax refunds, consumer perceptions of personal well-being and security, availability of consumer credit and consumer debt levels.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international returns may harm our gross margin if we are unable to successfully recover applicable duties and taxes. For merchandise returned by customers in certain countries, we refund the full amount of the customer’s purchase to the customer, including applicable duties and taxes, and must separately attempt to recover the amount of duties and taxes paid by the customer from the relevant government authority. Our ability to recover such duties and taxes may be limited by country, shipping carrier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Infrastructure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External parties, such as experienced computer programmers and hackers, or even internal users (including both employees and non-employees with authorized access), may be able to penetrate or create systems disruptions or cause shutdowns of our networks, systems and applications or those of third-party companies with which we have contracted to provide services. We collect and use personal information about our employees, customers and others, and sometimes rely upon third-party service providers to maintain or process data on our behalf and to provide security for the information in their possession. Any real or perceived compromise of such information could deter customers from using our platform, subject us to governmental investigations and/or enforcement actions, fines and penalties, litigation, claims and other liabilities, and harm our reputation, which could have a material adverse effect on our business, financial condition and results of operations. Moreover, we could incur significant expenses or disruptions of our operations in connection with system failures, timeliness of applying updates to vulnerable systems or other factors within or beyond our control. Such failures or breaches in our information systems could also result in the disclosure, misappropriation, modification or misuse of, or unauthorized access to, our confidential, proprietary, or personal information, disruption of our operations or damage to our networks and systems. An increasing number of websites, including several large internet companies, have disclosed breaches of their security, some of which have involved increasingly sophisticated and highly targeted attacks on portions of their sites. For example, online businesses have been targeted with attacks aimed at compromising the security of payment card information submitted by customers for</w:t>
      </w:r>
    </w:p>
    <w:p>
      <w:pPr>
        <w:sectPr>
          <w:pgSz w:w="11900" w:h="16838" w:orient="portrait"/>
          <w:cols w:equalWidth="0" w:num="1">
            <w:col w:w="9920"/>
          </w:cols>
          <w:pgMar w:left="980" w:top="513" w:right="99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online purchases, including by injecting malicious code or scripts on website pages or by gaining unauthorized access to payment systems. As an online retailer, we may be targeted with similar attempts.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take steps to protect our networks, systems, applications and data, including the implementation of additional security measures from time to time, we or our service providers may be unable to anticipate, defend against, or timely identify and respond to such activity, including but not limited to hacking, malware, viruses, social engineering (such as phishing or other scams), extortion, account takeover attacks, denial or degradation of service attacks, supply chain attacks, computer and network vulnerabilities or the negligence and malfeasance of individuals with authorized access to our data. In addition, sophisticated hardware and operating system software and applications that we buy or license from third parties may contain defects in design or manufacture, including “bugs” and other problems that could unexpectedly interfere with the security and operation of the systems. The costs to us to eliminate or alleviate security problems, viruses and bugs, or any problems associated with the outsourced services provided to us, could be significant, and efforts to address these problems could result in interruptions, delays or cessation of service that may impede our sales, distribution, or other critical functions and have a material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many states and countries have enacted laws or regulations that require companies to notify individuals about certain types of security incidents or breaches, and any such disclosures or a failure to disclose may lead to negative publicity and may deter customers from shopping with us or result in a claim that we failed to meet the requirements of applicable regulations.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 by insurance or is in excess of insurance coverage would increase our operating expenses and reduce our net income, if any, or increase our net loss.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continually update, augment and add technology systems, which could potentially disrupt our operations and have a material adverse effect on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years, we have found a balance between developing proprietary applications that are optimized for and tailored to our business and customers’ needs on the one hand, and best-in-class third-party solutions on the other hand. We periodically evaluate whether our proprietary application solutions can be replaced by either more advanced or more cost effectively scaled third-party solutions. While currently our order and warehouse management systems are developed in-house, when suitable third-party solutions become available, we might replace our internal systems depending on the growth and the demands of the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example, we implemented a data warehouse solution that in near real-time integrates data from our proprietary software applications and third-party software applications to unlock the various data silos and allow for holistic business intelligence analysis and reporting. The actionable insights we have been able to gather from these analytics have allowed us to detect and act on trends sooner, identify improvement opportunities and implement predictive analysis models to gain efficiencies.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open source software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The failure of our information systems, open source software and the third-party systems we rely on to perform as designed, or our failure to implement and operate them effectively, could disrupt our business or subject us to liability and thereby harm our profitability.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when integrating or introducing AI and generative AI technologies into our platforms, processes and systems, we may be exposed to new or expanded liabilities and risks due to elevated governmental scrutiny and monitoring, litigation, data privacy risks and compliance issues in a disparate and at times conflicting regulatory environment, all of which could negatively affect our financial performance and business reputation.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risks associated with the above systems changes, as well as any failure of such systems to operate effectively, could disrupt and adversely impact the promptness and accuracy of our merchandise distribution, transaction processing, financial accounting and reporting, and our internal controls over financial reporting, the efficiency of our operations and our ability to properly forecast earnings and cash requirements. We could be required to make significant additional expenditures to remediate any such failures or problems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implement these new systems or, if implemented, we may still face unexpected disruptions or cost overruns in the future,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technology and systems to support our supply chain, payments, financial reporting and other key aspects of our business. Any failure, inadequacy, interruption or security failure of those systems could have a material adverse effect on our business, reputation and brand,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sites, transaction-processing systems and technology infrastructure are critical to our reputation and our ability to acquire and retain customers, as well as maintain adequate customer service levels. Our ability to effectively manage our business depends significantly on our information systems and platforms provided by third parties, which we use primarily to manage items, purchase orders, stock ledgers and allocation and supply chain planning. To manage the growth of our operations and personnel, we will need to continue to improve and expand our operational and financial systems, transaction processing and internal controls and business processes; in doing so, we could encounter transitional issues and incur substantial additional expenses. If we are unable to maintain our current relationships with these service providers, there is no assurance that we will be able to locate replacements on a timely basis or on acceptable terms. The failure of our information systems to operate effectively, problems with transitioning to upgraded or replacement systems or expanding them, or a breach in security of these systems, could materially adversely affect the promptness and accuracy of our merchandise distribution, transaction processing, financial accounting and reporting, the efficiency of our operations and our ability to properly forecast earnings and cash requirements. We could be required to make significant additional expenditures to remediate any such failure, problem or breach.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we house many of our systems offsite at third-party data centers. Our data centers may be subject to cyber-attacks or other technology-related incidents, and also break-ins, sabotage and intentional acts of vandalism that could cause disruptions in our ability to serve our customers and protect data. Some of our systems are not fully redundant, and our disaster recovery planning cannot account for all eventualities. The occurrence of a natural disaster, intentional sabotage or other anticipated problems could result in lengthy interruptions to our service. Any errors or vulnerability in our systems or damage to or failure of our systems, or a third-party data center hosting our data, could result in interruptions in our operations and could have a material adverse effect on our business, financial condition, and results of operations.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now and in the future implement new systems to increase efficiencies and profitability. We may encounter transitional issues and incur substantial additional expenses in connection with any implementation or change to existing processes,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SMS and other messaging services, and any restrictions on the sending of emails or messages or an inability to timely deliver such communications could materially adversely affect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email, SMS and other messaging services for promoting our brand and platform. We send promotional email and SMS messages and push notifications to inform customers of new products, shipping specials and other offers, and transactional emails and SMS messages to communicate updates to customer orders and returns or to respond to customer outreach. We believe these messages are an important part of our customer experience. If we are unable to successfully deliver emails, SMS or other messages to our subscribers, or if subscribers decline to open or read our messages, our net revenue and profitability would be materially adversely affected. Changes in how web, mail and carrier services block, organize and prioritize messaging may reduce the number of subscribers who receive or open our messages. For example, Google’s Gmail service has a feature that organizes incoming emails into categories (for example, primary, social and promotions). Such categorization or similar inbox organizational features may</w:t>
      </w:r>
    </w:p>
    <w:p>
      <w:pPr>
        <w:sectPr>
          <w:pgSz w:w="11900" w:h="16838" w:orient="portrait"/>
          <w:cols w:equalWidth="0" w:num="1">
            <w:col w:w="9920"/>
          </w:cols>
          <w:pgMar w:left="980" w:top="513" w:right="99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 SMS or other messages could also adversely impact our business. From time to time, email service providers or other third parties may block bulk email transmissions or otherwise experience technical difficulties that could result in our inability to successfully deliver emails or other messages to customers. Changes in the laws or regulations that limit our ability to send such communications or impose additional requirements upon us in connection with sending such communications would also materially adversely impact our business. Our use of email, SMS and other messaging services to send communications to customers may also result in legal claims against us, which may cause us increased expense, and if successful, might result in fines or orders with costly reporting and compliance obligations or might limit or prohibit our ability to send email, SMS or other messages.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rely on social media platforms to communicate with our customers and to encourage our customers to engage with our brand. Changes to the terms of these social media platforms to limit promotional communications or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software and systems contain open source software, which may pose particular risks to our proprietary applications.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utilize open source software in the applications we have developed to operate our business and will use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that we offer our proprietary software that incorporates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We may face claims from third parties claiming ownership of, or demanding the release or license of, the open source software or derivative works that we developed from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or cease offering the implicated software unless and until we can re-engineer it to avoid infringement. We also may be required to re-engineer products if the license terms for incorporated open source software change. The re-engineering process of some or all of our software could require significant additional research and development resources, and we may not be able to complete it successfully. In addition, use of open source software can lead to greater risks than use of third-party commercial software because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These risks could be difficult to eliminate or manage and, if not addressed, could adversely affect our business, results of operations, and financial conditions.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use or may in the future use AI and machine learning in our business to, among other things, facilitate personalized customer journeys, predict shopping behaviors, optimize marketing, generate data aggregation, summarizations and insights, and streamline workflows. Issues relating to our use or potential use of new and evolving AI technologies may cause us to experience brand or reputational harm, competitive harm, customer loss, legal liability or new or enhanced governmental or regulatory scrutiny, and to incur additional costs to resolve such issues. For example, sensitive, proprietary, or confidential information of the Company and employees could be leaked, disclosed, or revealed as a result of or in connection with the use of generative AI technologies by our employees or vendors. Any such information input into a third-party generative AI or machine learning platform could be revealed to others, including if information is used to train the third party's generative AI or machine learning models, which may impact our ability to realize the benefit of, or adequately maintain, protect, and enforce our intellectual property or confidential information, harming our competitive position and business. Additionally, where a generative AI or machine learning model ingests personal information and makes connections using such data, those technologies may reveal other sensitive, proprietary, or confidential information generated by the model. The use of AI also brings ethical issues related to privacy, customer monitoring and consent and transparency of use, as well as potential for bias and discrimination. We have implemented a policy and guidelines for employee use of AI tools and may implement access controls and other safeguards for certain AI use cases. We also assess third-party AI tools and services through risk-based diligence and impose contractual requirements, where we seek to manage risks relating to ownership and licensing of input and output data. However, uncertainties remain with respect to evolving intellectual property rights and privacy requirements.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Generative AI or machine learning models may create incomplete, inaccurate, offensive or otherwise flawed outputs, some of which may appear correct. Further, AI algorithms are based on machine learning and predictive analytics, which can include unexpected biases and lead to discriminatory outcomes. We may engage in testing, review, or monitoring commensurate with the use case to help identify and address issues such as inaccuracy, bias, or drift; however, such measures cannot eliminate these risks. Due to these issues, these models could lead us to make flawed decisions that could result in adverse consequences to us. Further, any outputs that we create using generative AI technologies may not be subject to copyright protection, which may adversely affect our intellectual property rights in, or ability to commercialize or use, any such content. To the extent that we do not have sufficient rights to use the data or other material or content used in or produced by the AI-enabled systems used in our business, or if we experience cybersecurity incidents in connection with our use or any third party’s use of AI-enabled tools, it could adversely affect our reputation and expose us to legal liability or regulatory risk, including with respect to third-party intellectual property, data privacy, cybersecurity, publicity, contractual or other rights.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uncertainty in the legal regulatory regime relating to AI may require significant resources to modify and maintain business practices to comply with applicable law, the nature of which cannot be determined at this time. Several jurisdictions have already proposed or enacted laws governing AI. Other jurisdictions may decide to adopt similar or more restrictive legislation that may render the use of such technologies challenging. The timing, scope, and enforcement of such requirements remain uncertain. These obligations may prevent or limit our ability to use AI in our business, lead to regulatory fines or penalties, or require us to change our business practices. If we cannot use AI, or that use is restricted, our business may be less efficient, or we may be at a competitive disadvantage. Any of these factors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regulations and laws specifically governing the Internet and eCommerce. Existing and future regulations and laws could impede the growth of the Internet, eCommerce or mobile commerce. These regulations and laws may involve online payments, taxes, tariffs, privacy, data protection, data security, anti-spam, content protection, website accessibility, Internet neutrality, AI, automated decision making, electronic contracts and communications, consumer protection, website accessibility, Internet neutrality and gift cards. Additional examples include intermediary liability protections, online platform liability, content moderation, online child safety, packaging and recycling requirements, seller certification and representative requirements, and know-your-customer/business regulations.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laws and regulations are continuously evolving, and compliance is costly and can require changes to our business practices and significant management time and effort. We strive to comply with all applicable laws, and compliance is often complex and/or operationally challenging. In addition, applicable laws may conflict with other rules or our practices and by complying with the laws or regulations of one jurisdiction, we may find that we are violating the laws or regulations of another jurisdiction.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consumers and suppliers and may result in the imposition of monetary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Supply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and warehousing.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source nearly all of the merchandise we offer from third-party suppliers, and as a result we may be subject to price fluctuations or demand disruptions. Our results of operations would be negatively impacted by increases in the prices of our merchandise, and we have no guarantees that prices will not rise. We are working to strategically establish more direct sourcing relationships with factories, which adds risks related to shipping, importation, and payment terms. In addition, as we expand into new categories and product types, we expect that we may not have strong purchasing power in these new areas, which could lead to higher prices than we have historically seen in our current categories. We may not be able to pass increased prices on to customers, which could adversely affect our results of operations. Moreover, in the event of a significant disruption in the supply of the fabrics or raw materials used in the manufacture of the merchandise we offer, the suppliers we work with might not be able to locate alternative suppliers of materials of comparable quality at an acceptable price. For example, natural disasters could increase raw material costs, impacting pricing with certain of our suppliers, or cause shipping delays for certain of our merchandise. We may not be able to maintain the quality expectations of customers due to disruptions in the supply of the fabrics or raw materials used in the manufacture of our products. Global climate change is resulting in certain types of natural disasters occurring more frequently or with more intense effects. Any delays, interruption,</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 to, or increased costs in the manufacture of the merchandise we offer could result in higher prices to acquire the merchandise or non-delivery of merchandise altogether and could adversely affect our results of operations.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have strong supplier relationships, and we work continuously with our suppliers to manage cost increases. Our overall profitability depends, in part, on the success of our ability to mitigate rising costs or shortages of raw materials used to manufacture our merchandise. Cotton, synthetics and other raw materials used to manufacture our merchandise are subject to availability constraints and price volatility impacted by a number of factors, including supply and demand for fabrics, weather, government regulations, economic climate, and other unpredictable factors. In addition, our sourcing costs may fluctuate due to labor conditions, transportation, or freight costs, energy prices, currency fluctuations, or other unpredictable factors. The cost of labor at many of our third-party suppliers has been increasing in recent years, and we believe it is unlikely that such cost pressures will abate.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of our merchandise is shipped from our suppliers by ocean vessel. If a disruption occurs in the operation of ports through which our merchandise is imported, we may incur increased costs related to air freight or use of alternative ports. Shipping by air is significantly more expensive than shipping by ocean and our margins and profitability could be reduced. Shipping to alternative ports could also lead to delays in receipt of our merchandise. We rely on third-party shipping companies to deliver our merchandise to us. Failures by these shipping companies to deliver our merchandise to us or lack of capacity in the shipping industry could lead to delays in receipt of our merchandise or increased expense in the delivery of our merchandise. Geopolitical tensions in early 2026 involving Iran, the U.S., Israel, and multiple Gulf states have introduced potential volatility in oil markets that could result in higher fuel-related surcharges from carriers. Any of these developments could have a material adverse effect on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merchandise we receive from suppliers will be of sufficient quality or free from damage, or that such merchandise will not be damaged during shipping, while stored in one of our distribution facilities, or when returned by customers. Further, as we establish more direct sourcing relationships, we will become increasingly responsible for any product quality issues that arise. While we take measures to ensure merchandise quality and avoid damage, including evaluating supplier product samples, conducting inventory inspections and inspecting returned product, we cannot control merchandise while it is out of our possession or prevent all damage while in our distribution facilities. We may incur additional expenses and our reputation could be harmed if customers and potential customers believe that our merchandise is not of sufficiently high quality or may be damaged.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two distribution facilities and disruptions to the operations at these locations could have a material adverse effect on our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one distribution facility located in California and one in Pennsylvania. All of our merchandise is shipped from our suppliers to one of our distribution facilities and then packaged and shipped from our distribution facilities to our customers. The success of our business depends on our timely receipt of merchandise so we can continuously bring new, on-trend products online for sale. The success of our business also depends on customer orders being timely processed and delivered to meet promised delivery dates and satisfy our customers. The efficient flow of our merchandise requires that we have adequate capacity and uninterrupted service in our distribution facilities to support both our current level of operations and any increased levels that may follow from future growth plans. We may be unable to accommodate future growth using our existing distribution facilities. In such case, we will either need to expand and upgrade our existing distribution facilities or open additional distribution facilities. Upgrading our existing distribution facilities or transferring our operations to a facility with greater capacity will require us to incur additional costs, which could be significant, and may require us to secure additional favorable real estate or may require us to obtain additional financing. Appropriate locations or financing for the purchase or lease of such additional real estate may not be available at reasonable costs or at all. Our failure to provide adequate order fulfillment, secure additional distribution capacity when necessary, or retain a suitable third-party logistics provider could impede our growth plans. Further increasing this capacity could increase our costs, which in turn could have a material adverse effect on our business, financial condition, and results of operations. Alternatively, based on our assessments and if required by business conditions, we may make capital investments to move or close all or part of additional distribution facilities in the future. These changes could result in significant future charges or disruptions in our operations, and we may not achieve the expected benefits from these changes, which could result in an adverse impact on our operating results, cash flows and financial condition.</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encounter difficulties associated with our distribution facilities or if they were to shut down or be unable to operate for any reason, including because of fire, natural disaster, power outage, or other event, we could face inventory shortages, resulting in “out-of-stock” conditions on our website, and delays in shipments, resulting in significantly higher costs and longer lead times distributing our merchandise. In addition, operations and distribution staff would need to find an alternative location, causing further disruption to our business and operations and increased costs associated with opening a new location.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encounter difficulties or disasters with our distribution facilities or corporate offices, our disaster recovery, business continuity and document retention plans may be inadequate or insufficient and our critical systems, operations and information may not be restored in a timely manner, or at all, and this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distributors, and other suppliers,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third-party suppliers to source and manufacture many of our products under our owned brand, and those third-party suppliers source from manufacturers based primarily in China and, to a lesser extent, countries such as Mexico, Vietnam, India and the U.S. We are also working to strategically establish more direct sourcing relationships with manufacturers overseas. We engage our third-party suppliers and manufacturers on a purchase order basis combined with customary terms and conditions and are not party to any long-term contracts containing purchase obligations. The ability of these third parties to supply and manufacture our products may be affected by competing orders placed by other clients and the demands of those clients. If we experience significant increases in demand or need to replace a significant number of existing suppliers or manufacturers, we cannot assure that additional supply and manufacturing capacity will be available when required on terms that are acceptable to us, or at all, or that any supplier or manufacturer will allocate sufficient capacity to us in order to meet our requirements.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quality control problems, such as the use of materials and delivery of products that do not meet our quality control standards and specifications or comply with applicable laws or regulations, could harm our business. We do not regularly inspect our suppliers and quality control problems could result in regulatory action, such as restrictions on importation, products of inferior quality or product stock outages or shortages, harming our sales, and creating inventory write-downs for unusable products. Further, we cannot assure that we will be able to detect, prevent or fix all defects that may affect our merchandise, which could hurt the image of our brand and is critical to maintaining and expanding our business. Any negative publicity or lawsuits filed against us related to the perceived quality of our products could harm our brand and decrease demand for our products.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Countries from which we or our vendors obtain products may, from time to time, impose new or adjust prevailing quotas or other restrictions on exported products, and the U.S. may impose new duties, quotas and other restrictions on imported products. This could disrupt the supply of such products to us and adversely affect our operations. The U.S. Congress periodically considers other restrictions on the importation of products obtained for us. The cost of such products may increase for us if applicable duties are raised or import quotas with respect to such products are imposed or made more restrictive.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strategies to try to mitigate the impact of current and potential future tariffs, including collaborative efforts with our vendor partners and suppliers. There can be no assurance that the imposed tariffs will not be increased, expanded or extended. The impact of these tariffs on current and future fiscal years could have a material adverse effect on our cost of goods sold and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third-party manufacturers, suppliers, and distributors may:</w:t>
      </w:r>
    </w:p>
    <w:p>
      <w:pPr>
        <w:spacing w:after="0" w:line="225"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including obligations to meet our production deadlines, quality standards, pricing guidelines and product specifications, and to comply with applicable regulations, including those regarding the safety and quality of products;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which may affect our procurement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third-party suppliers and manufacturers are based in China, which exposes us to risks inherent in doing business there.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use third-party suppliers and manufacturers based in China. This sourcing concentration increases our dependence of these suppliers and exposes us to the risks of doing business in China. We may have greater risks than our peers due to the concentration of our suppliers and manufacturers in China. With the rapid development of the Chinese economy, the cost of labor has increased and may continue to increase in the future. Our results of operations will be materially and adversely affected if the labor costs of our third-party suppliers increase significantly.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our suppliers may not be able to find a sufficient number of qualified workers due to the intensely competitive and fluid market for skilled labor in China. Sourcing products from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custom duties, environmental regulations, land use rights, intellectual property, currency controls, network security, sanctions, embargoes, employee benefits and other matters. In addition, we may not obtain or retain the requisite legal permits to continue to operate in China, and costs or operational limitations may be imposed in connection with obtaining and complying with such permits. Further, Chinese trade regulations are in a state of flux, and we may become subject to other forms of taxation, tariffs and duties in these jurisdictions. Imports into the U.S. of products from China may also be subject to increased risk of seizure by Customs and Border Protection in light of enforcement directives established by the Uyghur Forced Labor Prevention Act, or UFLPA, and regulations issued pursuant to UFLPA.</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increasing the number of direct sourcing relationships with manufacturers overseas, but because our experience with direct sourcing is still relatively limited, we may be exposed to unforeseen risks that could have a material adverse effect on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an effort to address some of the challenges with our current supply chain, including pricing, geopolitical challenges, competing orders placed by other clients, and overall risks of doing business in China, we are working to strategically build upon our direct sourcing relationships with manufacturers overseas across various locations. We have some experience with direct sourcing relationships but overall, our experience is limited in comparison to our third-party supplier relationships. We may not be successful in establishing direct sourcing relationships, and we may not successfully identify the correct suppliers or countries in which to establish relationships or correct business or legal terms to govern the relationships. If we engage suppliers whose materials and/or delivery of products do not meet our quality control standards and specifications or comply with applicable laws or regulations, our operating results and reputation could be materially adversely impacted. We may not be successful in obtaining the margin benefits we are anticipating from direct sourcing, and may experience difficulties with order quantities, payment terms, quality, third-party, regulatory compliance, and customs complexities. If any of these events occur, our results of operations, financial condition, and cash flows could be materially and adversely affected.</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to comply with product safety, labor or other laws, our Vendor and Supplier Code of Conduct, or our standard terms and conditions, or to provide safe factory conditions for their workers may damage our reputation and brand and harm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merchandise we sell to our customers is subject to regulation by the U.S. Consumer Product Safety Commission and similar state and international regulatory authorities. As a result, such merchandise could be in the future subject to recalls and other remedial actions. Product safety, labeling, and licensing concerns may require us to voluntarily remove selected merchandise from our inventory. Such recalls or voluntary removal of merchandise can result in, among other things, lost sales, diverted resources, potential harm to our reputation, and increased customer service costs and legal expenses, which could have a material adverse effect on our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subject to regulations related to the manufacture of the merchandise that we sell. For example, in California, we are subject to record keeping and wage guarantor obligations pursuant to SB 62 (the “Garment Worker Protection Act”), for certain items that we contract to manufacture, as well as AB 701 (the “Warehouse Quotas Law”), which requires us to ensure that quotas do not interfere with warehouse worker meal and rest periods under California’s wage orders.</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purchase our merchandise from numerous third-party domestic and international suppliers. Failure by us or our third-party suppliers to comply with such laws and regulations, as well as with ethical, social, product, labor and environmental standards, or related political considerations, could result in the cancellation of orders by customers and termination of relationships, among other things. Some of the merchandise we sell may expose us to product liability claims and litigation or regulatory action relating to personal injury or environmental or property damage. Although we maintain liability insurance, we cannot be certain that our coverage will be adequate for liabilities actually incurred or that insurance will continue to be available to us on economically reasonable terms or at all. In addition, some of our agreements with our suppliers may not indemnify us from product liability for a particular supplier’s merchandise or our suppliers may not have sufficient resources or insurance to satisfy their indemnity and defense obligations. Our standard vendor terms and conditions require suppliers to comply with applicable laws and to warrant that the products are made without use of child labor, convict labor, indentured or bonded labor, or labor obtained through human trafficking. Our Vendor and Supplier Code of Conduct, which our vendors contractually agree to, further sets forth our baseline expectations for safe and humane factory conditions. Failure of our suppliers to comply with applicable laws, regulations and contractual requirements or to provide safe and humane factory conditions and oversight at their facilities could damage our reputation and brand and lead to legal claims against us, resulting in increased legal expenses and costs. Further,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9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upon independent third-party transportation providers for substantially all of our merchandise shipments and any disruptions or increased transportation costs could have a material adverse effect on our business, financial condition, and results of operations.</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rely upon independent third-party transportation providers for substantially all of our merchandise shipments, including shipments to all of our distribution facilities and our customers. Our shipments are subject to risks, including increases in fuel prices, which would increase our distribution costs, and employee strikes and inclement weather, which may impact the third party’s ability to provide delivery services that adequately meet our needs. For example, it can take as long as six to seven days to get shipments from our distribution facilities. If we change shipping companies, we could face logistical difficulties that could adversely impact deliveries and we would incur costs and expend resources in connection with such change. Moreover, we may not be able to obtain terms as favorable as those received from the independent third-party transportation providers we currently use, which would increase our costs. Historically, the shipping and handling fees we charge our customers are intended to partially offset the related shipping and handling expenses. Pure-play and omni-channel retailers are increasing their focus on delivery services, as customers are increasingly seeking faster, guaranteed delivery times and low-price or free shipping. To remain competitive, we may be required to offer discounted, free or other more competitive shipping options to our customers, including expedited delivery services, which may result in declines in our shipping and handling fees and increased shipping and handling expense. Any increase in shipping costs or any other significant shipping difficulties or disruptions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Taxation and Litigation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and other risks if we, our suppliers or the manufacturers of our merchandise infringe upon the trademarks, copyrights or other intellectual property rights of third parties, including the risk that we could acquire merchandise from our suppliers without the full right to sell it.</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purchase merchandise that may be subject to copyrights, design patents, trademark, trade dress or otherwise may incorporate protected intellectual property. Typically we are not involved in the manufacture of any of the merchandise that we purchase from our suppliers for sale to our customers, and we do not independently investigate whether our suppliers or the manufacturers with whom they do business hold intellectual property rights to the merchandise we purchase. Third parties have and may bring legal claims, or threaten to bring legal claims, against us that their intellectual property rights are being infringed or violated by our use of intellectual property if our suppliers or the manufacturers of our merchandise infringe upon the intellectual property rights of third parties. Litigation or threatened litigation, regardless of merit, could be costly, time consuming to defend, require us to redesign or rebrand our products or packaging, if feasible, distract our senior management from operating our business and require us to enter into royalty or licensing agreements in order to obtain the right to use a third party’s intellectual property. Any such royalty or licensing agreements, if required, may not be available to us on acceptable terms or at all. If we were to be found liable for any such infringement, we could be required to pay substantial damages which our indemnifying suppliers may not be able to fully pay, and could be subject to injunctions preventing further infringement. In addition, any payments we are required to make and any injunctions with which we are required to comply as a result of infringement claims could be costly. While our standard vendor terms and conditions require our suppliers to indemnify us against third-party intellectual property claims, certain agreements with our suppliers may not indemnify us from intellectual property claims for a particular supplier’s merchandise or our suppliers may not have sufficient resources or insurance to satisfy their indemnity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defense obligations. Any legal claims or litigation could have a material adverse effect on our business, financial condition, and results of operations.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third party claims to have licensing rights with respect to merchandise we purchased from a supplier, or if we acquire unlicensed merchandise, we may be obligated to remove this merchandise from our platform, incur costs associated with this removal if the distributor or supplier is unwilling or unable to reimburse us and be subject to liability under various civil and criminal causes of action, including actions to recover unpaid royalties and other damages and injunctions. Additionally, we could need to purchase new merchandise to replace any we remove.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Laws and regulations relating to the liability of providers of online services for the activities of their marketers or their social media creators and the content of their marketers' listings are currently unsettled. We could be subject to claims for defamation, negligence, copyright or trademark infringement, or claims based on other theories relating to the information we publish on our websites, or the information published across social media. These types of claims have been brought, sometimes successfully, against online services including us in the past. We may not successfully avoid civil or criminal liability for unlawful activities carried out by our marketers or our creators. Our potential liability for unlawful activities of our marketers or our creators or the content of our marketers' listings could require us to implement measures to reduce our exposure to such liability, which may require us, among other things, to spend substantial resources or to reevaluate marketing efforts. Our insurance may not adequately protect us against these types of claims and the defense of such claims may divert the attention of our management from our operations. If we are subject to such lawsuits, it may adversely affect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including geo-blocking and other geographically based restrictions, internet advertising and price display, customer protection, anti-corruption, antitrust and competition, economic and trade sanctions, tax, banking, data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severely damage our reputation and our relationship with our customers, third party partners and investors as well as decrease demand for our services, limit marketing methods and capabilities, affect our margins, increase costs or subject us to additional liabilities.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customer-generated content, user privacy, data security, behavioral targeting and online advertising, taxation, liability for third-party activities and the quality of services. Furthermore, the growth and development of e-commerce may prompt calls for more stringent customer protection laws and more aggressive enforcement efforts, which may impose additional burdens on online businesses generally.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Likewise, 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as well as specifically targeted individuals and entities that are identified on U.S. and other blacklists, and those owned by them or those acting on their behalf. Anti-corruption laws, including the U.S. Foreign Corrupt Practices Act (the “FCPA”), generally prohibit direct or indirect corrupt payments to government officials and, under certain laws, private persons to obtain or retain business or an improper business advantage.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have policies and procedures in place designed to promote compliance with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expand our operations in existing and new jurisdictions internationally, we will need to increase the scope of our compliance programs to address the risks relating to the potential for violations of the FCPA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services, reduce net revenue, increase costs or subject us to additional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trademarks or other intellectual property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trademarks are integral to our business and our success in building our brand image and customer loyalty. We rely on trademark registrations and common law trademark rights to protect the distinctiveness of our brand and have registered, or have applied to register, those trademarks that we believe are important to our business with the U.S. Patent and Trademark Office and in many foreign countries. We cannot assure that our applications will be approved or that these registrations will prevent imitation of our name, merchandising concept, website design or merchandise or the infringement of our other intellectual property rights by others. Third parties may also oppose our trademark applications or otherwise challenge our use of the trademarks. In certain cases, the merchandise we sell is purchased on a non-exclusive basis from suppliers that also sell to our competitors. While we use our brand name on these items, our competitors may seek to replicate aspects of our business strategy and online experience, thereby diluting the experience we offer and adversely affecting our brand and competitive position. Imitation of our name, concept, website design or merchandise in a manner that projects lesser quality or carries a negative connotation of our brand image could have a material adverse effect on our business, financial condition,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be certain that the actions we have taken to establish, police and protect our trademarks or our resources will be adequate to prevent imitation of our merchandise by others or to prevent others from seeking to block sales of our merchandise as a violation of the trademarks or proprietary rights of others. If disputes arise in the future, we may not be able to successfully resolve these types of conflicts to our satisfaction. In the event that our trademarks are successfully challenged, we could be forced to rebrand our products, which could result in loss of brand recognition and could require us to devote resources to advertising and marketing new brands. Although we cannot currently estimate the likelihood of success of any such lawsuit or ultimate resolution of such a conflict, such a conflict, regardless of outcome, could have an adverse effect on our business, financial condition, and results of operations.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Litigation may be necessary to protect our trademarks and other intellectual property rights or to enforce these rights. Any litigation or claims brought by us could result in substantial costs and diversion of our resources,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collect personal information and other data from our employees, customers, prospective customers and others to provide products and services, to support, expand and improve our business, and to tailor our marketing and advertising efforts. We may also share customers’ personal information with certain third parties as authorized by the customer or as described in our privacy policy. Sophisticated hackers and cybercriminals employ advanced techniques, including social engineering and automated attacks, which may evade detection for extended periods. A breach of our networks, or those of our service providers or vendors with whom we provide or grant access to information, could result in the loss of confidential business and financial data, misappropriation of personal information of customers or employees, and disruption of business operations. Such incidents could materially adversely affect our business through impaired customer relationships, loss of sales and customers, potential fines and lawsuits, significant legal and remediation costs, and damage to our brand. If we expand or enhance mobile applications or age sensitive experiences, we may be subject to additional or evolving requirements related to youth privacy, age verification and age-appropriate design, and app distribution platform policies, and any failure or perceived failure to comply could lead to enforcement actions, litigation, reputational harm, or business interruption.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are subject to an increasingly complex, and sometimes conflicting, set of legal obligations related to data protection, privacy and information security in the U.S., Europe, Canada and other countries where we do business, and there will continue to be new proposed laws and regulations and changes to existing legal frameworks that govern how we collect, use, share, and process personal data. In the U.S., multiple states have enacted, or are considering, comprehensive consumer privacy laws, that establish varying obligations and individual rights, and these laws continue to evolve rapidly. The CCPA (as amended by the CPRA), the most stringent state privacy law, grants California residents data privacy rights that include, among other things, the right to request a copy from a covered company of the personal information collected about them, the right to request deletion of such personal information, the right to request to opt-out of certain sales of such personal information as well as a private right of action for certain data breaches. The European Union adopted the GDPR and the United Kingdom enacted the UK General Data Protection Regulation (which implements the GDPR into UK law); both of which impose significant compliance requirements, including extensive documentation requirements</w:t>
      </w:r>
    </w:p>
    <w:p>
      <w:pPr>
        <w:sectPr>
          <w:pgSz w:w="11900" w:h="16838" w:orient="portrait"/>
          <w:cols w:equalWidth="0" w:num="1">
            <w:col w:w="9920"/>
          </w:cols>
          <w:pgMar w:left="980" w:top="513" w:right="99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granting certain rights to individuals to control how businesses collect, use, disclose, retain and leverage information about them or how they obtain consent from them. In Canada, the Personal Information Protection and Electronic Documents Act (“PIPEDA”), and various provincial laws require companies to give detailed privacy notices to consumers; obtain consent to use personal information, with limited exceptions; allow individuals to access and correct their personal information; and report certain data breaches.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failure or perceived failure by us to comply with rapidly evolving data protection laws and regulations, policies (including our own stated privacy policies), legal obligations, contractual obligations or industry standards, or any security incident that results in the unauthorized release or transfer of personally identifiable information or other customer data, may result in governmental investigations and/or enforcement actions, litigation (including customer class actions), claims by our customers and other third parties, fines, penalties and other liabilities, damage to our reputation or adverse publicity, and could cause our customers to lose trust in us, which could have a material adverse effect on our business, results of operations, financial condition,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comply with applicable laws, including a failure to use acceptable labor practices, or if our suppliers suffer disruptions in their businesses, we could suffer adverse business consequences.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suppliers source the merchandise we sell from manufacturers both inside and outside of the U.S. Although our suppliers are required to comply with all applicable laws, including labor and employment, immigration, customs, environmental and product safety, we do not own, supervise or control our suppliers or the manufacturers that produce the merchandise we sell. In the past, we have purchased merchandise from our suppliers solely within the U.S. Over the course of the last past few years, we have increased and expect to further increase direct purchases from suppliers outside the U.S., which may expose us to additional risks. The violation, or perception of any violation, of any labor, immigration, product safety, or other laws by any of our suppliers, their U.S. and non-U.S. manufacturers, or our direct suppliers, such as use of forced or child labor, or the divergence of the labor practices followed by any of our suppliers or these manufacturers from those generally accepted in the U.S., could damage our brand image or subject us to boycotts by our customers or activist groups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event causing a sudden disruption of manufacturing or imports, including the imposition of additional import restrictions, could interrupt, or otherwise disrupt the shipment of finished products to us by our suppliers. Political and financial instability outside the U.S., strikes, adverse weather conditions or natural disasters that may occur or acts of war or terrorism in the U.S. or worldwide, may affect the production, shipment or receipt of merchandise. These factors, which are beyond our control, may require us to modify our current business practices or incur increased costs and could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including employment laws and laws related to our merchandise, could make conducting our business more expensive or otherwise cause us to change the way we do business, which could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numerous laws and regulations, including labor and employment, truth-in-advertising, California’s Proposition 65 and other environmental laws and regulations, customer protection and zoning and occupancy laws and ordinances that regulate retailers generally or govern the promotion and sale of merchandise and the operation of warehouse facilities. If these regulations were to change or were violated by our management, employees, or suppliers, the costs of certain goods could increase, or we could experience delays in shipments of our goods, be subject to fines or penalties or suffer reputational harm, which could reduce demand for our merchandise and have a material adverse effect on our business, financial condition, and results of operations. In addition to increased regulatory compliance requirements, changes in laws could make the ordinary conduct of our business more expensive or require us to change the way we do business.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Laws related to employee benefits and treatment of employees, including laws related to limitations on employee hours, immigration laws, child labor laws, supervisory status, leaves of absence, wages, pay transparency, mandated health benefits or overtime pay, could also increase compensation and benefits costs. Moreover, changes in product safety or other customer protection laws, could lead to increased costs to us for some merchandise, or additional labor costs associated with readying merchandise for sale. It is often difficult for us to plan and prepare for potential changes to applicable laws, and future actions or increased costs related to these changes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of the underlying laws, rules or regulations imposing taxes and other obligations were established before the growth of the internet and e-commerce. Tax authorities in non-U.S. jurisdictions and at the U.S. federal, state and local levels continue to review the appropriate treatment of companies engaged in internet commerce and consider changes to existing tax or other laws that could regulate our transmissions and/or levy sales, income, consumption, use or other taxes relating to our activities, and/or impose obligations on us to collect such taxes. We cannot predict whether such changes will occur, nor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financial condition, results of operations, and prospects.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various governments and intergovernmental organizations could introduce proposals for tax legislation, or adopt tax laws, that may have a significant adverse effect on our worldwide effective tax rate, or increase our tax liabilities, the carrying value of deferred tax assets, or our deferred tax liabilities. For example, the U.S. federal government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It is possible that other jurisdictions in which we operate or do business could enact tax legislation that could adversely affect us through increasing our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application of indirect taxes could adversely affect our business and results of operations.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provincial taxes, goods and services tax, business tax and gross receipt tax, to our business and to our retailers and brands is a complex and evolving issue. Significant judgment is required to evaluate applicable tax obligations. As a result, amounts recorded may be subject to adjustments by the relevant tax authorities. In many cases, the ultimate tax determination is uncertain because it is not clear how new and existing statutes might apply to our business or to the businesses of our retailers and brands. One or more states, the federal government or other countries may seek to impose additional reporting, record-keeping or indirect tax collection obligations on businesses like ours that facilitate e-commerce. For example, state and local taxing authorities in the U.S. and taxing authorities in other countries have identified e-commerce platforms as a means to calculate, collect and remit indirect taxes for transactions taking place over the internet. Multiple U.S. states have enacted related legislation and other states are now considering similar legislation. Such legislation could require us to incur substantial costs in order to comply, including costs associated with legal advice, tax calculation, collection, remittance and audit requirements, which could make selling in such markets less attractive and could adversely affect our business. In 2018, the U.S. Supreme Court held in South Dakota v. Wayfair that a U.S. state may require an online retailer to collect sales taxes imposed by that state, even if the retailer has no physical presence in that state, thus permitting a wider enforcement of such sales tax collection requirements. Most U.S. states have enacted new sales tax laws requiring remote vendors and online marketplaces to collect, remit and report sales tax. While we now collect, remit, and report sales tax in all states where we have assessed such obligation, it is still possible that one or more jurisdictions could assert that we have a liability from previous periods that could result in additional liabilities.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which requires us to conduct due diligence on and disclose whether or not our products sold during the prior fiscal year contained conflict minerals. These requirements could adversely affect the sourcing, availability, and pricing of the materials used in the manufacture of components used in our products. In addition, we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Our Ownership Structure</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or at all, our ability to continue to support our business growth and to respond to business challenges could be significantly limited and our business and prospects could fail or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principal stockholders may prevent new investors from influencing significant corporate decisions.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our executive officers, directors, and principal stockholders own, in the aggregate, approximately 75% of our outstanding common stock. These stockholders will be able to exercise significant control over all matters requiring stockholder approval, including the election of directors, amendment of our amended and restated certificate of incorporation, and approval of significant corporate transactions and will have significant control over our management and policies. This concentration of influence could be disadvantageous to other stockholders with interests different from those of our officers, directors, and principal stockholders and could have an adverse effect on the price of our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these stockholders could take actions that have the effect of delaying or preventing a change-in-control of us or discouraging others from making tender offers for our shares, which could prevent stockholders from receiving a premium for their shares. These actions may be taken even if other stockholders oppose them.</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10,000,000 shares of undesignated preferred stock;</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including that entities affiliated with H.I.G Capital, LLC (“H.I.G.”), Institutional Venture Partners (“IVP”) and the Canada Pension Plan Investment Board (“CPPIB”) hold at least 50% of our common stock, require that any action to be taken by our stockholders be effected at a duly called annual or special meeting and not by written consent;</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a majority of our Board of Directors, the Chair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are incorporated in Delaware, we have opted out of the provisions of Section 203 of the Delaware General Corporation Law (the “DGCL”), which generally prohibits a Delaware corporation from engaging in any of a broad range of business combinations with any “interested” stockholder (any stockholder with 15% or more of our capital stock) for a period of three years following the date on which the stockholder became an “interested” stockholder. However, our amended and restated certificate of incorporation contains a provision that provides us with protections similar to Section 203 of the DGCL and prevent us from engaging in a business combination with a person who acquires at least 15% of our common stock for a period of three years from the date such person acquired such common stock, unless board or stockholder approval is obtained prior to the acquisition, except that it provides that H.I.G. or any affiliate thereof, or any person or entity to which any of the foregoing stockholders transfers shares of our voting stock (subject to specified exceptions), in each case regardless of the total percentage of our voting stock owned by such stockholder or such person or entity, shall not be deemed an “interested stockholder” for purposes of this provision of our amended and restated certificate of incorporation and therefore not subject to the restrictions set forth in this provision.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U.S. as the sole and exclusive forums for certain types of actions and proceedings that may be initiated by our stockholders, which could limit our stockholders’ ability to obtain a favorable judicial forum for disputes with the Company or our directors, officers, or other employees.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the Company, (2) action asserting a claim of breach of a fiduciary duty owed by any of our directors or officers to the Company or our stockholders, (3) action asserting a claim against the Company or any director or officer of the Company arising pursuant to any provision of the DGCL or our amended and restated certificate of incorporation or our amended and restated bylaws, or (4) action asserting a claim against us or any director or officer of the Company governed by the internal affairs doctrine. Additionally,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 defendant to such complaint. The choice of forum provisions would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provisions in our amended and restated certificate of incorporation. This choice-of-forum provision may limit a stockholder’s ability to bring a claim in a judicial forum that it finds favorable for disputes with us or our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These provisions may also result in increased costs for investors seeking to bring a claim against us or any of our directors, officers, or other employees.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Lulu’s Fashion Lounge Holdings, Inc. is a holding company with no operations of its own and, as such, it depends on its subsidiaries for cash to fund its operations and expenses, including future dividend payments, if any.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separate legal entities, and although they are directly or indirectly wholly owned and controlled by us, they have no obligation to make any funds available to us, whether in the form of loans, dividends,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meet the Nasdaq Capital Market’s continued listing requirements and other Nasdaq rules, or we may risk delisting. Delisting could negatively affect the price of our common stock, which could make it more difficult for us to sell securities in a future financing or for stockholders to sell our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meet the continued listing requirements of Nasdaq and other Nasdaq rules, including those regarding director independence and independent committee requirements, minimum share price, minimum stockholders' equity or market capitalization, and certain other continued listing standards and corporate governance requirements.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previously failed to meet the continued listing requirements of the Nasdaq Global Market under Nasdaq rules.  Specifically, we received a deficiency letter from Nasdaq on February 27, 2025 regarding not being in compliance with the minimum close bid price of $1.00 per share required for continued listing, and we received a deficiency letter on May 21, 2025 regarding not being in compliance with the minimum $10 million of stockholders' equity required for continued listing on the Nasdaq Global Market. We regained compliance with these deficiencies through our implementation of a 1-for-15 reverse stock split in July 2025 and our transfer to the Nasdaq Capital Market in June 2025, respectively. While we are currently in compliance with the continued listing requirements of the Nasdaq Capital Market, there can be no guarantee that we will be able to maintain compliance with these requirements in the future. If we are unable to maintain compliance with the continued listing requirements of the Nasdaq Capital Market in the future, our common stock could be delisted.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our common stock is delisted from Nasdaq, we and our stockholders could face significant material adverse consequences including:</w:t>
      </w:r>
    </w:p>
    <w:p>
      <w:pPr>
        <w:spacing w:after="0" w:line="162"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shares;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stock price will fluctuate significantly, which could cause the value of investments in our common stock to decline, and investors may not be able to resell their shares at a price at or above the price for which they purchased them.</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Securities markets worldwide and our stock price in particular have experienced significant price and volume fluctuations that have often been unrelated or disproportionate to the operating performance of those companies and our Company. The market volatility, as well as general economic, market or political conditions, could reduce the market price or demand of our common stock regardless of our results of operations. The trading price of our common stock has been volatile and subject to significant price fluctuations, as observed in the last few years. Since our reverse stock split became effective on July 7, 2025, the closing price of our common stock has ranged from $3.25 to $26.16. Our daily trading volume has ranged from fewer than 2,000 shares to approximately 23 million shares. Our common stock is likely to continue to be volatile and subject to significant price fluctuations in response to many factors, some of which may be beyond our control. These factors include, without limitation:</w:t>
      </w:r>
    </w:p>
    <w:p>
      <w:pPr>
        <w:spacing w:after="0" w:line="192"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 and, in particular, in the retail sales environment;</w:t>
      </w:r>
    </w:p>
    <w:p>
      <w:pPr>
        <w:spacing w:after="0" w:line="225" w:lineRule="exact"/>
        <w:rPr>
          <w:rFonts w:ascii="Times New Roman" w:cs="Times New Roman" w:eastAsia="Times New Roman" w:hAnsi="Times New Roman"/>
          <w:sz w:val="18"/>
          <w:szCs w:val="18"/>
          <w:color w:val="auto"/>
        </w:rPr>
      </w:pPr>
    </w:p>
    <w:p>
      <w:pPr>
        <w:jc w:val="right"/>
        <w:ind w:left="780" w:hanging="421"/>
        <w:spacing w:after="0" w:line="261" w:lineRule="auto"/>
        <w:tabs>
          <w:tab w:leader="none" w:pos="6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earnings or other announcements by us or other retail apparel companies, and/or filings or public announcements by</w:t>
      </w:r>
    </w:p>
    <w:p>
      <w:pPr>
        <w:ind w:left="680"/>
        <w:spacing w:after="0"/>
        <w:rPr>
          <w:sz w:val="20"/>
          <w:szCs w:val="20"/>
          <w:color w:val="auto"/>
        </w:rPr>
      </w:pPr>
      <w:r>
        <w:rPr>
          <w:rFonts w:ascii="Times New Roman" w:cs="Times New Roman" w:eastAsia="Times New Roman" w:hAnsi="Times New Roman"/>
          <w:sz w:val="18"/>
          <w:szCs w:val="18"/>
          <w:color w:val="auto"/>
        </w:rPr>
        <w:t>stockholders, including filings on Schedule 13D filed with the SEC;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results of operations, as well as differences between our actual financial results and results of operations and those expected by investors;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 and supplier base;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promotional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and fashion trends;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offerings or significant acquisitions, divestitures,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beyond our historical average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retail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our prospects and the prospects of the retail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squeezes” and meme-like trading of our common stock or the common stock of companies in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media reports, or other public forum comments related to litigation, claims, or reputational charges against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ratings by any securities analysts who follow our common stock, our failure to meet these estimates, or the failure of those analysts to initiate or maintain coverage of our common stock;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officers, directors, and significant stockholders;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and wars which could delay or disrupt our business, and if such political unrest escalates or spills over to or otherwise impacts additional regions it could heighten many of the other risk factors included in this Item 1A;</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earthquakes, hurricanes, other natural disasters, pandemics, or responses to these events;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shares of our common stock to fluctuate substantially, which may limit or prevent investors from readily selling their shares of our common stock and may otherwise negatively affect the liquidity of our common stock. As a result of these factors, our quarterly and annual results of operations and sales may also fluctuate significantly.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results for any one quarter are not necessarily indicative of results to be expected for any other quarter or for any year and sales for any particular future period may decrease. In the future, our results of operations may fall below the expectations of securities analysts and investors. In that event, the price of our common stock would likely decrease. In the past, when the market price of a stock has been volatile, security holders have often instituted class action litigation against the company that issued the stock. If we become involved in this type of litigation, regardless of the outcome, we could incur substantial legal costs and our management’s attention could be diverted from the operation of our business,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b w:val="1"/>
          <w:bCs w:val="1"/>
          <w:i w:val="1"/>
          <w:iCs w:val="1"/>
          <w:color w:val="auto"/>
        </w:rPr>
        <w:t>There could be a material disruption to our business as a result of activist stockholders or others.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has been and may be in the future subject to various legal and business challenges due to proposals or actions instituted by activist stockholders or others. For example, a stockholder filed a Schedule 13D on January 9, 2026, specifying various proposals for the Company to consider. Responding to such efforts can be costly and time-consuming, disrupt our business, and divert the attention of our Board, management, and employees from the pursuit of our business strategies. Activist stockholders or others may also cause perceived uncertainties as to the future direction of our Company or strategy which may make it more difficult to attract and retain qualified personnel and may affect our relationships with customers, suppliers, investors, and other third parties. In addition, any proxy contest or threatened proxy contest for the election of directors at our annual meeting could require us to incur significant legal and advisory fees and proxy solicitation expenses and require significant time and attention by management and our Board. Any such legal and/or business challenges instituted by activist stockholders or others or the perceived uncertainties as to our future direction also could affect the market price and volatility of our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market price and trading volume could decline if securities or industry analysts do not publish research or publish inaccurate or unfavorable research about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depend in part on the research and reports that securities or industry analysts publish about us or our business. Currently, limited analysts cover our common stock. A failure to obtain analyst coverage, or limited analyst coverage, of our common stock may mean that our price may never achieve levels that we think are fair and that our trading volume never achieves levels that are sufficient to attract additional investor interest.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more analysts begin to cover our common stock, analysts’ estimates are based upon their own opinions and are often different from the estimates or expectations of management. Analysts could downgrade our common stock or publish inaccurate or unfavorable research about our business, which would likely cause the price of our securities to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decrease significantly.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by our existing stockholders, upon the exercise of stock options granted in the future or by persons who acquired shares in our initial public offering (“IPO”) may cause the market price of our common stock to decrease significantly. 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ectPr>
          <w:pgSz w:w="11900" w:h="16838" w:orient="portrait"/>
          <w:cols w:equalWidth="0" w:num="1">
            <w:col w:w="9920"/>
          </w:cols>
          <w:pgMar w:left="980" w:top="513" w:right="99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outstanding shares of common stock are “restricted securities,” as defined under Rule 144 under the Securities Act and eligible for sale in the public market subject to the requirements of Rule 144.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raise capital through the sale of equity securities in the future at a time and at a price that we deem appropriate.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the 2024 Repurchase Program will enhance long-term stockholder value. Stock repurchases could also increase the volatility of the trading price of our stock and could diminish our cash reserves.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Board of Directors authorized a Stock Repurchase Program in 2024, allowing the Company to repurchase up to an aggregate amount of $2.5 million of its shares of common stock (the “2024 Repurchase Program”), the 2024 Repurchase Program does not obligate us to repurchase any specific dollar amount or to acquire any specific number of shares of common stock. The actual timing, number, and value of shares repurchased in the future will be determined by the Company in its discretion and will depend on a number of factors, including stock price, trading volume, market conditions, applicable legal requirements, our capital needs, and whether there is a better alternative use of capital. The 2024 Repurchase Program has no expiration date but it may be modified, suspended or terminated at any time, and we cannot guarantee that we will purchase shares up to the full dollar amount authorized by the 2024 Repurchase Program or that it will enhance long-term stockholder value. The failure to repurchase common stock after we have announced our intention to do so may negatively impact our reputation and investor confidence in us and may negatively affect our stock price. Furthermore, our execution of the share repurchase program could affect the trading price of our common stock and increase volatility, and any announcement of a termination of the 2024 Repurchase Program may result in a decrease in the trading price of our common stock. In addition, the 2024 Repurchase Program could diminish our cash reserves.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the ability of common stockholders to achieve a return on investment will depend on appreciation, if any, in the price of our common stock.</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Investors should not rely on an investment in our common stock to provide dividend income. Because we do not expect to pay any cash dividends for the foreseeable future, investors may be forced to sell their shares in order to realize a return on their investment, if any. We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investors in our common stock should not rely on dividends in order to receive a return on their investment.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with regard to a wide range of matters that are relevant to our business, including but not limited to revenue recognition, leases, impairment of goodwill and intangible assets, inventory, income taxes and litigation, are highly complex and involve many subjective assumptions, estimates and judgments. Changes in these rules or their interpretation or changes in underlying assumptions, estimates or judgments could significantly change or increase volatility of our reported or expected financial performance or financial condition. Refer to Note 2, Significant Accounting Policies, in the accompanying notes to our consolidated financial statements included in this Annual Report on Form 10-K for a description of recent accounting pronouncements.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goodwill impairment charges in the past and may incur goodwill or intangible asset impairment charges again in the future, which could adversely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indefinite-lived intangible assets, including goodwill and our tradename, for possible impairment annually, on the first day of the fourth quarter, or more frequently if events or circumstances indicate it is more likely than not that an impairment may have occurred. We evaluate long-lived assets for impairment periodically whenever events or changes in circumstances indicate that their related carrying amounts may not be recoverable. During the fourth quarter of 2024, we concluded that a sustained decline in our stock price coupled with continuing net losses were significant enough factors to warrant a quantitative assessment. As a result of the goodwill impairment test conducted in the fourth quarter ended December 29, 2024, we concluded that the carrying value of our single</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reporting unit exceeded the fair value, and a goodwill impairment charge of $28.4 million was recorded, while $7.0 million of goodwill remained on our consolidated balance sheet. No goodwill impairment was recorded for the year ended December 28, 2025.</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we could incur another impairment charge for goodwill or intangible assets in future periods if (i) overall economic conditions in fiscal 2026 or future years vary from our current assumptions; (ii) business conditions or strategies change from our current assumptions; (iii) there is further deterioration to our stock price; (iv) investors require higher rates of return on equity investments in the marketplace; or (v) enterprise values of comparable publicly traded companies, or of actual sales transactions of comparable companies, were to decline, resulting in lower comparable multiples of revenues and earnings before interest, taxes, depreciation and amortization and, accordingly, lower implied values of goodwill and intangible assets. Any future impairment charge for goodwill or intangible assets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that could distract management from our business activities and result in significant liability or damage to our brand.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face the risk of litigation and other claims against us. Litigation and other claims may arise in the ordinary course of our business and include employee claims, commercial disputes, intellectual property issues, data protection and privacy claims, customer protection claims, and product-oriented allegations. These claims can raise complex factual and legal issues that are subject to risks and uncertainties and could require significant management time and allocation. Litigation and other claims and regulatory proceedings against us could result in unexpected expenses and liabilities, which could have a material adverse effect on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personnel and may not be able to retain or replace these individuals or recruit additional personnel,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Changes in management, however, have the potential to disrupt our business, and any such disruption could adversely affect our operations, growth, financial condition and results of operations. Further, new members of management and the Board of Directors may have different perspectives on our operations and opportunities for our business, which may cause us to change our business plan or vision for our Company. The loss of services of these individuals or any other of our key employees could impair our ability to manage our business effectively, as we may not be able to find suitable individuals to replace them on a timely basis or at all, which could have a material adverse effect on our business, financial condition, and results of operations. In addition, any departures of key personnel could be viewed in a negative light by investors and analysts, which could cause our common stock price to decline. We do not maintain key person insurance on any employee.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senior management and the Board of Directors, we have other employees in positions responsible for our merchandising, marketing, software development, accounting, finance, information technology, and operations departments, that, if vacant, could cause a temporary disruption in our operations until such positions are filled, which could have a material adverse effect on our business, financial condition, and results of operations. Our success depends in part upon our ability to attract, motivate, and retain a sufficient number of employees who understand our business, customers, brand and corporate culture. Our planned growth will require us to hire and train even more personnel to manage such growth. If we are unable to hire and retain personnel capable of consistently performing at a high level, our ability to expand our business may be impaired.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natural disasters, public health crises, political crises, or other catastrophic events.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principal offices and one of our distribution facilities are located in California, an area which has a history of wildfires and earthquakes, and are thus vulnerable to damage. We have a second distribution facility in Pennsylvania. Natural disasters, such as earthquakes, wildfires, hurricanes, tornadoes, floods, and other adverse weather and climate conditions; unforeseen public health crises, such as pandemics and epidemics; political crises, such as terrorist attacks, war, and other political instability; or other catastrophic events, whether occurring in the U.S. or internationally, could disrupt our operations in any of our offices and distribution facilities or the operations of one or more of our third-party providers or suppliers. For example, in January 2025, there were major wildfires in the Los Angeles area that impacted some of our employees. There have also been wildfires near our principal office. In particular, these types of events could impact our merchandise supply chain, including our ability to ship merchandise to customers from or to the impacted region, our suppliers’ ability to ship merchandise or our ability to operate our platform. In addition, these types of events could negatively impact customer spending in the impacted regions. Sales of certain seasonal apparel items are dependent in part on the weather and may decline when weather conditions do not favor the use of this apparel. To the extent any of these events occur, our business and results of operations could be adversely affected.</w:t>
      </w:r>
    </w:p>
    <w:p>
      <w:pPr>
        <w:sectPr>
          <w:pgSz w:w="11900" w:h="16838" w:orient="portrait"/>
          <w:cols w:equalWidth="0" w:num="1">
            <w:col w:w="9920"/>
          </w:cols>
          <w:pgMar w:left="980" w:top="513" w:right="99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increased focus by governmental and non-governmental organizations, customers, consumers and investors on sustainability issues, including those related to climate change, may adversely affect our business and financial results and damage our reputation.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could be adversely affected by climate change and the adoption of new climate change related laws, policies and regulations. Certain concerns about climate change and greenhouse gas emissions have led to the adoption of various regulations and policies, including the Paris Agreement negotiated at the 2015 United Nations Conference on Climate Change. Climate change may impact our business in numerous ways. For example, governments may impose additional legal requirements and/or impose new taxes to finance efforts to reduce the impact of climate change, which may increase shipping and freight costs and prices for our products. We also face the risk that governmental or non-governmental organizations may increase their focus on the fashion sector and implement greater environmental regulation on the fashion sector in the U.S. or the fashion sector in other markets. For example, the fashion industry’s process for dying fabrics uses large quantities of water, and the disposition of the waste water is often regulated and may affect the environment. Increased scrutiny and regulation of this practice may adversely affect our business. If we or our suppliers are required to comply with new or additional legislation and regulations to mitigate or reduce the potential impact of climate change, or if we choose to take voluntary steps to mitigate or reduce such potential impact, we may experience increases in raw material costs, energy, production, transportation, capital expenditures, insurance premiums and deductibles, which could adversely impact our business or results of operations. Inconsistency of legislation and regulations among jurisdictions may also adversely affect the costs of compliance with such laws and regulations. Any assessment of the potential impact of future climate change legislation, regulations, or industry standards, as well as any international treaties and accords, is uncertain given the breadth of potential regulatory change in the countries in which we operate. Additionally, some scientists have concluded that increasing concentrations of greenhouse gases in the earth’s atmosphere may produce climate changes that have significant physical effects, such as increased frequency and severity of storms, droughts, floods and other climatic events. Increased frequency of extreme weather could cause increased incidence of disruption to the production and distribution of our products and an adverse impact on consumer demand and spending. If any such climate changes or additional climate change were to occur, they could have an adverse effect on our financial condition and results of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related to their ESG practices and reporting. Certain investors, customers, employees and other stakeholders have focused on ESG practices and placed importance on the implications and social cost of their investments, purchases and other interactions with companies. With this increased focus and demand, public reporting regarding ESG practices has become more broadly expected and required in certain circumstances.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Conversely, in recent years “anti-ESG” sentiment has gained momentum across the U.S., with several states and Congress having proposed or enacted “anti-ESG” policies, legislation, or initiatives or issued related legal opinions, and the Trump Administration having recently issued an executive order opposing diversity equity and inclusion (“DEI”) initiatives in the private sector. Such anti-ESG and anti-DEI-related policies, legislation, initiatives, litigation, legal opinions and scrutiny could result in additional compliance obligations becoming the subject of investigations and enforcement actions or sustaining reputational harm. If our ESG practices and reporting do not meet investor, customer or employee expectations, which continue to evolve, our brand, reputation and customer retention may be negatively impacted.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achieve any ESG objective or goal, and accurately and transparently report our progress is subject to numerous operational, financial, legal and other risks, many of which are dependent on the actions of third parties and outside of our control. Examples of such risks include:</w:t>
      </w:r>
    </w:p>
    <w:p>
      <w:pPr>
        <w:spacing w:after="0" w:line="176"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low- or non-carbon-based energy sources;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our ESG standards;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develop and retain talent in our labor markets; and</w:t>
      </w:r>
    </w:p>
    <w:p>
      <w:pPr>
        <w:spacing w:after="0" w:line="225" w:lineRule="exact"/>
        <w:rPr>
          <w:rFonts w:ascii="Times New Roman" w:cs="Times New Roman" w:eastAsia="Times New Roman" w:hAnsi="Times New Roman"/>
          <w:sz w:val="18"/>
          <w:szCs w:val="18"/>
          <w:color w:val="auto"/>
        </w:rPr>
      </w:pPr>
    </w:p>
    <w:p>
      <w:pPr>
        <w:ind w:left="4880" w:right="2140" w:hanging="4197"/>
        <w:spacing w:after="0" w:line="532" w:lineRule="auto"/>
        <w:tabs>
          <w:tab w:leader="none" w:pos="10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organic growth and acquisitions or dispositions of businesses or operations.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fail, or are perceived to be failing, to meet the objectives, goals or standards included in any sustainability disclosure or the expectations of our various stakeholders or if we are perceived to have not responded appropriately by certain parties, it could negatively impact our reputation, customer acquisition and retention, access to capital and employee retention. In addition, in recent years, investor advocacy groups and certain institutional investors have placed importance on ESG matters. If, as a result of their assessment of our ESG practices, certain investors are unsatisfied with our actions or progress, they may reconsider their investment in our company. As the nature, scope and complexity of ESG reporting, diligence and disclosure requirements evolve, including the State of California’s requirements regarding, among other matters, GHG emissions related reporting and/or climate financial risk disclosure,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smaller reporting company, and non-accelerated filer, and the reduced disclosure requirements applicable to these statuses may make our common stock less attractive to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and non-accelerated filer as defined in the rules under the Exchange Act. Under the JOBS Act, emerging growth companies can delay adopting new or revised financial accounting standards until such time as those standards apply to private companies. We intend to take advantage of the extended transition period for adopting new or revised financial accounting standards under the JOBS Act as an emerging growth company.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and/or both a smaller reporting company and non-accelerated filer, we may also take advantage of other exemptions from certain reporting requirements that are applicable to other public companies, including not being required to comply with the auditor attestation requirements of Section 404(b) of the Sarbanes-Oxley Act, exemption from any rules that may be adopted by the Public Company Accounting Oversight Board requiring mandatory audit firm rotations or a supplement to the report of independent registered public accounting firm, reduced disclosure obligations regarding executive compensation in our periodic reports and proxy statements, exemptions from the requirements of holding a nonbinding advisory vote on executive compensation and any golden parachute arrangements, and reduced financial reporting requirements. Investors may find our common stock less attractive because we will rely on these exemptions, which could result in a less active trading market for our common stock, increased price fluctuation, and a decrease in the trading price of our common stock.</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following the fifth anniversary of our IPO, or (2) the last day of the fiscal year in which we have total annual gross revenue of at least $1.235 billion, or (3) the last day of the fiscal year in which we are deemed to be a “large accelerated filer,” as defined in the rules under the Exchange Act, or (4) the date on which we have issued more than $1.0 billion in non-convertible debt during the prior three-year period. We will no longer qualify as an emerging growth company as of the end of fiscal 2026, but will remain a smaller reporting company until our outstanding common stock held by nonaffiliates has a value of $250 million or more at the end of a second fiscal quarter and will remain a non-accelerated filer until we have a public float of $75 million or more at the end of a second fiscal quarter.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 over financial reporting in accordance with Section 404 of the Sarbanes-Oxley Act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privately held company, we were not required to evaluate our internal control over financial reporting in a manner that meets the standards of publicly traded companies required by Section 404(a) of the Sarbanes-Oxley Act. Section 404 of the Sarbanes-Oxley Act requires annual management assessments of the effectiveness of our internal control over financial reporting, starting with the second annual report that we filed with the SEC as a public company, and generally requires in the same report a report by our independent registered public accounting firm on the effectiveness of our internal control over financial reporting. However, under the JOBS Act, our independent registered public accounting firm is not required to attest to the effectiveness of our internal control over financial reporting pursuant to Section 404(b) of the Sarbanes-Oxley Act until we are no longer an emerging growth company, or if no longer an emerging growth company, so long as we are both a smaller reporting company and non-accelerated filer.</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Once we are no longer an emerging growth company or both a smaller reporting company and non-accelerated filer,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and the incurrence of significant additional expenditures. Testing and maintaining internal controls may divert our management’s attention from other matters that are important to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We may not be able to conclude on an ongoing basis that we have effective internal control over financial reporting in accordance with Section 404. If we are unable to conclude that we have effective internal control over financial reporting, investors may lose confidence in our reported financial information, which could have a material adverse effect on the trading price of our common stock, and we could become subject to litigation or investigations by Nasdaq, the SEC, or other regulatory authorities, which could require additional financial and management resources.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that we were not required to incur in the recent past, particularly after we are no longer (i) an emerging growth company as defined under the JOBS Act; or (ii) both a smaller reporting company and non-accelerated filer as defined in the rules under the Exchange Act. We are required to file with the SEC annual and quarterly information and other reports that are specified in Section 13 of the Exchange Act. We are also required to ensure that we have the ability to prepare financial statements that are fully compliant with all SEC reporting requirements on a timely basis. We are also subject to other reporting and corporate governance requirements, including the requirements of Nasdaq, and certain provisions of the Sarbanes-Oxley Act, including Section 404 relating to internal control over financial reporting, and the regulations promulgated thereunder, which impose significant compliance obligations upon us. As a public company, among other things, we have to:</w:t>
      </w:r>
    </w:p>
    <w:p>
      <w:pPr>
        <w:spacing w:after="0" w:line="188" w:lineRule="exact"/>
        <w:rPr>
          <w:sz w:val="20"/>
          <w:szCs w:val="20"/>
          <w:color w:val="auto"/>
        </w:rPr>
      </w:pPr>
    </w:p>
    <w:p>
      <w:pPr>
        <w:ind w:left="680" w:right="20" w:hanging="321"/>
        <w:spacing w:after="0" w:line="184" w:lineRule="auto"/>
        <w:tabs>
          <w:tab w:leader="none" w:pos="680" w:val="left"/>
        </w:tabs>
        <w:numPr>
          <w:ilvl w:val="0"/>
          <w:numId w:val="2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prepare and distribute periodic public reports and other stockholder communications in compliance with our obligations under the federal securities laws and applicable Nasdaq rules;</w:t>
      </w:r>
    </w:p>
    <w:p>
      <w:pPr>
        <w:spacing w:after="0" w:line="279" w:lineRule="exact"/>
        <w:rPr>
          <w:rFonts w:ascii="Times New Roman" w:cs="Times New Roman" w:eastAsia="Times New Roman" w:hAnsi="Times New Roman"/>
          <w:sz w:val="34"/>
          <w:szCs w:val="34"/>
          <w:color w:val="auto"/>
          <w:vertAlign w:val="subscript"/>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majority independent Board of Directors and maintain certain committees of the board;</w:t>
      </w:r>
    </w:p>
    <w:p>
      <w:pPr>
        <w:spacing w:after="0" w:line="3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comprehensive financial reporting and disclosure compliance functions;</w:t>
      </w:r>
    </w:p>
    <w:p>
      <w:pPr>
        <w:spacing w:after="0" w:line="3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investor relations function;</w:t>
      </w:r>
    </w:p>
    <w:p>
      <w:pPr>
        <w:spacing w:after="0" w:line="3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as necessary internal policies, including those relating to disclosure controls and procedures; and</w:t>
      </w:r>
    </w:p>
    <w:p>
      <w:pPr>
        <w:spacing w:after="0" w:line="30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activities listed above.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changes have required a significant commitment of additional resources and many of our competitors have complied with these obligations longer than we have. We may not be successful in continuing to comply with these obligations and the significant commitment of resources required for complying with them could have a material adverse effect on our business, financial condition, and results of operations. In addition, if we fail to comply with the requirements with respect to our internal accounting and audit functions, including the requirement that management assess the effectiveness of our internal control over financial reporting, our ability to report our results of operations on a timely and accurate basis could be impaired and we could suffer adverse regulatory consequences or violate Nasdaq listing standards. There could also be a negative reaction in the financial markets due to a loss of investor confidence in us and the reliability of our consolidated financial statements,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changes necessitated by becoming a public company has required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errors in, and be required to restate, our consolidated financial statements. Any such restatement could result in a loss of public confidence in the reliability of our consolidated financial statements and sanctions imposed on us by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health emergency, epidemic or pandemic could have a material adverse effect on our business.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global health emergency, epidemic or pandemic could have an adverse effect on our business, results of operations, and financial condition due to the occurrence of some or all of the following events or circumstances, among others:</w:t>
      </w:r>
    </w:p>
    <w:p>
      <w:pPr>
        <w:spacing w:after="0" w:line="162" w:lineRule="exact"/>
        <w:rPr>
          <w:sz w:val="20"/>
          <w:szCs w:val="20"/>
          <w:color w:val="auto"/>
        </w:rPr>
      </w:pPr>
    </w:p>
    <w:p>
      <w:pPr>
        <w:ind w:left="680" w:hanging="321"/>
        <w:spacing w:after="0" w:line="261"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suppliers’, logistics providers’, and other business partners’ inability to manage our or their business effectively;</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available credit;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customer demand for our products;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inventory shortages caused by difficulties in predicting demand for our products and services and longer lead-times due to import/export conditions such as port congestion, and local government orders; and</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significant increases to employee healthcare and benefits costs.</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it remains uncertain how a global health emergency, an epidemic, or pandemic could impact our supply chain, consumer demand for our products and services, and consumer preferences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have a cross-departmental approach to addressing cybersecurity risk, including input from our Board of Directors (the “Board”), Audit Committee, employees and third-party experts. The Board, Audit Committee, and senior management devote significant resources to cybersecurity and risk management processes to adapt to the changing cybersecurity landscape and respond to emerging threats in a timely and effective manner. We regularly assess the threat landscape and take a holistic view of cybersecurity risks, with a layered cybersecurity strategy based on prevention, detection and mitigation. Our information technology (“IT”) team reviews cybersecurity risks periodically, and we have a set of Company-wide policies and procedures concerning cybersecurity matters, including policies related to encryption standards, remote access, multi factor authentication, confidential information, the use of the internet, social media, email and wireless devices and incident response. These policies go through an internal review process by members of management and appropriate Board committees, as applicable.</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President and Chief Information Officer, who has a Certified Chief Information Security Officer certification and over a decade of experience leading information and cyber security oversight, is responsible for developing and implementing our information security program, overseeing our IT team and reporting on cybersecurity matters to the Audit Committee. We view cybersecurity as a shared responsibility, and we consult with third-party resources and advisors as needed on information security maturity assessments, penetration testing, dark web reviews, best practices to address new challenges, and, when applicable, digital forensics. All employees are required to complete annual information security trainings and have access to more frequent online information security trainings.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continue to prioritize our investments in IT security, including additional end-user training, using layered defenses, identifying and protecting critical assets, strengthening monitoring and alerting capabilities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Further, we conduct periodic external penetration tests, bug bounty hackathons and maturity assessments to assess our processes and procedures and the threat landscape. These tests and assessments are useful tools for maintaining a robust cybersecurity program to protect our investors, customers, employees, vendors and intellectual property.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previously had a Technology and Innovation Committee which oversaw jointly, alongside the Audit Committee, matters of technology, innovation, cybersecurity and information security. The Technology and Innovation Committee was dissolved in September 2024 as part of the Company’s Board restructuring and its responsibilities were redistributed to the Audit Committee. The Audit Committee and the full Board actively participate in discussions with management and amongst themselves regarding cybersecurity risks. The Audit Committee receives quarterly cybersecurity reports, which include a review of key performance indicators, test results and related remediation, and recent threats and how the Company is managing those threats. The Audit Committee</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oversees cybersecurity disclosures and receives periodic reports from management and the IT team. Further, the Audit Committee periodically discusses the Company’s actions to identify and detect threats, as well as its cybersecurity strategic roadmap.</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fiscal year ended December 28,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For additional information about these risks, see “Risks Related to Our Technology Infrastructure” in Item 1A-Risk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own any real property. Our corporate headquarters are located in a leased facility in Chico, California, which lease will terminate on May 31, 2026. In early 2026, we entered into a lease agreement for a new facility in Chico, California, which will become our new corporate headquarters, effective May 15, 2026. We also operate leased facilities in Los Angeles, California, which are primarily used for office, studio and in-person events. We operate two leased distribution facilities: a facility located in Easton, Pennsylvania; and a facility located in Ontario, California. In early 2025, we consolidated two of our distribution facilities by moving operations from our former distribution facility in Chico, California to our existing distribution facility in Ontario, California. We carefully evaluate our leased space needs and adjust our leases accordingly as they approach renewal or expiration.</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accompanying notes to our consolidated financial statements included elsewhere within this Annual Report on Form 10-K for additional information on our leases.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3"/>
                <w:szCs w:val="13"/>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(approximate)</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14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Corporate Headquarters (expires May 31, 2026)</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5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Future Corporate Headquarters (effective May 15, 2026)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studio and event space</w:t>
            </w:r>
          </w:p>
        </w:tc>
        <w:tc>
          <w:tcPr>
            <w:tcW w:w="2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Ontario, California</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 facility</w:t>
            </w:r>
          </w:p>
        </w:tc>
        <w:tc>
          <w:tcPr>
            <w:tcW w:w="26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Easton, Pennsylvania</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facility</w:t>
            </w:r>
          </w:p>
        </w:tc>
        <w:tc>
          <w:tcPr>
            <w:tcW w:w="2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600"/>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“LVLU” and began trading on the Nasdaq Global Market on November 11, 2021.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11, 2025, the Company’s Board of Directors approved a 1-for-15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one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have been retroactively adjusted to reflect this Reverse Stock Split, as applicable. The Reverse Stock Split was effective for purposes of trading on the Nasdaq Capital Market as of the opening of business on July 7,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Nasdaq Continued Listing Standards and Transfer to Nasdaq Capital Market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27, 2025, the Company received notice from Nasdaq that we were not in compliance with the Nasdaq Global Market’s Listing Rule 5450(a)(1) because our common stock had failed to maintain a minimum bid price of $1.00 per share for a period of thirty</w:t>
      </w:r>
    </w:p>
    <w:p>
      <w:pPr>
        <w:jc w:val="both"/>
        <w:ind w:firstLine="8"/>
        <w:spacing w:after="0" w:line="253" w:lineRule="auto"/>
        <w:tabs>
          <w:tab w:leader="none" w:pos="3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business days. On May 21, 2025, the Company received another notice from Nasdaq that we were not in compliance with Nasdaq Global Market’s Listing Rule 5450(b)(1) because the Company’s stockholders’ equity as reported in the Company’s Quarterly Report on Form 10-Q for the period ended March 30, 2025 was approximately $6.6 million, which was below the minimum requirement of $10 million.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27, 2025, the Company submitted an application for a transfer from the Nasdaq Global Market to the Nasdaq Capital Market, which was approved and became effective as of the opening of business on June 10, 2025. The transfer to the Nasdaq Capital Market addressed the deficiency with the minimum stockholders’ equity. On July 21, 2025, the Company received notice from Nasdaq that we had also regained compliance with the minimum bid price requirement set forth in Nasdaq Listing Rule 5550(a)(2) for continued listing on the Nasdaq Capital Market based on the closing bid price of our common stock being at $1.00 per share or greater for the 10 consecutive business days from July 7 to July 18,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continues to trade under the same symbol “LVLU”.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Broadridge Corporate Issuer Solutions, Inc. is the transfer agent and registrar for our common stock. As of March 20, 2026, there were 17 registered stockholders of record of our common stock. The actual number of stockholders is greater than this number and includes stockholders whose shares are held in street name by brokers and other nominees, and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future ability to pay cash dividends on our capital stock is limited by the terms of our 2025 Credit Agreement and may be limited by any future debt instruments or preferred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Use of Proceeds from 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Recent Sales of Unregistered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Issuer Purchases of Equity Securities by the Issuer and Affiliated Purchasers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8, 2024, the Company's Board of Directors announced that it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During the thirteen weeks ended December 28, 2025, no shares were repurchased pursuant to the Company’s 2024 Repurchase Program. As of December 28, 2025, $1.1 million remained available under the 2024 Repurchase Program authorization.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other parts of this Annual Report on Form 10-K. Discussion of the year-to-year comparisons between 2024 and 2023 can be found in “Management’s Discussion and Analysis of Financial Condition and Results of Operations” in Part II, Item 7 of the Company’s Annual Report on Form 10-K for the fiscal year ended December 29,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Permanent Chief Financial Officer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the Company appointed Heidi Crane as its permanent Chief Financial Officer (“CFO”), effective February 4, 2026 (“CFO Effective Date”). Ms. Crane served as the Company’s fractional CFO beginning in October 2025. Upon the CFO Effective Date, Ms. Crane transitioned to a full-time employee of the Company, as well as its principal financial officer and principal accounting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tariffs or bans, world events, wars and domestic and international conflicts, existing and future laws, regulations and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43.2 %</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41.2 %</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(13,713)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(55,286)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(9,738)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(1)</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2,330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2,620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Average Order Value</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15684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9" w:lineRule="exact"/>
        <w:rPr>
          <w:sz w:val="20"/>
          <w:szCs w:val="20"/>
          <w:color w:val="auto"/>
        </w:rPr>
      </w:pPr>
    </w:p>
    <w:p>
      <w:pPr>
        <w:jc w:val="both"/>
        <w:ind w:left="680" w:right="28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that we calculate as net income (loss) before interest expense, income taxes or benefit,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We believe that Adjusted EBITDA and Adjusted EBITDA Margin provide useful information to investors and others in understanding and evaluating our operating results and in comparing operating results across periods.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supplement our audited consolidated financial statements which are prepared in accordance with GAAP, we use “Adjusted EBITDA” and “Adjusted EBITDA Margin” (collectively referred to as “Adjusted EBITDA”)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3" w:lineRule="exact"/>
        <w:rPr>
          <w:sz w:val="20"/>
          <w:szCs w:val="20"/>
          <w:color w:val="auto"/>
        </w:rPr>
      </w:pPr>
    </w:p>
    <w:p>
      <w:pPr>
        <w:ind w:left="1000" w:right="2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non-routine expenses that may represent a reduction in cash available to us;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equity-based compensation which has been, and will continue to be for the foreseeable future, a significant recurring expense in our business and an important part of our compensation strategy;</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and goodwill impairment.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r>
      <w:tr>
        <w:trPr>
          <w:trHeight w:val="128"/>
        </w:trPr>
        <w:tc>
          <w:tcPr>
            <w:tcW w:w="4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(13,713)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(55,286)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 expense (1)</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2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non-routine expense (2)</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Borders>
              <w:bottom w:val="single" w:sz="8" w:color="CCEEFF"/>
            </w:tcBorders>
          </w:tcPr>
          <w:p>
            <w:pPr>
              <w:spacing w:after="0"/>
              <w:rPr>
                <w:sz w:val="21"/>
                <w:szCs w:val="2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margin</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r>
    </w:tbl>
    <w:p>
      <w:pPr>
        <w:spacing w:after="0" w:line="179" w:lineRule="exact"/>
        <w:rPr>
          <w:sz w:val="20"/>
          <w:szCs w:val="20"/>
          <w:color w:val="auto"/>
        </w:rPr>
      </w:pPr>
    </w:p>
    <w:p>
      <w:pPr>
        <w:jc w:val="both"/>
        <w:ind w:left="340" w:hanging="332"/>
        <w:spacing w:after="0" w:line="25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includes equity-based compensation expense for performance stock units (“PSUs”) and restricted stock units (“RSUs”) granted during the period and prior periods. 2024 includes equity-based compensation expense for PSUs and RSUs granted during the period and prior periods, equity-based awards granted in prior periods, as well as forfeitures partially offset by accelerated vesting expense associated with the resignation of directors during the period. 2023 includes equity-based compensation expense for PSUs granted during the period and RSUs granted during the period and prior periods, accelerated expense associated with the voluntary forfeiture of stock options, and equity-based awards granted in prior periods.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includes non-routine severance expenses related to a reduction in force to streamline the Company’s merchandising and buying 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operating activities less cash used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development costs and purchases of property and equipment. We view Free Cash Flow as an important indicator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because it measures the amount of cash we generate. Free Cash Flow does not represent the total residual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discretionary purposes. Due to such limitations, Free Cash Flow should not be considered as a measure of discretionary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available to us to invest in the growth of our business. We compensate for these limitations by relying primarily on our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and using these non-GAAP measures only supplementally.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periods presented is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(1,816)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tcPr>
          <w:p>
            <w:pPr>
              <w:spacing w:after="0"/>
              <w:rPr>
                <w:sz w:val="18"/>
                <w:szCs w:val="18"/>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0"/>
        </w:trPr>
        <w:tc>
          <w:tcPr>
            <w:tcW w:w="4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that present significant opportunities for us but also pose risks and challenges, including what is discussed below. See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December 28, 2025, we served 2.3 million Active Customers compared to 2.6 million for the trailing 12 months ended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We will adjust our inventory purchases to align with the current needs of the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continue to invest in our operations and infrastructure to facilitate further operational efficiencies and growth of our business, while managing expenses to align with our net revenue expectations and goals to return to profitability. We will continue to carefully evaluate any new investments or capital spending initiatives as we believe that a disciplined approach to capital spending will enable us to generate positive returns on our investments over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generally determine to have occurred upon shipment.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revenue is impacted by our number of customers and their spending habits, AOV, product assortment and availability, and marketing and promotional activities. During any given period, we may seek to increase sales by increasing promotional discounts, and in other periods we may instead seek to increase sales by increasing our selling and marketing expenses. We consider both actions together, so increased promotional discounts in a period, which would reduce net revenue accordingly in such period, might also result in lower selling and marketing expenses in such period. Similarly, if we increase selling and marketing expenses in a given period, promotional discounts may be correspondingly reduced, thereby improving net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our Gross Margin may fluctuate from period to period depending on the interplay of these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fixed and variable labor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and amortization, rent and other occupancy expenses. General and administrative expenses are primarily driven by headcount related costs required to support our business and meet our obligations as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Goodwill as described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is stated at the excess of the acquisition price over the fair value of net assets acquired in a purchase acquisition and is not amortized. The Company reviews its goodwill for impairment at least annually (on the first day of the fourth quarter) or more frequently whenever events or changes in circumstances indicate that the carrying amount may be impaired. If the carrying value of the goodwill exceeds the fair value, the Company recognizes goodwill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expense related to the prior credit agreement with Bank of America (“Prior Credit Agreement”) and the 2025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benefit (provision) for income taxes represents federal, state, and local income taxes. The effective rate differs from the statutory rate primarily due to non-deductible equity-based compensation expenses, non-deductible officer compensation, valuation allowance and state taxes.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regularly assess the realizability of deferred tax assets (“DTAs”) and record a valuation allowance to reduce the DTAs to the amount that is more likely than not to be realized. In assessing the realizability of our DTAs,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we established a valuation allowance as of December 29, 2024 of $14.9 million and increased the allowance to $16.7 million as of December 28,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for the years presented and as a percentage of net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11"/>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282,284</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315,887</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185,639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130,248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72,927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28,374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Fiscal Years Ended December 28, 2025 and December 29, 2024</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revenue decreased in 2025 by $33.6 million, or 11%, compared to 2024. The decrease was primarily due to a decline of 15% in Total Orders Placed, along with slightly higher return rates partially offset by higher AOV compared to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in 2025 by $25.4 million, or 14% compared to 2024, which was primarily driven by lower shipping costs and product cost due to favorable shipping rates and reduced sales volume.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in 2025 by $8.2 million or 6% compared to 2024 which was primarily driven by the impact of the lower volume of sales, partially offset by improvements in merchandise margins and logistics costs.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in 2025 by $6.3 million, or 9% compared to 2024, due to lower online marketing costs of $4.9 million, lower merchant processing fees of $0.9 million along with reduced marketing software spend and other marketing costs of $0.5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in 2025 by $13.3 million, or 16%, compared to 2024. The decrease was primarily due to a $4.9 million decrease in fixed labor and benefits costs driven by reduced fixed headcount, a $3.7 million decrease in equity-based compensation expense, a $2.0 million decrease in variable labor and benefits associated with lower sales volume and increased process efficiency, a $1.2 million decrease in liability insurance and legal and professional fees and a $1.5 million decrease in software, occupancy, depreciation and amortization.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goodwill impairment was recognized in 2025. In 2024 we recorded a non-cash goodwill impairment expense of $28.4 million.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in 2025 by $1.2 million, or 94%, compared to 2024. The increase is primarily attributable to higher average borrowings and write-off of loan amendment fees related to the Prior Credit Agreement of $0.9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was $0.2 million in 2025 compared to $2.3 million in 2024. The decrease of $2.1 million was primarily due to a decrease in deferred tax provision of $4.5 million which was partially offset by a state income tax benefit of $2.4 million that included a one-time state refund benefit of $2.2 million received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 We recognized 23%, 29%, 26%, and 22% of our annual net revenue during the first, second, third, and fourth quarters of 2025, respectively.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our quarterly gross profit generally fluctuates in line with our net revenue, it is also based on how we manage our inventory and merchandise mix and can be further affected by non-recurring, external factors, such as global pandemics or trade wars.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and borrowings under our 2025 Credit Agreement. Our primary requirements for liquidity and capital are inventory purchases, payroll and general operating expenses, capital expenditures associated with our distribution facilities, capitalized software and debt service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15, 2021, we entered into the Prior Credit Agreement with Bank of America (the “lender”) to provide a revolving facility that provided for borrowings up to $50.0 million with a maturity date of November 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interest rates in effect under the Prior Credit Agreement, as amended, during the thirteen and thirty-nine weeks ended September 28, 2025 were 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follows: (a) in the case of Base Rate Loans, the Base Rate plus 5% (increased from a margin of 4%), (b) in the case of Term SOFR Loans, Term SOFR (subject to a credit spread adjustment of 10 basis points) plus (i) 6% (increased from a margin of 5%), and (c) the Letter of Credit Fee of 6% (increased from 5%).</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23, 2025, we entered into a Forbearance Agreement (the “Forbearance Agreement”) related to the Prior Credit Agreement with the lenders party thereto and Bank of America, N.A., as administrative agent (the “Administrative Agent”), and Swing Line Lender and an L/C Issuer (the “Lenders”). Pursuant to the terms of the Forbearance Agreement, the Administrative Agent and Lenders agreed that they would forbear, during the Forbearance Period (as defined in the Forbearance Agreement), from exercising any and all rights and remedies with respect to or arising out of the events of default that occurred as a result of the Company’s failure to comply with certain Refinancing Transaction Milestones (as defined in the Forbearance Agreement) by the specified dates under Sections 6.19(a), (c) and (d) of the Prior Credit Agreement. On August 11, 2025, we entered into an amendment to the Forbearance Agreement and the fifth amendment to the Prior Credit Agreement which extended the Forbearance Period and maturity date to August 22, 2025. Under the terms of the Forbearance Agreement, as amended, the Refinancing Transaction Milestones were due on the maturity date. No fees were paid in connection with the forbearance. The Forbearance Agreement was not entered into as a result of financial distress, but rather to provide additional time to finalize and execute the 2025 Credit Agreement.</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14, 2025, we entered into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us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2025, we entered into an amendment to the 2025 Credit Agreement, which clarified the terms related to the manner in which interest is calculated, provides us greater flexibility with respect to the location of our corporate headquarters and extends the amount of time to produce our borrowing base reports.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funding of the 2025 Credit Agreement occurred on August 14, 2025, and the proceeds were used in part to repay approximately $6.0 million outstanding under the Prior Credit Agreement. In connection with entering into the 2025 Credit Agreement and the repayment in full of all outstanding obligations under the Prior Credit Agreement, the Prior Credit Agreement, along with the related Forbearance Agreement, as amended, were terminated.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28, 2025, the outstanding borrowing under the 2025 Credit Agreement was $14.4 million in addition to a $0.3 million letter of credit outstanding. After giving effect to the excess availability covenant and the outstanding letter of credit, the unused availability was $1.3 million. During 2025, the Company borrowed $115.1 million and repaid $100.7 million under the 2025 Credit Agreement and had a weighted average interest rate of 10.7%.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of December 28, 2025, we had cash and cash equivalents of $2.7 million. During the year ended December 28, 2025, we took certain cost reduction and cash conservation measures, including headcount reductions, adjustments to marketing spend, and other fixed, variable, and capital spend. 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Actual results of operations will depend on numerous factors, many of which are beyond our control as further discussed in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Pursuant to the 2024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3, 2024, our Board of Directors authorized a stock repurchase program to repurchase up to $2.5 million of our common stock (the “2024 Repurchase Program”). During 2025, we repurchased 123,934 shares of common stock in open market transactions pursuant to 10b5-1 purchase plans entered into by the Company for a total cost of $0.9 million. As of December 28, 2025, there was $1.1 million available under the 2024 Repurchase Program authorization.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actual timing, number, and value of shares repurchased in the future will be determined at our discretion and will continue to depend on a number of factors, including market conditions, applicable legal requirements, our capital needs, and whether there is a better alternative use of capital. Repurchases will continue to be funded from our existing cash and cash equivalents, or future cash flow. The 2024 Repurchase Program may be modified, suspended, or terminated at any time. For further information on the 2024 Repurchase Program, 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40" w:type="dxa"/>
            <w:vAlign w:val="bottom"/>
          </w:tcPr>
          <w:p>
            <w:pPr>
              <w:spacing w:after="0"/>
              <w:rPr>
                <w:sz w:val="18"/>
                <w:szCs w:val="18"/>
                <w:color w:val="auto"/>
              </w:rPr>
            </w:pP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16"/>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r>
      <w:tr>
        <w:trPr>
          <w:trHeight w:val="209"/>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r>
      <w:tr>
        <w:trPr>
          <w:trHeight w:val="20"/>
        </w:trPr>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loss adjusted for certain non-cash items, including depreciation, amortization, noncash lease expense, equity-based compensation, amortization of debt discount and debt issuance costs, and the effect of changes in working capital and other activities.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2025, net cash provided by operating activities was $1.4 million, which primarily consisted of a net loss of $13.7 million, partially offset by non-cash charges of $14.3 million and a net change of $0.8 million in operating assets and liabilities. The non-cash charges were primarily comprised of $5.1 million of depreciation and amortization, $4.5 million of equity-based compensation expense, and $4.5 million of non-cash lease expense. The net change in operating assets and liabilities was primarily driven by a $3.1 million decrease in income tax receivable due to the receipt of state income tax refunds and a $2.2 million increase in accrued expenses and other current liabilities primarily driven by increase in returns reserve and stored-value card liabilities. These increases were partially offset by a $4.3 million decrease in operating lease liabilities and a $2.7 million increase in accounts payable.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2024, net cash provided by operating activities was $2.6 million, which primarily consisted of a net loss of $55.3 million, partially offset by non-cash charges of $50.4 million and a net change of $7.5 million in operating assets and liabilities. The non-cash charges were primarily comprised of $28.4 million of goodwill impairment, $8.1 million of equity-based compensation expense, $5.5 million of depreciation and amortization, $4.1 million of non-cash lease expense and $3.8 million of deferred income taxes. The net change in operating assets and liabilities was primarily driven by a $4.8 million increase in accrued expenses and other current liabilities primarily driven by increase in returns reserve and stored-value card liabilities, a $2.1 million decrease in accounts payable related to purchases activity in line with sales, a $1.4 million decrease of accounts receivable driven by lower sales and a $1.4 million increase in inventory. These increases were partially offset by a $3.5 million decrease in operating lease liabilities.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or contraction of our operations. We have no material commitments for capital expenditures.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2025, as compared to 2024, net cash used in investing activities decreased by $0.8 million, primarily due to lower purchases of property and equipment.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Financing activities consist primarily of borrowings and repayments related to our revolving facility under the Prior Credit Agreement and the 2025 Credit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cash used in financing activities was $1.0 million, primarily due to $100.7 million of repayments under our 2025 Credit Agreement, $13.1 million of repayments under our Prior Credit Agreement, $1.3 million of principal payments of finance lease obligations, and $0.9 million used in the repurchase of our common stock, partially offset by $115.1 million of proceeds from borrowings under our 2025 Credit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cash provided by financing activities was $2.2 million, primarily due to $33.1 million of proceeds from borrowings under our Prior Credit Agreement which was partially offset by $28.0 million of repayments under our Prior Credit Agreement, $1.4 million of principal payments on finance lease obligations, $1.3 million of withholding tax payments related to the vesting of equity-based awards and $0.5 million used in the repurchase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most significant contractual obligations relate to our 2025 Credit Agreement and operating lease obligations on our distribution facilities and corporate offices. For information on our 2025 Credit Agreement,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for information on our contractual obligations for operating leases,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the assumptions and estimates associated with revenue recognition, equity-based compensation, and income taxes have the greatest potential impact on our consolidated financial statements. Therefore, we consider these to be our critical accounting policies and estimates. For further information on all of our significant accounting policies, please see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an important accounting policy. We generate revenue both from the sale of merchandise products sold directly to end customers and to wholesale customers. We recognize revenue when the product is transferred to the customer, which is generally upon shipment. We estimate a reserve of future returns based on historical return rates. There is judgment in utilizing historical trends for estimating future returns. Our refund for sales returns is included in returns reserve and asset for recovery on the consolidated balance sheets and represents the expected value of the refund that will be due to our customers.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estimates breakage related to store credits using historical redemption rates for each store credit issuance year, which reflects customer redemption patterns. The Company periodically evaluates redemption patterns and may record adjustments to its breakage estimate from time to time. These changes may impact trends for the quarter and/or year in the period the changes are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compute our provision for income taxes using the asset and liability method, under which DTAs and DTLs are recognized for the expected future tax consequences of temporary differences between the financial reporting and tax bases of assets and liabilities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operating losses and tax credit carryforwards. DTAs and DTLs are measured using the currently enacted tax rates that apply to taxable income in effect for the years in which they are expected to be realized or settled.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DTAs are evaluated for future realization and reduced by a valuation allowance to the amount that is more likely than not to be realized. We consider many factors when assessing the likelihood of future realization, including our recent cumulative loss, earnings expectations in earlier future years, and other relevant factors.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28, 2025, we had approximately $23.9 million in gross DTAs and $8.1 million in gross DTLs, which resulted in a net DTA of $15.8 million. These DTAs include approximately $5.9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not have sufficient taxable income in the future that will allow us to realize the DTAs. Due to the weight of objectively verifiable negative evidence, we established a valuation allowance in the prior year of $14.9 million and increased the allowance to $16.7 million as of December 28, 2025, which reduced the tax benefit recognized in the current year, impacting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Policies—Recently Issued Accounting Pronouncements</w:t>
      </w:r>
      <w:r>
        <w:rPr>
          <w:rFonts w:ascii="Times New Roman" w:cs="Times New Roman" w:eastAsia="Times New Roman" w:hAnsi="Times New Roman"/>
          <w:sz w:val="18"/>
          <w:szCs w:val="18"/>
          <w:color w:val="auto"/>
        </w:rPr>
        <w:t>, of the accompanying notes to our consolidated financial statements included elsewhere in this Annual Report on Form 10-K for more information about recent accounting pronouncements, the timing of their adoption, and our assessment, to the extent we have made one, of their potential impact on our financial position and our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consolidated financial statements may not be comparable to companies that comply with new or revised accounting pronouncements as of public company effective dates.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solely based within the U.S. and the majority of our sales are within the U.S.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are held primarily in money market funds and cash deposits. The fair value of our cash and cash equivalents would not be significantly affected by either an increase or decrease in interest rates due mainly to the short-term nature of these instruments. Interest on any borrowings incurred pursuant to our 2025 Credit Agreement, accrue at a floating rate based on a formula tied to certain market rates at the time of incurrence; however, we do not expect that any change in prevailing interest rates will have a material impact on our results of operations.</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our domestic sales and operating expenses are denominated in U.S. dollars, and therefore, our income/(loss) before income taxes is not currently subject to foreign currency risk.</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inflationary pressures in our supply chain and in our operating costs, as well as impacts related to our customers’ spending levels, which fluctuate with inflation.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8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6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LULU’S FASHION LOUNGE HOLDINGS, INC.</w:t>
            </w:r>
          </w:p>
        </w:tc>
        <w:tc>
          <w:tcPr>
            <w:tcW w:w="158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5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3"/>
        </w:trPr>
        <w:tc>
          <w:tcPr>
            <w:tcW w:w="4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1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2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624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12"/>
        </w:trPr>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2"/>
        </w:trPr>
        <w:tc>
          <w:tcPr>
            <w:tcW w:w="36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040" w:type="dxa"/>
            <w:vAlign w:val="bottom"/>
            <w:tcBorders>
              <w:top w:val="single" w:sz="8" w:color="0000EE"/>
            </w:tcBorders>
            <w:gridSpan w:val="2"/>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2"/>
        </w:trPr>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546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2"/>
        </w:trPr>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18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Lulu’s Fashion Lounge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Lulu’s Fashion Lounge Holdings, Inc. and subsidiaries (the “Company”) as of December 28, 2025, and December 29, 2024, the related consolidated statements of operations and comprehensive loss, stockholders’ equity, and cash flows, for each of the three years in the period ended December 28, 2025, and the related notes (collectively referred to as the “financial statements”). In our opinion, the financial statements present fairly, in all material respects, the financial position of the Company as of December 28, 2025, and December 29, 2024, and the results of its operations and its cash flows for each of the three fiscal years in the period ended December 28, 2025,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80" w:type="dxa"/>
            <w:vAlign w:val="bottom"/>
          </w:tcPr>
          <w:p>
            <w:pPr>
              <w:ind w:left="70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10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December 28,</w:t>
            </w:r>
          </w:p>
        </w:tc>
        <w:tc>
          <w:tcPr>
            <w:tcW w:w="420" w:type="dxa"/>
            <w:vAlign w:val="bottom"/>
            <w:gridSpan w:val="3"/>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29,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gridSpan w:val="3"/>
          </w:tcPr>
          <w:p>
            <w:pPr>
              <w:jc w:val="right"/>
              <w:ind w:right="35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2,661</w:t>
            </w:r>
          </w:p>
        </w:tc>
        <w:tc>
          <w:tcPr>
            <w:tcW w:w="420" w:type="dxa"/>
            <w:vAlign w:val="bottom"/>
            <w:gridSpan w:val="3"/>
            <w:shd w:val="clear" w:color="auto" w:fill="CCEEFF"/>
          </w:tcPr>
          <w:p>
            <w:pPr>
              <w:jc w:val="right"/>
              <w:ind w:right="7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43,648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89,364</w:t>
            </w:r>
          </w:p>
        </w:tc>
        <w:tc>
          <w:tcPr>
            <w:tcW w:w="28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718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gridSpan w:val="3"/>
          </w:tcPr>
          <w:p>
            <w:pPr>
              <w:jc w:val="right"/>
              <w:ind w:right="354"/>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35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8,340</w:t>
            </w:r>
          </w:p>
        </w:tc>
        <w:tc>
          <w:tcPr>
            <w:tcW w:w="420" w:type="dxa"/>
            <w:vAlign w:val="bottom"/>
            <w:gridSpan w:val="3"/>
          </w:tcPr>
          <w:p>
            <w:pPr>
              <w:jc w:val="right"/>
              <w:ind w:right="7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based revolving credit facility – current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6,402</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75,063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86,350</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94,830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1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Common stock: $0.001 par value, 250,000,000 shares authorized; 2,971,729 and 2,804,542 shares issued and</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outstanding as of December 28, 2025 and December 29, 2024, respectively</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266,557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(262,204)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1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Treasury stock, at cost, 146,555 shares and 22,621 shares as of December 28, 2025 and December 29, 2024,</w:t>
            </w: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8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respectively</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3,014</w:t>
            </w: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89,364</w:t>
            </w:r>
          </w:p>
        </w:tc>
        <w:tc>
          <w:tcPr>
            <w:tcW w:w="280" w:type="dxa"/>
            <w:vAlign w:val="bottom"/>
            <w:gridSpan w:val="2"/>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80" w:right="520" w:hanging="321"/>
        <w:spacing w:after="0" w:line="239" w:lineRule="auto"/>
        <w:tabs>
          <w:tab w:leader="none" w:pos="6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Shares have been adjusted to reflect the 1-for-15 reverse stock split that became effective as of the opening of business on July 7, 2025. Refer to Note 8, </w:t>
      </w:r>
      <w:r>
        <w:rPr>
          <w:rFonts w:ascii="Times New Roman" w:cs="Times New Roman" w:eastAsia="Times New Roman" w:hAnsi="Times New Roman"/>
          <w:sz w:val="14"/>
          <w:szCs w:val="14"/>
          <w:i w:val="1"/>
          <w:iCs w:val="1"/>
          <w:color w:val="auto"/>
        </w:rPr>
        <w:t xml:space="preserve">Stockholder’s Equity </w:t>
      </w:r>
      <w:r>
        <w:rPr>
          <w:rFonts w:ascii="Times New Roman" w:cs="Times New Roman" w:eastAsia="Times New Roman" w:hAnsi="Times New Roman"/>
          <w:sz w:val="14"/>
          <w:szCs w:val="14"/>
          <w:color w:val="auto"/>
        </w:rPr>
        <w:t>in the accompanying Notes to the Consolidated Financial Statements for additional details.</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3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112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282,284</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60"/>
              <w:spacing w:after="0" w:line="216" w:lineRule="exact"/>
              <w:rPr>
                <w:sz w:val="20"/>
                <w:szCs w:val="20"/>
                <w:color w:val="auto"/>
              </w:rPr>
            </w:pPr>
            <w:r>
              <w:rPr>
                <w:rFonts w:ascii="Times New Roman" w:cs="Times New Roman" w:eastAsia="Times New Roman" w:hAnsi="Times New Roman"/>
                <w:sz w:val="17"/>
                <w:szCs w:val="17"/>
                <w:color w:val="auto"/>
              </w:rPr>
              <w:t>Basic loss per share</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bottom w:val="single" w:sz="8" w:color="CCEEFF"/>
            </w:tcBorders>
            <w:shd w:val="clear" w:color="auto" w:fill="CCEEFF"/>
          </w:tcPr>
          <w:p>
            <w:pPr>
              <w:ind w:left="60"/>
              <w:spacing w:after="0" w:line="197" w:lineRule="exact"/>
              <w:rPr>
                <w:sz w:val="20"/>
                <w:szCs w:val="20"/>
                <w:color w:val="auto"/>
              </w:rPr>
            </w:pPr>
            <w:r>
              <w:rPr>
                <w:rFonts w:ascii="Times New Roman" w:cs="Times New Roman" w:eastAsia="Times New Roman" w:hAnsi="Times New Roman"/>
                <w:sz w:val="16"/>
                <w:szCs w:val="16"/>
                <w:color w:val="auto"/>
              </w:rPr>
              <w:t>Diluted loss per share</w:t>
            </w:r>
            <w:r>
              <w:rPr>
                <w:rFonts w:ascii="Times New Roman" w:cs="Times New Roman" w:eastAsia="Times New Roman" w:hAnsi="Times New Roman"/>
                <w:sz w:val="22"/>
                <w:szCs w:val="22"/>
                <w:color w:val="auto"/>
                <w:vertAlign w:val="superscript"/>
              </w:rPr>
              <w:t>(1)</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60"/>
              <w:spacing w:after="0" w:line="236" w:lineRule="exact"/>
              <w:rPr>
                <w:sz w:val="20"/>
                <w:szCs w:val="20"/>
                <w:color w:val="auto"/>
              </w:rPr>
            </w:pPr>
            <w:r>
              <w:rPr>
                <w:rFonts w:ascii="Times New Roman" w:cs="Times New Roman" w:eastAsia="Times New Roman" w:hAnsi="Times New Roman"/>
                <w:sz w:val="18"/>
                <w:szCs w:val="18"/>
                <w:color w:val="auto"/>
              </w:rPr>
              <w:t>Basic weighted-average shares outstanding</w:t>
            </w:r>
            <w:r>
              <w:rPr>
                <w:rFonts w:ascii="Times New Roman" w:cs="Times New Roman" w:eastAsia="Times New Roman" w:hAnsi="Times New Roman"/>
                <w:sz w:val="26"/>
                <w:szCs w:val="26"/>
                <w:color w:val="auto"/>
                <w:vertAlign w:val="superscript"/>
              </w:rPr>
              <w:t>(1)</w:t>
            </w: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2,799,732</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2,764,594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2,658,608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ind w:left="60"/>
              <w:spacing w:after="0" w:line="197" w:lineRule="exact"/>
              <w:rPr>
                <w:sz w:val="20"/>
                <w:szCs w:val="20"/>
                <w:color w:val="auto"/>
              </w:rPr>
            </w:pPr>
            <w:r>
              <w:rPr>
                <w:rFonts w:ascii="Times New Roman" w:cs="Times New Roman" w:eastAsia="Times New Roman" w:hAnsi="Times New Roman"/>
                <w:sz w:val="16"/>
                <w:szCs w:val="16"/>
                <w:color w:val="auto"/>
              </w:rPr>
              <w:t>Diluted weighted-average shares outstanding</w:t>
            </w:r>
            <w:r>
              <w:rPr>
                <w:rFonts w:ascii="Times New Roman" w:cs="Times New Roman" w:eastAsia="Times New Roman" w:hAnsi="Times New Roman"/>
                <w:sz w:val="22"/>
                <w:szCs w:val="22"/>
                <w:color w:val="auto"/>
                <w:vertAlign w:val="superscript"/>
              </w:rPr>
              <w:t>(1)</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2,799,732</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2,764,594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2,658,608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80" w:right="340" w:hanging="321"/>
        <w:spacing w:after="0" w:line="261" w:lineRule="auto"/>
        <w:tabs>
          <w:tab w:leader="none" w:pos="68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8, </w:t>
      </w:r>
      <w:r>
        <w:rPr>
          <w:rFonts w:ascii="Times New Roman" w:cs="Times New Roman" w:eastAsia="Times New Roman" w:hAnsi="Times New Roman"/>
          <w:sz w:val="14"/>
          <w:szCs w:val="14"/>
          <w:i w:val="1"/>
          <w:iCs w:val="1"/>
          <w:color w:val="auto"/>
        </w:rPr>
        <w:t xml:space="preserve">Stockholder’s Equity </w:t>
      </w:r>
      <w:r>
        <w:rPr>
          <w:rFonts w:ascii="Times New Roman" w:cs="Times New Roman" w:eastAsia="Times New Roman" w:hAnsi="Times New Roman"/>
          <w:sz w:val="14"/>
          <w:szCs w:val="14"/>
          <w:color w:val="auto"/>
        </w:rPr>
        <w:t>in the accompanying Notes to the Consolidated Financial Statements for additional details.</w:t>
      </w:r>
    </w:p>
    <w:p>
      <w:pPr>
        <w:spacing w:after="0" w:line="16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0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5"/>
        </w:trPr>
        <w:tc>
          <w:tcPr>
            <w:tcW w:w="3360" w:type="dxa"/>
            <w:vAlign w:val="bottom"/>
          </w:tcPr>
          <w:p>
            <w:pPr>
              <w:spacing w:after="0"/>
              <w:rPr>
                <w:sz w:val="14"/>
                <w:szCs w:val="14"/>
                <w:color w:val="auto"/>
              </w:rPr>
            </w:pPr>
          </w:p>
        </w:tc>
        <w:tc>
          <w:tcPr>
            <w:tcW w:w="1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3360" w:type="dxa"/>
            <w:vAlign w:val="bottom"/>
          </w:tcPr>
          <w:p>
            <w:pPr>
              <w:ind w:left="33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7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   Amount</w:t>
            </w:r>
          </w:p>
        </w:tc>
        <w:tc>
          <w:tcPr>
            <w:tcW w:w="180" w:type="dxa"/>
            <w:vAlign w:val="bottom"/>
          </w:tcPr>
          <w:p>
            <w:pPr>
              <w:spacing w:after="0"/>
              <w:rPr>
                <w:sz w:val="12"/>
                <w:szCs w:val="12"/>
                <w:color w:val="auto"/>
              </w:rPr>
            </w:pPr>
          </w:p>
        </w:tc>
        <w:tc>
          <w:tcPr>
            <w:tcW w:w="260" w:type="dxa"/>
            <w:vAlign w:val="bottom"/>
            <w:gridSpan w:val="2"/>
          </w:tcPr>
          <w:p>
            <w:pPr>
              <w:jc w:val="right"/>
              <w:ind w:right="44"/>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7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gridSpan w:val="2"/>
          </w:tcPr>
          <w:p>
            <w:pPr>
              <w:jc w:val="right"/>
              <w:ind w:right="58"/>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1"/>
                <w:szCs w:val="11"/>
                <w:b w:val="1"/>
                <w:bCs w:val="1"/>
                <w:color w:val="auto"/>
              </w:rPr>
              <w:t>​​​ Shares</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gridSpan w:val="2"/>
          </w:tcPr>
          <w:p>
            <w:pPr>
              <w:jc w:val="right"/>
              <w:ind w:right="38"/>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2023</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2,617,289</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39</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238,725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(173,871)</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64,893</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36"/>
        </w:trPr>
        <w:tc>
          <w:tcPr>
            <w:tcW w:w="336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stock for special compensation</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award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36"/>
        </w:trPr>
        <w:tc>
          <w:tcPr>
            <w:tcW w:w="336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plan (ESPP)</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(58,546)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Forfeited shares of restricted stock</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16,489</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(19,334)</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(19,334)</w:t>
            </w: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2,707,880</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41</w:t>
            </w:r>
          </w:p>
        </w:tc>
        <w:tc>
          <w:tcPr>
            <w:tcW w:w="2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254,116</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(193,205)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60,952</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Issuance of common stock for ESPP</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of common stock under 2023 MBO Bonus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(46,932)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r>
      <w:tr>
        <w:trPr>
          <w:trHeight w:val="136"/>
        </w:trPr>
        <w:tc>
          <w:tcPr>
            <w:tcW w:w="336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Shares withheld for withholding tax on 2023 MBO</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Bonus Plan</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9,189</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(22,621)</w:t>
            </w:r>
          </w:p>
        </w:tc>
        <w:tc>
          <w:tcPr>
            <w:tcW w:w="2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(55,286)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(55,286)</w:t>
            </w: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29, 2024</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2,804,542</w:t>
            </w:r>
          </w:p>
        </w:tc>
        <w:tc>
          <w:tcPr>
            <w:tcW w:w="4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42</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262,313</w:t>
            </w:r>
          </w:p>
        </w:tc>
        <w:tc>
          <w:tcPr>
            <w:tcW w:w="4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(248,491)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(22,621)</w:t>
            </w:r>
          </w:p>
        </w:tc>
        <w:tc>
          <w:tcPr>
            <w:tcW w:w="4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(496)</w:t>
            </w:r>
          </w:p>
        </w:tc>
        <w:tc>
          <w:tcPr>
            <w:tcW w:w="4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13,368</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143,214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of common stock for ESPP</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36"/>
        </w:trPr>
        <w:tc>
          <w:tcPr>
            <w:tcW w:w="336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stock for Reverse Stock Split</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rounding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51,364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w:t>
            </w:r>
          </w:p>
        </w:tc>
      </w:tr>
      <w:tr>
        <w:trPr>
          <w:trHeight w:val="148"/>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(123,934)</w:t>
            </w:r>
          </w:p>
        </w:tc>
        <w:tc>
          <w:tcPr>
            <w:tcW w:w="28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r>
      <w:tr>
        <w:trPr>
          <w:trHeight w:val="14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49"/>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(13,713)</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(13,713)</w:t>
            </w:r>
          </w:p>
        </w:tc>
      </w:tr>
      <w:tr>
        <w:trPr>
          <w:trHeight w:val="142"/>
        </w:trPr>
        <w:tc>
          <w:tcPr>
            <w:tcW w:w="3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28, 2025</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2,971,729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43</w:t>
            </w:r>
          </w:p>
        </w:tc>
        <w:tc>
          <w:tcPr>
            <w:tcW w:w="26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266,557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(262,204)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(146,555)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(1,382)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3,014</w:t>
            </w:r>
          </w:p>
        </w:tc>
      </w:tr>
      <w:tr>
        <w:trPr>
          <w:trHeight w:val="20"/>
        </w:trPr>
        <w:tc>
          <w:tcPr>
            <w:tcW w:w="3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680" w:right="340" w:hanging="321"/>
        <w:spacing w:after="0" w:line="261" w:lineRule="auto"/>
        <w:tabs>
          <w:tab w:leader="none" w:pos="68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8, </w:t>
      </w:r>
      <w:r>
        <w:rPr>
          <w:rFonts w:ascii="Times New Roman" w:cs="Times New Roman" w:eastAsia="Times New Roman" w:hAnsi="Times New Roman"/>
          <w:sz w:val="14"/>
          <w:szCs w:val="14"/>
          <w:i w:val="1"/>
          <w:iCs w:val="1"/>
          <w:color w:val="auto"/>
        </w:rPr>
        <w:t xml:space="preserve">Stockholder’s Equity </w:t>
      </w:r>
      <w:r>
        <w:rPr>
          <w:rFonts w:ascii="Times New Roman" w:cs="Times New Roman" w:eastAsia="Times New Roman" w:hAnsi="Times New Roman"/>
          <w:sz w:val="14"/>
          <w:szCs w:val="14"/>
          <w:color w:val="auto"/>
        </w:rPr>
        <w:t>in the accompanying Notes to the Condensed Consolidated Financial Statements for additional details.</w:t>
      </w:r>
    </w:p>
    <w:p>
      <w:pPr>
        <w:spacing w:after="0" w:line="16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00" w:type="dxa"/>
            <w:vAlign w:val="bottom"/>
          </w:tcPr>
          <w:p>
            <w:pPr>
              <w:spacing w:after="0"/>
              <w:rPr>
                <w:sz w:val="10"/>
                <w:szCs w:val="10"/>
                <w:color w:val="auto"/>
              </w:rPr>
            </w:pPr>
          </w:p>
        </w:tc>
        <w:tc>
          <w:tcPr>
            <w:tcW w:w="1160" w:type="dxa"/>
            <w:vAlign w:val="bottom"/>
            <w:gridSpan w:val="3"/>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60" w:type="dxa"/>
            <w:vAlign w:val="bottom"/>
          </w:tcPr>
          <w:p>
            <w:pPr>
              <w:spacing w:after="0"/>
              <w:rPr>
                <w:sz w:val="10"/>
                <w:szCs w:val="10"/>
                <w:color w:val="auto"/>
              </w:rPr>
            </w:pPr>
          </w:p>
        </w:tc>
        <w:tc>
          <w:tcPr>
            <w:tcW w:w="9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60" w:type="dxa"/>
            <w:vAlign w:val="bottom"/>
          </w:tcPr>
          <w:p>
            <w:pPr>
              <w:spacing w:after="0"/>
              <w:rPr>
                <w:sz w:val="15"/>
                <w:szCs w:val="15"/>
                <w:color w:val="auto"/>
              </w:rPr>
            </w:pPr>
          </w:p>
        </w:tc>
        <w:tc>
          <w:tcPr>
            <w:tcW w:w="9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(13,713)</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(55,286)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lease modification</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(3,488)</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1,379</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(1,574)</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(2,131)</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(2,874)</w:t>
            </w:r>
          </w:p>
        </w:tc>
        <w:tc>
          <w:tcPr>
            <w:tcW w:w="2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line of credit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Repayments on revolving line of credit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borrowings on Asset Based Revolving Credit Facility</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Repayments on Asset Based Revolving Credit Facility</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(100,712)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ESPP</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(1,365)</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Withholding tax payments related to vesting of RSUs and 2023 Bonus Plan</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2,227</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1,954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4,460</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(Continued)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80" w:type="dxa"/>
            <w:vAlign w:val="bottom"/>
          </w:tcPr>
          <w:p>
            <w:pPr>
              <w:spacing w:after="0"/>
              <w:rPr>
                <w:sz w:val="10"/>
                <w:szCs w:val="10"/>
                <w:color w:val="auto"/>
              </w:rPr>
            </w:pPr>
          </w:p>
        </w:tc>
        <w:tc>
          <w:tcPr>
            <w:tcW w:w="96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8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(refunded) during the period for: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w:t>
            </w:r>
          </w:p>
        </w:tc>
        <w:tc>
          <w:tcPr>
            <w:tcW w:w="4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5,267</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4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acquired under operating lease obligations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finance lease obligations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 included in accrued expenses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Remeasurement of operating lease right-of-use assets for lease modification</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Derecognition of operating lease liabilities and assets upon lease termination</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4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(Concluded)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was formed on August 25, 2017 as a holding company and its primary asset is an indirect membership interest in Lulu’s Fashion Lounge, LLC, the operating company. Prior to the Company’s initial public offering, the Company was majority-owned by Lulu’s Holdings, L.P. (the “LP”), the prior parent company. In connection with the Company’s initial public offering, the LP was liquidated.</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Lulu’s Fashion Lounge, LLC was founded in 1996, starting as a vintage boutique in Chico, California that began selling online in 2005 and transitioned to a purely online business in 2008. The LP was formed in 2014 as a holding company and purchased 100% of Lulu’s Fashion Lounge, LLC’s outstanding common stock in 2014. The Company, based in Chico, California, through Lulu’s Fashion Lounge, LLC, is a women’s clothing brand offering modern, feminine styles at accessible prices for every occasion. Our goal is to make every customer feel their most confident and beautiful for the moments that matter most.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tariffs or bans, world events, wars and domestic and international conflicts, existing and future laws, regulations,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December 31. The fiscal years ended December 28, 2025 (“2025”), ended December 29, 2024 (“2024) and ended December 31, 2023 (“2023”) consisted of 52-weeks.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include the accounts of the Company and its wholly owned subsidiaries, after elimination of all intercompany balances and transactions. The accompanying consolidated financial statements have been prepared in accordance with accounting principles generally accepted in the United States of America (“GAAP”) and the requirements of the Securities and Exchange Commission (“SEC”). As further discussed in the Reverse Stock Split section below, all per share amounts and common stock amounts have been adjusted on a retroactive basis to reflect the Reverse Stock Split (as defined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 of assets and liabilities and disclosure of contingent assets and liabilities at the date of the consolidated financial statements and the reported amounts of revenue and expenses during the reporting period. The significant estimates and assumptions made by management relate to sales return reserves and related assets for recovery, store credit breakage,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breakage related to store credits using historical redemption rates for each store credit issuance year, which reflects customer redemption patterns. The Company evaluates redemption patterns and may record adjustments to its breakage estimate from time to time.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Such amounts may exceed federally insured limits. The Company reduces credit risk by depositing its cash with major credit-worthy financial institutions within the United States (the U.S.”). To date, the Company has not experienced any losses on its cash deposits. As of December 28, 2025, two single wholesale customers represented 15% and 37%, respectively, of the Company’s accounts receivable balance. As of December 29, 2024, no single customer represented greater than 10% of the Company’s accounts receivable balance. No single customer accounted for greater than 10% of the Company’s net revenue during 2025, 2024 and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consist primarily of receivables from credit card processing agencies and wholesale customers. Based on historical collections from these agencies and wholesale customers, an immaterial allowance for doubtful accounts was deemed necessary as of December 28, 2025, and December 29,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which are recorded at the lower of cost or net realizable value, with cost determined using the first-in-first-out method. The cost of inventory consists of merchandise costs and inbound freight costs. Inventory levels are reviewed to identify slow-moving merchandise, and promotions and markdowns are used to clear merchandise. In the period in which the Company determines estimated selling price, less costs to sell, is below cost, or identifies excess, obsolete, or unsalable items, the Company writes its inventory down to its net realizable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on a straight-line basis over their estimated useful lives, which range from one to six years. Improvements that extend the life of a specific asset are capitalized, while normal maintenance and repairs are expensed as incurred. When assets are sold or otherwise retired, their cost and related accumulated depreciation are removed from the consolidated balance sheet with any resulting gain or loss reflected in general and administrative expenses in the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Tradename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is stated at the excess of the acquisition price over the fair value of net assets acquired in a purchase acquisition and is not amortized. Goodwill arose from the LP’s purchase of 100% of the outstanding common stock of Lulu’s Fashion Lounge, LLC on July 25, 2014 and the Company has one reporting unit. The Company’s tradename is an indefinite-lived intangible asset and is not amortized. The Company reviews its goodwill and tradename for impairment at least annually (on the first day of the fourth quarter) or more frequently whenever events or changes in circumstances indicate that the carrying amount may be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an assessment of qualitative factors (“Step 0 Test”). The qualitative assessment includes assessing the totality of relevant events and circumstances that affect the fair value or carrying value of the reporting unit. These events and circumstances include macroeconomic conditions, industry and competitive environment conditions, overall financial performance, reporting unit specific events and market considerations. The Company also considers recent 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 If the qualitative assessment results in a conclusion that it is more likely than not that the fair value of a reporting unit exceeds the carrying value, then no further testing is performed for that reporting unit.</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the annual goodwill impairment assessment date for fiscal year 2025, the Company performed a qualitative assessment of its goodwill and concluded that it was more likely than not that the fair value of its reporting unit exceeds its carrying value. Management evaluated relevant events and circumstances throughout fiscal 2025, including market conditions, operating results, stock price performance, and overall financial trends, and determined that no events occurred during the year that would indicate a triggering event or require a quantitative goodwill impairment test. Accordingly, no goodwill impairment was recorded for the year ended December 28, 2025. The goodwill balance remained $7.0 million on the consolidated balance sheet at year end.</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the annual goodwill impairment assessment performed on the first day of the fourth quarter, for fiscal year 2024, the Company conducted a qualitative assessment of its goodwill and determined that it is more likely than not that the fair value of its reporting unit exceeds the carrying value of the reporting unit. However, during the fourth quarter of fiscal 2024, due to a sustained decline in its stock price coupled with continuing net losses, we concluded that these were significant enough factors to warrant a quantitative assessment utilizing a combination of (i) the guideline public company method applying revenue and EBITDA multiples of similar companies and (ii) the discounted cash flow method. As a result of the quantitative goodwill impairment test conducted in the fourth quarter ended December 29, 2024, we concluded that the carrying value of the Company’s single reporting unit exceeded the fair value, and a goodwill impairment charge of $28.4 million was recorded, while $7.0 million of goodwill remained on our consolidated balance sheet as of December 29, 2024. No goodwill impairment was recorded for the year ended December 31, 2023.</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testing the tradename for impairment, the Company first performs an assessment of qualitative factors. If qualitative factors indicate that it is more likely than not that the fair value of the tradename is less than its carrying amount, the Company tests the tradename for impairment at the asset level. The Company determines the fair value of the tradename and compares it to the carrying value. If the carrying value of the tradename exceeds the fair value, the Company recognizes an impairment loss in an amount equal to the excess.</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performed the qualitative assessment of its tradename for fiscal year 2025 and determined that it is more likely than not that the fair value of the tradename exceeds the carrying value of the reporting unit.</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performed the qualitative assessment of its tradename for fiscal year 2024 and concluded that a sustained decline in its stock price coupled with continuing net losses were significant enough factors to warrant a</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quantitative assessment in the fourth quarter of 2024. The Company utilized the income-based relief-from-royalty method to value the trademark intangible assets. Under this method, revenues expected to be generated by the trademark are multiplied by a selected royalty rate. The royalty rate was selected based on consideration of i) royalty rates received by market participants in industries similar to the Company’s and ii) the current operating performance of the reporting unit. The estimated after-tax royalty revenue stream is then discounted to present value using the reporting unit’s WACC plus a spread that factors in the risk of the intangible asset.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results of the quantitative assessment for fiscal year 2024 indicated that the fair value of the tradename exceeded the carrying value of the reporting unit and there was no impairment. There were no additions to, disposals of, or impairments of the tradename during 2025, 2024 and 2023. There was no accumulated impairment of the tradename as of December 28, 2025 and December 29,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Intangible assets, net consists of capitalized internal-use software development, which is amortized over a 3-year period. The Company capitalizes certain costs in connection with obtaining or developing software for internal use. Additionally, the Company capitalizes qualifying costs incurred for upgrades and enhancements that result in additional functionality to existing software. Amortization of such costs begins when the project is substantially complete and ready for its intended use. Costs related to design or maintenance are expensed as incurred. Intangible asset amortization expense was $1.9 million, $2.1 million and $1.9 million during 2025, 2024 and 2023, respectively.</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 estimated useful life of the assets. The Company reviews intangible assets for impairment under the long-lived asset model described below. No impairment of intangible assets was recorded during the years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including lease right-of-use assets, for impairment periodically whenever events or changes in circumstances indicate that their related carrying amounts may not be recoverable. In evaluating long-lived assets for recoverability, the Company uses its best estimate of future cash flows expected to result from the use of the asset and eventual disposition. To the extent that projected undiscounted future net cash flows attributable to the asset are less than the carrying amount, an impairment loss is recognized in an amount equal to the difference between the carrying value of such asset and its estimated fair value. There was no impairment recorded during the years presented.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The Company adjusts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consolidated balance sheets.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consolidated statements of operations and comprehensive loss. Fixed and variable lease expense on operating leases is recognized within operating expenses in the consolidated statements of operations and comprehensive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time of order processing and shipment.</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online store credit for certain returns and promotions. The stored-value gift cards and store credits do not have an expiration date. The Company recognizes revenue from stored-value gift cards and store credits when the card or credit is redeemed by the customer. The Company has determined that sufficient evidence exists to support an estimate for stored-value gift card and store credit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2025, 2024 and 2023 was $4.8 million, $1.3 million and $1.0 million, respectively.</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during 2025, 2024 and 2023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700" w:type="dxa"/>
            <w:vAlign w:val="bottom"/>
          </w:tcPr>
          <w:p>
            <w:pPr>
              <w:ind w:left="76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7700" w:type="dxa"/>
            <w:vAlign w:val="bottom"/>
            <w:tcBorders>
              <w:bottom w:val="single" w:sz="8" w:color="CCEEFF"/>
            </w:tcBorders>
          </w:tcPr>
          <w:p>
            <w:pPr>
              <w:ind w:left="76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Cards</w:t>
            </w: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198"/>
        </w:trPr>
        <w:tc>
          <w:tcPr>
            <w:tcW w:w="7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 breakage) during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198"/>
        </w:trPr>
        <w:tc>
          <w:tcPr>
            <w:tcW w:w="7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 breakage) during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198"/>
        </w:trPr>
        <w:tc>
          <w:tcPr>
            <w:tcW w:w="7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 breakage) during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the Company’s distribution facilities; and charges related to inventory shrinkage, damages and the allowance for excess or obsolete inventory.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fixed and variable labor payroll and benefits costs, including equity-based compensation for the Company’s employees involved in general corporate functions including finance, merchandising, marketing, and technology, as well as costs associated with the use by these functions of facilities and equipment, including depreciation and amortization, rent and other occupancy expenses. General and administrative expenses are primarily driven by headcount related costs required to support the Company’s business and meet its obligations as a public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customer service, payment processing fees, advertising, targeted online performance marketing and search engine optimization costs. Selling and marketing expenses also include spend on brand marketing channels, including cash and free clothing compensation to influencers, events and other forms of online and offline marketing related to growing and retaining the customer base. Advertising costs included in selling and marketing expenses were $50.4 million, $55.4 million, and $58.5 million in 2025,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to certain employees, officers, directors, and other non-employee service providers. Equity-based compensation is measured at the grant date or modification date for all equity-based awards made to employees and non-employees based on the estimated fair value of the awards. Equity-based compensation expense is recognized on a straight-line basis over the period the employee or non-employee is required to provide service in exchange</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award, which is generally the vesting period. The Company classifies equity-based compensation expense as general and administrative expense in the Company’s consolidated statements of operations and comprehensive loss.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to recognize forfeitures by reducing the equity-based compensation expense in the same period as the forfeitures occur.</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grants of restricted stock or RSUs is based on the fair value of the Company’s common stock underlying the award on the grant date or modification date. For stock option awards, the Company applies the Black-Scholes option pricing model to determine the fair value. The model utilizes the estimated per share fair value of the Company’s underlying common stock at the grant date, the expected or contractual term of the option, the expected stock price volatility, risk-free interest rates, and the expected dividend yield of the common stock.</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bases its estimate of expected volatility on the historical volatility of comparable companies from a representative peer group selected based on industry, financial, and market capitalization data.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0.0% as the Company has not paid and does not anticipate paying dividends on its common stock.</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Determining the grant date fair value of options using the Black-Scholes option 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(“DTAs”) and deferred tax liabilities (“DTLs”) are recognized for the expected future tax consequences of temporary differences between the financial reporting and tax basis of assets and liabilities and for operating losses and tax credit carryforwards. DTAs and DTLs are measured using the currently enacted tax rates that apply to taxable income in effect for the years in which they are expected to be realized or settled.</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DTAs are evaluated for future realization and reduced by a valuation allowance to the amount that is more likely than not to be realized. The Company considers many factors when assessing the likelihood of future realization, including recent cumulative losses, earnings expectations in earlier future years, and other relevant factors.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that it is more likely than not that forecasted income, together with future reversals of existing taxable temporary differences and results of recent operations, will not be sufficient to fully recover the DTAs. Due to the weight of objectively verifiable negative evidence, we established a valuation allowance in the prior year of $14.9 million and increased the allowance to $16.7 million as of December 28, 2025, which reduced the tax benefit recognized in the current year, impacting our results of operations.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recognizes interest and penalties related to unrecognized tax benefits, if any, as income tax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loss per share attributable to common stockholders in conformity with the two-class method required for participating securities as the application of the if converted method is not more dilutive. The two-class method requires loss available to common stockholders for the period to be allocated between common stock and participating securities based upon their respective rights to receive dividends as if all income for the period had been distributed.</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its redeemable preferred stock and convertible preferred stock to be participating securities. In accordance with the two-class method, net loss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loss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using net loss attributable to common stockholders divided by the weighted average number of shares of common stock outstanding during the period. Diluted net loss per share attributable to common stockholders represents net loss attributable to common stockholders divided by the weighted average number of shares of common stock outstanding during the period, including the effects of any dilutive securities outstanding. Due to the net loss for all periods presented, no potentially dilutive securities had an impact on diluted loss per share for any period.</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attributable to common stockholders for the fiscal years presented because including them would have been anti-dilutive (on an as-converted basis):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237,894</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120,771</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2023 Bonus Plan</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391,916</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to record its redeemable preferred stock at the greater of its redemption value or the issuance date fair value, net of issuance costs, as it is probable of becoming redeemable due to the passage of time. Any change to the carrying value of redeemable preferred stock recognized in each period is recorded to additional paid-in capital, or in the absence of additional paid-in capital, recorded to accumulated deficit.</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issuance date fair value of the redeemable preferred stock shares purchased by entities related to current employees, board members, and service providers was higher than the consideration paid and such excess was recorded as equity-based compensation. The excess of the fair value over consideration paid for redeemable preferred stock shares purchased by an existing convertible preferred stockholder was accounted for as a deemed dividend and recorded in additional paid-in capital.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from non-owner sources. To date, the Company has not had any transactions that are required to be reported in comprehensive loss other than the net loss incurred from operations. Thus, comprehensive loss is the same as net loss for the periods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Financial Accounting Standards Board’s (“FASB”) issued Accounting Standards Update (“ASU”),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The Company adopted this guidance for fiscal 2025, on a prospective basis. The adoption did not have a material impact on our consolidated financial statements except for additional disclosures. 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accompanying notes to our consolidated financial statements included elsewhere in this Annual Report on Form 10-K.</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March 2024, FASB issued ASU 2024-02, </w:t>
      </w:r>
      <w:r>
        <w:rPr>
          <w:rFonts w:ascii="Times New Roman" w:cs="Times New Roman" w:eastAsia="Times New Roman" w:hAnsi="Times New Roman"/>
          <w:sz w:val="18"/>
          <w:szCs w:val="18"/>
          <w:i w:val="1"/>
          <w:iCs w:val="1"/>
          <w:color w:val="auto"/>
        </w:rPr>
        <w:t>Codification Improvements—Amendments to Remove References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Concepts Statements, </w:t>
      </w:r>
      <w:r>
        <w:rPr>
          <w:rFonts w:ascii="Times New Roman" w:cs="Times New Roman" w:eastAsia="Times New Roman" w:hAnsi="Times New Roman"/>
          <w:sz w:val="18"/>
          <w:szCs w:val="18"/>
          <w:color w:val="auto"/>
        </w:rPr>
        <w:t>which is intended to simplify the Codification and draw a distinction between authoritative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nonauthoritative literature. ASU 2024-02 is effective for annual reporting periods beginning after December 15, 2024, with early adoption permitted and can be applied on either a prospective or retroactive basis. The Company adopted this guidance for fiscal 2025, on a prospective basis, and it did not have a material impact on our consolidated financial statements or related disclosures.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which is intended to disclose specific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the notes to its financial statements for interim and annual reporting periods. ASU 2024-03 is effective for annual reporting periods beginning after December 15, 2026, and interim periods within annual reporting periods beginning after December 15, 2027. Early adoption of ASU 2024-03 is permitted. We are currently evaluating this pronouncement to determine its impact on our financial statements and related disclosures.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July 2025, FASB issued ASU 2025-05,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for Accounts Receivable and Contract Assets</w:t>
      </w:r>
      <w:r>
        <w:rPr>
          <w:rFonts w:ascii="Times New Roman" w:cs="Times New Roman" w:eastAsia="Times New Roman" w:hAnsi="Times New Roman"/>
          <w:sz w:val="18"/>
          <w:szCs w:val="18"/>
          <w:color w:val="auto"/>
        </w:rPr>
        <w:t>, which provides all entities with practical expedient of developing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and supportable forecasts as part of estimating expected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Early adoption is permitted in both interim and annual reporting periods in which financial statements have not yet been issued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or made available for issuance. We are currently evaluating this pronouncement to determine its impact on our financial statements and related disclosures.</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FASB issued ASU 2025-06, </w:t>
      </w:r>
      <w:r>
        <w:rPr>
          <w:rFonts w:ascii="Times New Roman" w:cs="Times New Roman" w:eastAsia="Times New Roman" w:hAnsi="Times New Roman"/>
          <w:sz w:val="18"/>
          <w:szCs w:val="18"/>
          <w:i w:val="1"/>
          <w:iCs w:val="1"/>
          <w:color w:val="auto"/>
        </w:rPr>
        <w:t xml:space="preserve">Intangibles—Goodwill and Other—Internal Use Software (Topic 350-40): Targeted Improvements to the Accounting for Internal-Use Software, </w:t>
      </w:r>
      <w:r>
        <w:rPr>
          <w:rFonts w:ascii="Times New Roman" w:cs="Times New Roman" w:eastAsia="Times New Roman" w:hAnsi="Times New Roman"/>
          <w:sz w:val="18"/>
          <w:szCs w:val="18"/>
          <w:color w:val="auto"/>
        </w:rPr>
        <w:t>which amends certain aspects of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and disclosure of software costs under ASC 350-40. ASU 2025-06 is effective for all entities for annual reporting periods beginning after December 15, 2027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improve the guidance in Topic 270, Interim Reporting, by improving the navigability of the required interim disclosures and clarifying when that guidance is applicable. ASU 2025-11 is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The amendments in this Update can be applied either prospectively or retrospectively to any or all prior periods presented in the financial statements. Early adoption is permitted for all entities. We are currently evaluating this pronouncement to determine its impact on our financial statements and related disclosures.</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represent changes to the codification that clarify, correct errors, or make minor improvements. The amendments make the codification easier to understand and apply. ASU 2025-12 is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spacing w:after="0" w:line="180"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178" w:lineRule="exact"/>
        <w:rPr>
          <w:sz w:val="20"/>
          <w:szCs w:val="20"/>
          <w:color w:val="auto"/>
        </w:rPr>
      </w:pPr>
    </w:p>
    <w:p>
      <w:pPr>
        <w:ind w:left="600" w:right="559"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600" w:right="259"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2" w:lineRule="exact"/>
        <w:rPr>
          <w:sz w:val="20"/>
          <w:szCs w:val="20"/>
          <w:color w:val="auto"/>
        </w:rPr>
      </w:pPr>
    </w:p>
    <w:p>
      <w:pPr>
        <w:ind w:left="600" w:right="539"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that are supported by little or no market data.</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accrued expenses, other current liabilities and borrowings under the 2025 Credit Agreement. As of December 28, 2025 and December 29, 2024, the carrying values of cash and cash equivalents, accounts payable, accrued expenses and other current liabilities approximate fair value due to their short-term maturities.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August 14, 2025, the Company and its subsidiaries (collectively, the “Borrowers”) entered the 2025 Credit Agreement which is an asset-based revolving credit facility with a $20.0 million commitment, a $5.0 million uncommitted accordion and a $1.0 million sublimit for letters of credit. The amount that may be borrowed under the 2025 Credit Agreement is based on a borrowing base calculated based on advance rates for various assets serving as collateral for the 2025 Credit Agreement. Borrowings bear interest at a rate equal to the 30-day SOFR rate plus 3.95% and is secured by a first-priority security interest in and lien upon all tangible and intangible personal property of the Borrowers, now owned or acquired in the future. Because the interest rate is variable and reset based on SOFR with a market-based margin, the fair value of amounts outstanding under the 2025 Credit Agreement approximates carrying value.</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the annual goodwill and tradename impairment assessment date for fiscal year 2025, the Company performed a qualitative assessment of its goodwill, tradename and intangible assets as of December 28, 2025 and determined that no events or changes in circumstances were identified that would indicate potential impairment related to the goodwill, tradename, and intangible assets recorded during the fifty-two weeks ended December 28, 2025.</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7"/>
          <w:szCs w:val="17"/>
          <w:color w:val="auto"/>
        </w:rPr>
        <w:t>As of the annual goodwill and tradename impairment assessment date performed on the first day of the fourth quarter, for fiscal year 2024, the Company performed a qualitative assessment of its goodwill and tradename and determined that it is more likely than not that the fair value of its reporting unit exceeds the carrying value of the reporting unit. However, during the fourth quarter of 2024, due to a sustained decline in its stock price coupled with continuing net losses the Company concluded that they were significant enough factors to warrant a quantitative assessment of its goodwill and tradename. For goodwill assessment, the Company utilized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 As a result of the goodwill impairment test conducted in the fourth quarter ended December 29, 2024, the Company concluded that the carrying value of the Company’s single reporting unit exceeded the fair value, and a goodwill impairment charge of $28.4 million was recorded. No goodwill impairment was recorded for the year ended December 31, 2023. The carrying values of goodwill is $7.0 million as of December 28, 2025, and December 29, 2024. For fiscal year 2024, for tradename assessment, the Company utilized the income-based relief-from-royalty method to value the trademark intangible assets. Under this method, revenues expected to be generated by the trademark are multiplied by a selected royalty rate. The royalty rate was selected based on consideration of (i) royalty rates received by market participants in industries similar to the Company’s and (ii) the current operating performance of the reporting unit. The estimated after-tax royalty revenue stream is then discounted to present value using the reporting unit’s WACC plus a spread that factors in the risk of the intangible asset. There were no additions to, disposals of, or impairments of the tradename during 2025, 2024 and 2023. There was no accumulated impairment of the tradename as of December 28, 2025, and December 29, 2024.</w:t>
      </w:r>
    </w:p>
    <w:p>
      <w:pPr>
        <w:spacing w:after="0" w:line="200" w:lineRule="exact"/>
        <w:rPr>
          <w:sz w:val="20"/>
          <w:szCs w:val="20"/>
          <w:color w:val="auto"/>
        </w:rPr>
      </w:pPr>
    </w:p>
    <w:p>
      <w:pPr>
        <w:spacing w:after="0" w:line="20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measurement associated with the quantitative goodwill and tradename tests for fiscal year 2024 is based on significant inputs that are not observable in the market and thus represents a Level 3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 as of:</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20" w:type="dxa"/>
            <w:vAlign w:val="bottom"/>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5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10"/>
        </w:trPr>
        <w:tc>
          <w:tcPr>
            <w:tcW w:w="2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09"/>
        </w:trPr>
        <w:tc>
          <w:tcPr>
            <w:tcW w:w="2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was $3.2 million, $3.4 million, and $2.9 million for 2025,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Intangible assets, net consists of capitalized internal-use software development, which is amortized over a 3-year period.</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gross carrying amount of capitalized software was $17.0 million and $15.1 million as of December 28, 2025 and December 29, 2024, respectively, and accumulated amortization was $14.3 million and $12.3 million, respectively. Intangible asset amortization expense was $1.9 million, $2.1 million and $1.9 million during 2025, 2024 and 2023, respectively.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estimated future amortization expense related to capitalized software is expected to be approximately $1.5 million in fiscal 2026, $0.9 million in fiscal 2027 and $0.3 million in fiscal 2028.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 as of:</w:t>
      </w:r>
    </w:p>
    <w:p>
      <w:pPr>
        <w:spacing w:after="0" w:line="1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9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20" w:type="dxa"/>
            <w:vAlign w:val="bottom"/>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10"/>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November 15, 2021, the Company entered into the Prior Credit Agreement with Bank of America (the “lender”) to provide a revolving facility that provided for borrowings up to $50.0 million with a maturity date of November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interest rates in effect under the Prior Credit Agreement, during the thirteen and thirty-nine weeks ended September 28, 2025 were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June 23, 2025, the Company entered into a Forbearance Agreement (the “Forbearance Agreement”) related to the Prior Credit Agreement with the lenders party thereto and Bank of America, N.A., as administrative agent (the “Administrative Agent”), and Swing Line Lender and an L/C Issuer (the “Lenders”). Pursuant to the terms of the Forbearance Agreement, the Administrative Agent and Lenders agreed that they would forbear, during the Forbearance Period as defined in the Forbearance Agreement), from exercising any and all rights and remedies with respect to or arising out of the events of default that occurred as a result of the Company’s failure to comply with certain Refinancing Transaction Milestones (as defined in the Forbearance Agreement) by the specified dates under Sections 6.19(a), (c) and</w:t>
      </w:r>
    </w:p>
    <w:p>
      <w:pPr>
        <w:spacing w:after="0" w:line="3" w:lineRule="exact"/>
        <w:rPr>
          <w:sz w:val="20"/>
          <w:szCs w:val="20"/>
          <w:color w:val="auto"/>
        </w:rPr>
      </w:pPr>
    </w:p>
    <w:p>
      <w:pPr>
        <w:jc w:val="both"/>
        <w:ind w:left="60" w:right="59" w:hanging="10"/>
        <w:spacing w:after="0" w:line="252" w:lineRule="auto"/>
        <w:tabs>
          <w:tab w:leader="none" w:pos="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Prior Credit Agreement. On August 11, 2025, the Company entered into an amendment to the Forbearance Agreement and the fifth amendment to the Prior Credit Agreement which extended the Forbearance Period and maturity date to August 22, 2025. Under the terms of the Forbearance Agreement, as amended, the Refinancing Transaction Milestones were due on the maturity date. No fees were paid in connection with the forbearance. The agreement was not entered into as a result of financial distress, but rather to provide additional time to finalize and execute the 2025 Credit Agreement.</w:t>
      </w:r>
    </w:p>
    <w:p>
      <w:pPr>
        <w:spacing w:after="0" w:line="19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August 14, 2025, the Borrowers entered into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the Company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 On October 28, 2025, the Company entered into an amendment to the 2025 Credit Agreement, which included some clarifying and non-material changes to certain terms in the 2025 Credit Agreement.</w:t>
      </w:r>
    </w:p>
    <w:p>
      <w:pPr>
        <w:spacing w:after="0" w:line="19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initial funding of the 2025 Credit Agreement occurred on August 14, 2025, and the proceeds were used in part to repay approximately $6.0 million outstanding under the Prior Credit Agreement. In connection with entering into the 2025 Credit Agreement and the repayment in full of all outstanding obligations under the Prior Credit Agreement, the Prior Credit Agreement, along with the related Forbearance Agreement, as amended, were terminated.</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December 28, 2025, the outstanding borrowing under the 2025 Credit Agreement was $14.4 million in addition to a $0.3 million letter of credit outstanding. After giving effect to the excess availability covenant and the outstanding letter of credit, the unused availability was $1.3 million. During 2025, the Company borrowed $115.1 million and repaid $100.7 million under the 2025 Credit Agreement and had a weighted average interest rate of 10.7%.</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Discounts and Issuance Costs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Debt discounts and issuance costs are deferred and amortized over the life of the related loan. The associated expense is included in interest expense in the consolidated statements of operations and comprehensive loss. Debt issuance costs related to the 2025 Credit Agreement are included in prepaids and other current assets in the consolidated balance sheets. As of December 28, 2025 and December 29, 2024, unamortized debt issuance costs recorded within prepaids and other current assets were $0.6 million, related to the 2025 Credit Agreement and $0.1 million, related to the Prior Credit Agreement, respectively.</w:t>
      </w:r>
    </w:p>
    <w:p>
      <w:pPr>
        <w:spacing w:after="0" w:line="197"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consolidated balance sheets.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primarily leases its distribution facilities, corporate offices and retail stores under operating lease agreements expiring on various dates through 2030, most of which contain options to extend. In addition to payment of base rent, the Company is also required to pay property taxes, insurance, and common area maintenance expenses. The Company records lease expense on a straight-line basis over the term of the lease. In early 2025, the Company consolidated two of its distribution facilities by moving operations from its former distribution facility in Chico, California to its existing distribution facility in Ontario, California. During the fifty-two weeks ended December 28, 2025, the Company modified the terms and discount rate of four of its operating leases. As a result of the modification, the Company derecognized the related right-of-use asset and lease liability of $3.5 million and $3.6 million, respectively. The modification resulted in the recognition of a gain of $0.1 million. During the fifty-two weeks ended December 28, 2025, the Company terminated the lease agreement for one of its leases located in Chico, California. As a result of the termination, the Company derecognized the remaining lease liability of $0.4 million, resulting in a gain of $0.2 million. Termination penalties of $0.2 million, net of deposits, were included in accrued expenses and other current liabilities and subsequently paid before the period ended December 28,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 also leases equipment under finance lease agreements expiring on various dates through April 2029.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the future minimum lease payments for the Company’s operating and finance leases for each of the next five fiscal years, and thereafter,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09"/>
        </w:trPr>
        <w:tc>
          <w:tcPr>
            <w:tcW w:w="3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(5,647)</w:t>
            </w: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(755)</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r>
      <w:tr>
        <w:trPr>
          <w:trHeight w:val="21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0"/>
        </w:trPr>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supplemental disclosure of lease costs, components of the statement of cash flows related to operating and finance leases and components of right-of-use assets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cost included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Lease cost included in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p>
      <w:pPr>
        <w:spacing w:after="0" w:line="230"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1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407"/>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r>
      <w:tr>
        <w:trPr>
          <w:trHeight w:val="216"/>
        </w:trPr>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0"/>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94"/>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34"/>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bl>
    <w:p>
      <w:pPr>
        <w:spacing w:after="0" w:line="198"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11 months</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35 months</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4.40%</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6.13%</w:t>
      </w:r>
    </w:p>
    <w:p>
      <w:pPr>
        <w:spacing w:after="0" w:line="1068" w:lineRule="exact"/>
        <w:rPr>
          <w:sz w:val="20"/>
          <w:szCs w:val="20"/>
          <w:color w:val="auto"/>
        </w:rPr>
      </w:pPr>
    </w:p>
    <w:p>
      <w:pPr>
        <w:sectPr>
          <w:pgSz w:w="11900" w:h="16838" w:orient="portrait"/>
          <w:cols w:equalWidth="0" w:num="2">
            <w:col w:w="6320" w:space="720"/>
            <w:col w:w="1979"/>
          </w:cols>
          <w:pgMar w:left="1440" w:top="513" w:right="1440" w:bottom="1440" w:gutter="0" w:footer="0" w:header="0"/>
          <w:type w:val="continuous"/>
        </w:sectPr>
      </w:pPr>
    </w:p>
    <w:p>
      <w:pPr>
        <w:spacing w:after="0" w:line="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consolidated financial statements indicates it is probable a loss has been incurred as of the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However, an immaterial reserve was recorded for contingencies.</w:t>
      </w:r>
    </w:p>
    <w:p>
      <w:pPr>
        <w:spacing w:after="0" w:line="183"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consolidated financial statements. As of December 28, 2025, the Company was not aware of any currently pending legal matters or claims, individually or in the aggregate, that are expected to have a material adverse impact on its consolidated financial statements.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spacing w:after="0" w:line="172" w:lineRule="exact"/>
        <w:rPr>
          <w:sz w:val="20"/>
          <w:szCs w:val="20"/>
          <w:color w:val="auto"/>
        </w:rPr>
      </w:pPr>
    </w:p>
    <w:p>
      <w:pPr>
        <w:ind w:left="60" w:right="6699" w:hanging="10"/>
        <w:spacing w:after="0" w:line="503" w:lineRule="auto"/>
        <w:tabs>
          <w:tab w:leader="none" w:pos="70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has authorized the issuance of 250,000,000 shares of common stock, $0.001 par value ("common stock") as of December 28, 2025.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December 28, 2025, the Company has reserved 10,760 shares of</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 xml:space="preserve">common stock for issuance upon the exercise of stock options, and 244,449 shares of common stock available for future issuance under the Omnibus Equity Plan, and 74,764 shares of common stock available for future issuance under the 2021 Employee Stock Purchase Plan (the “ESPP”), as adjusted on a retroactive basis for the Reverse Stock Split. Refer to "Reverse Stock Split" within this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additional details. Both equity plans are further described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December 28, 2025, no shares of preferred stock were issued and outstanding.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closing of the IPO, the Company adopted the Omnibus Equity Plan and the ESPP.</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Company’s Omnibus Equity Plan, incentive awards may be granted to employees, directors, and consultants of the Company. The Company initially reserved 247,933 shares of common stock, for future issuance under the Omnibus Equity Plan, including any shares subject to awards under the 2021 Equity Incentive Plan (the “2021 Equity Plan”)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are forfeited or lapse unexercised. The number of shares reserved for issuance under the Omnibus Equity Plan automatically increases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The Company has registered shares issuable under the Omnibus Equity Plan pursuant to various Registration Statements on Form S-8.</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the ESPP, the Company initially reserved 49,587 shares of common stock, for future issuance. The number of shares of common stock reserved for issuance automatically increases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The Company has registered shares issuable under the ESPP pursuant to various Registration Statements on Form S-8.</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28, 2025, the Company had 244,449 and 74,764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equity-based compensation expense related to shares issued pursuant to the ESPP on a graded vesting approach over each offering period. During 2025, equity-based compensation expense related to the ESPP was immaterial. During 2025 and 2024, the Company issued 12,609 shares and 7,315 shares, respectively, pursuant to the ESPP six-month purchase periods.</w:t>
      </w:r>
    </w:p>
    <w:p>
      <w:pPr>
        <w:spacing w:after="0" w:line="18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During 2025, the Company utilized the following assumptions: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to 1.00</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102.85 to 117.46 %</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to 4.06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ESPP awards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 to 2.01</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58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90</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5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Equity-based compensation expense is included in general and administrative expenses in the consolidated statements of operations and comprehensive 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Stock Repurchase Program</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May 3, 2024, the Company's Board of Directors authorized the 2024 Repurchase Program. The actual timing, number, and value of shares repurchased in the future will be determined by the Company in its discretion and will continue to depend on a number of factors, including market conditions, applicable legal requirements, our capital needs, and whether there is a better alternative use of capital.</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table below summarizes the share repurchase activity for the fifty-two weeks ended December 28, 2025 under our 2024 Repurchase Program. As of December 28, 2025, $1.1 million remained available under the 2024 Repurchase Program authorization.</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60" w:type="dxa"/>
            <w:vAlign w:val="bottom"/>
          </w:tcPr>
          <w:p>
            <w:pPr>
              <w:spacing w:after="0"/>
              <w:rPr>
                <w:sz w:val="14"/>
                <w:szCs w:val="14"/>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6"/>
        </w:trPr>
        <w:tc>
          <w:tcPr>
            <w:tcW w:w="336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1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Paid Per Share</w:t>
            </w:r>
          </w:p>
        </w:tc>
        <w:tc>
          <w:tcPr>
            <w:tcW w:w="260" w:type="dxa"/>
            <w:vAlign w:val="bottom"/>
          </w:tcPr>
          <w:p>
            <w:pPr>
              <w:spacing w:after="0"/>
              <w:rPr>
                <w:sz w:val="15"/>
                <w:szCs w:val="15"/>
                <w:color w:val="auto"/>
              </w:rPr>
            </w:pPr>
          </w:p>
        </w:tc>
        <w:tc>
          <w:tcPr>
            <w:tcW w:w="1220" w:type="dxa"/>
            <w:vAlign w:val="bottom"/>
          </w:tcPr>
          <w:p>
            <w:pPr>
              <w:jc w:val="center"/>
              <w:ind w:right="184"/>
              <w:spacing w:after="0" w:line="176" w:lineRule="exact"/>
              <w:rPr>
                <w:sz w:val="20"/>
                <w:szCs w:val="20"/>
                <w:color w:val="auto"/>
              </w:rPr>
            </w:pPr>
            <w:r>
              <w:rPr>
                <w:rFonts w:ascii="Times New Roman" w:cs="Times New Roman" w:eastAsia="Times New Roman" w:hAnsi="Times New Roman"/>
                <w:sz w:val="14"/>
                <w:szCs w:val="14"/>
                <w:b w:val="1"/>
                <w:bCs w:val="1"/>
                <w:color w:val="auto"/>
                <w:w w:val="95"/>
              </w:rPr>
              <w:t xml:space="preserve">Price </w:t>
            </w:r>
            <w:r>
              <w:rPr>
                <w:rFonts w:ascii="Times New Roman" w:cs="Times New Roman" w:eastAsia="Times New Roman" w:hAnsi="Times New Roman"/>
                <w:sz w:val="20"/>
                <w:szCs w:val="20"/>
                <w:b w:val="1"/>
                <w:bCs w:val="1"/>
                <w:color w:val="auto"/>
                <w:w w:val="95"/>
                <w:vertAlign w:val="superscript"/>
              </w:rPr>
              <w:t>(2)</w:t>
            </w: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2024 Repurchase Program</w:t>
            </w: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Fifty-two weeks ended December 28, 2025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123,934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886,264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1,117,998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7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were purchased in open market transactions pursuant to 10b5-1 purchase plans entered into by the Company.</w:t>
      </w: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broker commissions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June 11, 2025, the Company’s Board of Directors approved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one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presented herein have been retroactively adjusted to reflect this Reverse Stock Split, as applicable. The Reverse Stock Split was effective for purposes of trading on the Nasdaq Capital Market as of the opening of business on July 7,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April 2021, the Company’s Board of Directors adopted the 2021 Equity Plan. The 2021 Equity Plan provided for the issuance of incentive stock options, restricted stock, RSUs and other equity-based and cash-based awards to the Company’s employees, directors, and consultants. The maximum aggregate number of shares reserved for issuance under the 2021 Equity Plan was 61,667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Former CEO Stock Options and Special Compensation Awards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April 2021, the Company entered into an Employment Agreement (the “McCreight IPO Employment Agreement”) with the former CEO, David McCreight, and granted stock options under the 2021 Equity Plan to purchase 21,520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of common stock with an exercise price of $170.25 per share, which vest based on service and performance conditions. 18,342 of these stock options have only service vesting conditions, and 3,177 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2023 8-K”), Mr. McCreight voluntarily forfeited 10,760 unvested stock options of the Company. During the thirteen weeks ended April 2, 2023, the forfeiture of 10,760 unvested stock options resulted in immediate acceleration of the remaining $1.2 million of compensation expense which was recorded to general and administrative expense. As previously disclosed in the February 2023 8-K, the Company and David McCreight also entered into the First Amendment to Lulu’s Fashion Lounge Holdings, Inc. 2021 Equity Incentive Plan Stock Option Agreement that extended the post-termination exercise period of 10,760 vested stock options from 90 days to three (3) years from a termination of service other than for cause, death or disability.</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McCreight IPO Employment Agreement, Mr. McCreight received two bonuses in the form of 13,928 fully-vested shares of the Company’s common stock. The Company recognized the final $0.4 million of equity-based compensation expense related to this award in the thirteen weeks ended April 2,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in 2025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gridSpan w:val="2"/>
            <w:vMerge w:val="continue"/>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 Remaining</w:t>
            </w:r>
          </w:p>
        </w:tc>
        <w:tc>
          <w:tcPr>
            <w:tcW w:w="3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28, 2025</w:t>
            </w: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28, 2025</w:t>
            </w: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28, 2025</w:t>
            </w:r>
          </w:p>
        </w:tc>
        <w:tc>
          <w:tcPr>
            <w:tcW w:w="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10,760</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170.25</w:t>
            </w: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5.29</w:t>
            </w:r>
          </w:p>
        </w:tc>
        <w:tc>
          <w:tcPr>
            <w:tcW w:w="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2025 and 2024. The Company had no equity-based compensation expense or unrecognized compensation cost related to stock options during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RSUs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unit holders of the LP received shares of the Company’s common stock in exchange for their units of the LP. The Class P unit holders received approximately 130,940 shares of common stock, comprised of approximately 102,420 shares of vested common stock and approximately 28,520 shares of unvested restricted stock. Any such shares of restricted stock received in respect of unvested Class P units of the LP were subject to vesting and a risk of forfeiture to the same extent as the corresponding Class P units. The Company recognized the final $0.3 million of equity-based compensation expense related to exchanged restricted stock during 2024. As of December 29, 2024, the exchanged restricted stock was settled in fully-vested shares of the Company. The fair value of restricted stock vested during 2024 was $0.04 million.</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March 20, 2025, Mark Vos, the Company’s President and Chief Information Officer, and Ms. Holt, the Company’s Former Chief Merchandising Officer, received grants of 24,000 RSUs and 3,333 RSUs, respectively, pursuant to their respective employment agreements and RSU Award Agreements, which vest (or were scheduled to vest) in equal, quarterly installments on the last day of each calendar quarter, starting on March 31, 2025, subject to continued service requirements. On March 20, 2025, the Company granted a total of 3,649 RSUs, to certain employees, which vest in</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equal installments over a three-year service period. On November 6, 2025, the Board approved a plan to streamline the Company’s merchandising and buying function, including a reduction in force of those teams, to better align with the Company’s strategic and financial needs. In conjunction with this reduction in force, Ms. Holt, who held the role of Chief Merchandising Officer, elected to resign from the Company, effective November 7, 2025. Subject to the execution of a release of claims by Ms. Holt, the Company treated her departure as a resignation for good reason and is paying Ms. Holt severance benefits equivalent to those set forth in Section 3.4 of the CMO Employment Agreement entered into on December 21, 2023, which was filed as Exhibit 10.37 to the Company’s Annual Report on Form 10-K filed on March 6, 2024. Pursuant to the terms of the CMO Employment Agreement and the Lulu's Fashion Lounge Holdings, Inc. Omnibus Equity Plan (the “the Omnibus Equity Plan”), 100% of Ms. Holt’s unvested RSUs were forfeited on the effective date of her resignation.</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April 28, 2025, the Compensation Committee of the Company approved an amendment to the Company's Non-Employee Director Compensation Program to (i) eliminate the additional annual RSU award for the Non-Employee Board Chair and increase the applicable cash retainer to $75,000 for the Non-Employee Board Chair, (ii) provide that each award of RSUs under the Omnibus Equity Plan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 Compensation Program entirely or for a specific period, and (v) permit for cash to be paid in lieu of any RSU grant or portion of any RSU grant under the Non-Employee Director Compensation Program and provide for flexibility relating to the timing of any cash payment or award of RSUs as the Compensation Committee may deem appropriate.</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After evaluating the potential dilutive impact of the non-employee director RSU awards pursuant to the Company’s Amended Non-Employee Director Compensation Program, on May 1, 2025, the Board approved a one-time, cash payment of $50,000 to each eligible non-employee director in lieu of his or her $100,000 fiscal year 2025 annual RSU award. This cash payment will be payable on the date of the 2026 annual meeting of stockholders, subject to each non-employee director’s continued service on the Board through such payment date. On May 30, 2025, Tiffany R. Smith notified us of her decision to resign as Chief Financial Officer, effective June 30, 2025. Ms. Smith’s unvested RSUs were forfeited on the effective date of her resignation.</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$3.9 million and $6.3 million during the years ended 2025 and 2024, respectively, related to the RSUs. As of December 28, 2025, the unrecognized equity-based compensation expense is $2.4 million and will be recognized over a weighted-average period of 1.01 years.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roll forward of unvested RSUs in 2025:</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23"/>
        </w:trPr>
        <w:tc>
          <w:tcPr>
            <w:tcW w:w="6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56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38"/>
        </w:trPr>
        <w:tc>
          <w:tcPr>
            <w:tcW w:w="656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vested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(143,214)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forfeited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(27,563)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RSUs vested during 2025 was $1.1 million.</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tax benefit of $1.3 million, $1.5 million and $1.5 million related to equity-based compensation expense in 2025, 2024 and 2023,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(“PSUs”)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March 20, 2025, Mark Vos received a grant of 20,000 PSUs, which vest on the date when both of the following have occurred: (i) Performance Achievement: the Volume-Weighted-Average Price of the Company’s common stock over trailing 10 trading days equals or exceeds $150.00, as adjusted for the Reverse Stock Split, on a date when Mr. Vos remains employed by the Company or within 90 days following termination of Mr. Vos' employment; and (ii) Service Achievement: Mr. Vos remains employed with the Company through December 31, 2025. On March 20, 2025, Ms. Holt received a grant of 3,333 PSUs, which would have vested on the date when both of the following occurred, provided that Ms. Holt had remained employed with the Company through such date: (i) the Company filed a Form 10-Q or Form 10-K with the SEC indicating that the Company had trailing twelve months’ net revenue that was at least $150 million more than the Company’s net revenue in the fiscal year ended December 31, 2023 and (ii) the second anniversary of Ms. Holt's start date had occurred. As discussed above, in conjunction with the reduction in force of the Company's merchandising and buying function teams, Ms. Holt elected to resign from the Company, effective November 7, 2025. 100% of Ms. Holt’s unvested PSUs were forfeited on the effective date of her resignation.</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$0.6 million and $2.0 million during 2025 and 2024, respectively, related to the PSUs. As of December 28, 2025, the unrecognized equity-based compensation expense is $0.1 million for the financial milestones that were considered probable of achievement, which will be recognized over a weighted-average period of 1.05 years.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 forward of unvested PSUs during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3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PSUs granted</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PSUs vested</w:t>
            </w:r>
          </w:p>
        </w:tc>
        <w:tc>
          <w:tcPr>
            <w:tcW w:w="3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PSUs forfeited</w:t>
            </w:r>
          </w:p>
        </w:tc>
        <w:tc>
          <w:tcPr>
            <w:tcW w:w="4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32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2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3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loss before income taxes is from the U.S. The following table presents the components of the income tax benefit (provision)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0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benefit (provision)</w:t>
            </w:r>
          </w:p>
        </w:tc>
        <w:tc>
          <w:tcPr>
            <w:tcW w:w="1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benefit (provision)</w:t>
            </w:r>
          </w:p>
        </w:tc>
        <w:tc>
          <w:tcPr>
            <w:tcW w:w="1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U.S. state and local taxes refunded (in thousands):</w:t>
            </w: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160" w:type="dxa"/>
            <w:vAlign w:val="bottom"/>
          </w:tcPr>
          <w:p>
            <w:pPr>
              <w:spacing w:after="0"/>
              <w:rPr>
                <w:sz w:val="24"/>
                <w:szCs w:val="24"/>
                <w:color w:val="auto"/>
              </w:rPr>
            </w:pPr>
          </w:p>
        </w:tc>
        <w:tc>
          <w:tcPr>
            <w:tcW w:w="4800" w:type="dxa"/>
            <w:vAlign w:val="bottom"/>
            <w:gridSpan w:val="12"/>
          </w:tcPr>
          <w:p>
            <w:pPr>
              <w:ind w:left="17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4"/>
                <w:szCs w:val="14"/>
                <w:b w:val="1"/>
                <w:bCs w:val="1"/>
                <w:color w:val="auto"/>
              </w:rPr>
              <w:t>For the Fiscal Year Ended December 28, 2025</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gridSpan w:val="2"/>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refund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states refund (net)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60" w:type="dxa"/>
            <w:vAlign w:val="bottom"/>
          </w:tcPr>
          <w:p>
            <w:pPr>
              <w:spacing w:after="0"/>
              <w:rPr>
                <w:sz w:val="24"/>
                <w:szCs w:val="24"/>
                <w:color w:val="auto"/>
              </w:rPr>
            </w:pPr>
          </w:p>
        </w:tc>
        <w:tc>
          <w:tcPr>
            <w:tcW w:w="1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table below is a reconciliation of the components that caused the Company's benefit (provision) for income taxes to differ from amounts computed by applying the U.S. federal statutory rate of 21% for the year ended December 28, 2025 (in thousands except for percentages):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5860" w:type="dxa"/>
            <w:vAlign w:val="bottom"/>
          </w:tcPr>
          <w:p>
            <w:pPr>
              <w:spacing w:after="0"/>
              <w:rPr>
                <w:sz w:val="21"/>
                <w:szCs w:val="21"/>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2025</w:t>
            </w:r>
          </w:p>
        </w:tc>
      </w:tr>
      <w:tr>
        <w:trPr>
          <w:trHeight w:val="20"/>
        </w:trPr>
        <w:tc>
          <w:tcPr>
            <w:tcW w:w="5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09"/>
        </w:trPr>
        <w:tc>
          <w:tcPr>
            <w:tcW w:w="5860" w:type="dxa"/>
            <w:vAlign w:val="bottom"/>
          </w:tcPr>
          <w:p>
            <w:pPr>
              <w:spacing w:after="0"/>
              <w:rPr>
                <w:sz w:val="18"/>
                <w:szCs w:val="18"/>
                <w:color w:val="auto"/>
              </w:rPr>
            </w:pPr>
          </w:p>
        </w:tc>
        <w:tc>
          <w:tcPr>
            <w:tcW w:w="200" w:type="dxa"/>
            <w:vAlign w:val="bottom"/>
            <w:gridSpan w:val="3"/>
          </w:tcPr>
          <w:p>
            <w:pPr>
              <w:jc w:val="right"/>
              <w:ind w:right="80"/>
              <w:spacing w:after="0" w:line="209" w:lineRule="exact"/>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(2,840,267)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state and local income taxes, net of federal effect (1)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98"/>
        </w:trPr>
        <w:tc>
          <w:tcPr>
            <w:tcW w:w="5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Excess tax expense on executive compensation limitation [Sec 162(m) officers'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expense on equity-based compensation expense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Meals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prior years unrecognized tax benefit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(37,396)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provision (benefit) and effective income tax rate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Oregon, and Texas made up the majority (greater than 50%) of the tax effect in this category.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for the years ended December 29, 2024, and December 31, 2023, prior to the adoption of ASU 2023-09, the table below is a reconciliation of the components that caused the Company's benefit (provision) for income taxes to differ from amounts computed by applying the U.S. federal statutory rate of 21%:</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equity-based compensation expense</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(a) temporary differences between the carrying amounts of assets and liabilities for financial reporting purposes and the amount used for income tax purposes, and (b) operating losses and tax credit carryforwards.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components of the Company’s deferred tax assets and liabilities (in thousands) as of:</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6"/>
                <w:szCs w:val="16"/>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99"/>
        </w:trPr>
        <w:tc>
          <w:tcPr>
            <w:tcW w:w="6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and allowances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disallowance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capitalization and other adjustments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R&amp;D capitalization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right-of-use asset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DTLs are included in other noncurrent liabilities on the consolidated balance sheets as of December 28, 2025 and December 29, 2024.</w:t>
      </w:r>
    </w:p>
    <w:p>
      <w:pPr>
        <w:spacing w:after="0" w:line="162" w:lineRule="exact"/>
        <w:rPr>
          <w:sz w:val="20"/>
          <w:szCs w:val="20"/>
          <w:color w:val="auto"/>
        </w:rPr>
      </w:pPr>
    </w:p>
    <w:p>
      <w:pPr>
        <w:jc w:val="both"/>
        <w:ind w:left="60" w:right="59" w:firstLine="369"/>
        <w:spacing w:after="0" w:line="254"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is required to be recorded as an asset to the extent that management assesses the realization is “more likely than not.” Realization of the future tax benefit is dependent on the Company’s ability to generate sufficient taxable income within the carryforward period. A valuation allowance is recognized if, based on the weight of available evidence, it is more-likely-than-not that some portion, or all, of the DTA will not be realized. Management must analyze all available positive and negative evidence regarding realization of the DTAs and assess the likelihood of sufficient future taxable income. The Company has provided a valuation allowance on our federal and state DTAs as we have determined that it is more-likely-than-not that they are not realizable based upon the available evidence such as cumulative taxable income and estimated future taxable income.</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28, 2025, we had approximately $23.9 million in gross DTAs and $8.1 million in gross DTLs, which resulted in a net DTA of $15.8 million. These DTAs include approximately $5.9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not have sufficient taxable income in the future that will allow us to realize the DTAs. Due to the weight of objectively verifiable negative evidence, we established a valuation allowance in the prior year of $14.9 million and increased the allowance to $16.7 million as of December 28, 2025, which reduced the tax benefit recognized in the current year, impacting our results of operations.</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28, 2025, the Company has federal and state net operating loss carryforwards of $22.9 million and $17.6 million, respectively. The federal net operating loss can be carried forward indefinitely and the state net operating loss carryforwards will begin to expire in 2028 if unused. The Company also has state tax credit carryforwards of an immaterial amount. The state tax credits will begin to expire in 2026 if unused. Lastly, the Company currently has $9.4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million of a Federal disallowed interest expense carryforward under Section 163(j) of the Internal Revenue Code, which can be carried forward indefinitely.</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Utilization of our net operating loss carryforwards, interest expense carryforwards, and tax credits may be subject to an annual limitation due to ownership changes that may have occurred or that could occur in the future, as required by Section 382 of the Internal Revenue Code and similar state provisions. These ownership change limitations may limit the amount of net operating loss carryforwards or interest expense carryforwards and tax credits that can be utilized annually to offset future taxable income and tax, respectively.</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28, 2025, December 29, 2024, and December 31, 2023, the Company’s uncertain tax positions and related accrued interest and penalties were not material. The Company’s policy is to recognize interest and penalties related to unrecognized tax benefits in the financial statements as a component of income tax expense.</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federal and state income tax returns are generally not subject to examination by taxing authorities for fiscal years before 2022 and 2021, respectively.</w:t>
      </w:r>
    </w:p>
    <w:p>
      <w:pPr>
        <w:spacing w:after="0" w:line="158" w:lineRule="exact"/>
        <w:rPr>
          <w:sz w:val="20"/>
          <w:szCs w:val="20"/>
          <w:color w:val="auto"/>
        </w:rPr>
      </w:pPr>
    </w:p>
    <w:p>
      <w:pPr>
        <w:ind w:left="700" w:hanging="650"/>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 Relationships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sponsors a participant-directed 401(k) profit sharing plan for employees who have been working at the Company for at least three months and are at least 18 years of age. Participants may make wage-deferred contributions up to the maximum allowed by law. The Company may make discretionary matching contributions annually. The Company made matching contributions of $0.9 million, $1.0 million, and $1.1 million during 2025, 2024 and 2023, respectively.</w:t>
      </w:r>
    </w:p>
    <w:p>
      <w:pPr>
        <w:spacing w:after="0" w:line="176" w:lineRule="exact"/>
        <w:rPr>
          <w:sz w:val="20"/>
          <w:szCs w:val="20"/>
          <w:color w:val="auto"/>
        </w:rPr>
      </w:pPr>
    </w:p>
    <w:p>
      <w:pPr>
        <w:ind w:left="700" w:hanging="650"/>
        <w:spacing w:after="0"/>
        <w:tabs>
          <w:tab w:leader="none" w:pos="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identifies operating segments based on whether the Company’s Chief Executive Officer, who is the Chief Operating Decision Maker (“CODM”), regularly reviews operating results of particular components of the Company’s activities and allocates resources and assesses performance based on those results. The Company has one reportable segment related to the sale of merchandise directly to end customers. Sales to wholesale customers are less than 10% of total revenue and therefore do not require separate disclosure as a reportable segment. All long-lived assets are located in the U.S. and substantially all revenue is attributable to customers based in the U.S. International sales are not significant.</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of the one reportable segment are the same as those described in the summary of significant accounting policies. The measurement of segment assets is reported on the consolidated balance sheet as total consolidated assets. All assets, liabilities, cash flows, revenue and expenses are reported in the Company’s one reportable segment. When evaluating the Company’s financial performance and making strategic decisions, the CODM focuses their review of expenses incurred by the nature of those expenses.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32"/>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20"/>
                <w:szCs w:val="20"/>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1"/>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7"/>
                <w:szCs w:val="17"/>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09"/>
        </w:trPr>
        <w:tc>
          <w:tcPr>
            <w:tcW w:w="5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282,284</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206,949</w:t>
            </w:r>
          </w:p>
        </w:tc>
      </w:tr>
      <w:tr>
        <w:trPr>
          <w:trHeight w:val="198"/>
        </w:trPr>
        <w:tc>
          <w:tcPr>
            <w:tcW w:w="51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Employee expenses (excluding equity-based compensation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53,791</w:t>
            </w: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w:t>
            </w: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58,481</w:t>
            </w: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 costs (1)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w:t>
            </w: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right="379" w:hanging="319"/>
        <w:spacing w:after="0" w:line="257" w:lineRule="auto"/>
        <w:tabs>
          <w:tab w:leader="none" w:pos="7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categories.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expense related to distribution facilities recorded in cost of revenue.</w:t>
      </w:r>
    </w:p>
    <w:p>
      <w:pPr>
        <w:spacing w:after="0" w:line="202"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Permanent Chief Financial Officer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the Company appointed Heidi Crane as its permanent Chief Financial Officer (“CFO”), effective February 4, 2026 (“CFO Effective Date”). Ms. Crane served as the Company’s fractional CFO beginning in October 2025. Upon the CFO Effective Date, Ms. Crane transitioned to a full-time employee of the Company, as well as its principal financial officer and principal accounting officer.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to U.S. Trade Policy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February 20, 2026, the U.S. Supreme Court issued a ruling striking down certain tariffs previously imposed under IEEPA. The ultimate availability, timing and amount of any potential refunds of such tariffs remain highly uncertain and are subject to further legal, regulatory and administrative developments. Following the Supreme Court’s decision, the Trump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any potential refunds, tariff levels and whether further additional tariffs or other retaliatory actions may be imposed, modified or suspended, and the impact of such actions on the Company's business or its suppliers. The Company continues to monitor and evaluate these developments and assess their potential impact on the Company’s business, suppliers,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13a-15(e) and Rule 15d-15(e) under the Securities Exchange Act of 1934, as amended, as of December 28, 2025. Based on that evaluation, our Chief Executive Officer and Chief Financial Officer concluded that our disclosure controls and procedures were effective as of December 28, 2025, such that the information required to be included in our SEC reports is: (i) recorded, processed, summarized and reported within the time periods specified in SEC rules and forms relating to the Company, including our consolidated subsidiaries; and (ii)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preparation of reliable financial statements in accordance with U.S. GAAP.</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that evaluation under the COSO criteria, management determined that our internal control over financial reporting was effective as of December 28, 2025.</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internal controls over financial reporting by our independent registered accounting firm.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28,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jc w:val="both"/>
        <w:ind w:left="60" w:right="79" w:firstLine="324"/>
        <w:spacing w:after="0" w:line="280" w:lineRule="auto"/>
        <w:rPr>
          <w:sz w:val="20"/>
          <w:szCs w:val="20"/>
          <w:color w:val="auto"/>
        </w:rPr>
      </w:pPr>
      <w:r>
        <w:rPr>
          <w:rFonts w:ascii="Times New Roman" w:cs="Times New Roman" w:eastAsia="Times New Roman" w:hAnsi="Times New Roman"/>
          <w:sz w:val="18"/>
          <w:szCs w:val="18"/>
          <w:color w:val="auto"/>
        </w:rPr>
        <w:t>During the fourth quarter of 2024, no director or officer of the Company adopted or terminated a “Rule 10b5-1 trading arrangement” or a “non-Rule 10b5-1 trading arrangement” (in each case, as defined in Item 408 of Regulation S-K)</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ethics, titled “Code of Business Conduct and Ethics,” that applies to all of our directors, officers and employees, including our principal executive officer, principal financial officer, principal accounting officer and controller, or persons performing similar functions. Our Code of Business Conduct and Ethics is available on our Investor Relations website, which is located at </w:t>
      </w:r>
      <w:r>
        <w:rPr>
          <w:rFonts w:ascii="Times New Roman" w:cs="Times New Roman" w:eastAsia="Times New Roman" w:hAnsi="Times New Roman"/>
          <w:sz w:val="18"/>
          <w:szCs w:val="18"/>
          <w:i w:val="1"/>
          <w:iCs w:val="1"/>
          <w:color w:val="auto"/>
        </w:rPr>
        <w:t>https://investors.lulus.com</w:t>
      </w:r>
      <w:r>
        <w:rPr>
          <w:rFonts w:ascii="Times New Roman" w:cs="Times New Roman" w:eastAsia="Times New Roman" w:hAnsi="Times New Roman"/>
          <w:sz w:val="18"/>
          <w:szCs w:val="18"/>
          <w:color w:val="auto"/>
        </w:rPr>
        <w:t>. We intend to post on our website all disclosures that are required by law or Nasdaq listing standards concerning any amendments to our Code of Business Conduct and Ethics.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also adopted an Insider Trading Compliance Policy, which applies to all of our directors, officers and employees. We believe our Insider Trading Compliance Policy is reasonably designed to promote compliance with insider trading laws, rules, and regulations, and Nasdaq listing standards applicable to the Company. A copy of our Insider Trading Compliance Policy was filed as Exhibit 19 to the Company’s Annual Report on Form 10-K for the fiscal year ended December 29, 2024, which exhibit is incorporated by reference herein.</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Company’s Proxy Statement for its 2026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2026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2026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2026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 is incorporated herein by reference to the Company’s Proxy Statement for its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are filed as part of this Annual Report on Form 10-K under, Part II, “Item 8. Financial Statements and Supplementary Data.”</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omitted because they are either not applicable, or the required information is included in the consolidated financial statements or notes thereto under Part II, “Item 8. Financial Statements and Supplementary Data” in this Annual Report on Form 10-K</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Annual Report on Form 10-K.</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9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gridSpan w:val="4"/>
            <w:vMerge w:val="continue"/>
          </w:tcPr>
          <w:p>
            <w:pPr>
              <w:spacing w:after="0"/>
              <w:rPr>
                <w:sz w:val="5"/>
                <w:szCs w:val="5"/>
                <w:color w:val="auto"/>
              </w:rPr>
            </w:pPr>
          </w:p>
        </w:tc>
        <w:tc>
          <w:tcPr>
            <w:tcW w:w="2640" w:type="dxa"/>
            <w:vAlign w:val="bottom"/>
            <w:gridSpan w:val="25"/>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25"/>
            <w:vMerge w:val="continue"/>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File No.</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Exhibit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68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Amended and Restated Certificate of</w:t>
              </w:r>
            </w:hyperlink>
          </w:p>
        </w:tc>
        <w:tc>
          <w:tcPr>
            <w:tcW w:w="760" w:type="dxa"/>
            <w:vAlign w:val="bottom"/>
            <w:tcBorders>
              <w:top w:val="single" w:sz="8" w:color="auto"/>
            </w:tcBorders>
            <w:gridSpan w:val="17"/>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10-Q</w:t>
            </w:r>
          </w:p>
        </w:tc>
        <w:tc>
          <w:tcPr>
            <w:tcW w:w="14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001-41059</w:t>
            </w:r>
          </w:p>
        </w:tc>
        <w:tc>
          <w:tcPr>
            <w:tcW w:w="140" w:type="dxa"/>
            <w:vAlign w:val="bottom"/>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Incorporation of Lulu’s Fashion Lounge</w:t>
              </w:r>
            </w:hyperlink>
          </w:p>
        </w:tc>
        <w:tc>
          <w:tcPr>
            <w:tcW w:w="54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Holdings, Inc.</w:t>
              </w:r>
            </w:hyperlink>
          </w:p>
        </w:tc>
        <w:tc>
          <w:tcPr>
            <w:tcW w:w="2400" w:type="dxa"/>
            <w:vAlign w:val="bottom"/>
            <w:gridSpan w:val="2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Certificate of Amendment to the Amended and</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06/26/2025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Restated Certificate of Incorporation of the</w:t>
              </w:r>
            </w:hyperlink>
          </w:p>
        </w:tc>
        <w:tc>
          <w:tcPr>
            <w:tcW w:w="32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Registrant, dated as of June 26, 2025.</w:t>
              </w:r>
            </w:hyperlink>
          </w:p>
        </w:tc>
        <w:tc>
          <w:tcPr>
            <w:tcW w:w="700" w:type="dxa"/>
            <w:vAlign w:val="bottom"/>
            <w:gridSpan w:val="14"/>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Amended and Restated Bylaws of Lulu’s</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Fashion Lounge Holdings, Inc.</w:t>
              </w:r>
            </w:hyperlink>
          </w:p>
        </w:tc>
        <w:tc>
          <w:tcPr>
            <w:tcW w:w="48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Common Stock Certificate</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7"/>
              </w:rPr>
              <w:t>11/01/2021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3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Investors’ Rights Agreement, dated as of April</w:t>
              </w:r>
            </w:hyperlink>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12, 2018, among the Lulu’s Fashion Lounge</w:t>
              </w:r>
            </w:hyperlink>
          </w:p>
        </w:tc>
        <w:tc>
          <w:tcPr>
            <w:tcW w:w="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Holdings, Inc., the Investors listed on Schedule</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A thereto, Lulu’s Holdings, L.P. and LFL</w:t>
              </w:r>
            </w:hyperlink>
          </w:p>
        </w:tc>
        <w:tc>
          <w:tcPr>
            <w:tcW w:w="46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Acquisition Corp.</w:t>
              </w:r>
            </w:hyperlink>
          </w:p>
        </w:tc>
        <w:tc>
          <w:tcPr>
            <w:tcW w:w="2140" w:type="dxa"/>
            <w:vAlign w:val="bottom"/>
            <w:gridSpan w:val="2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Description of the Registrant’s Securities</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03/31/2022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9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Omnibus Equity Plan and Form of Stock</w:t>
              </w:r>
            </w:hyperlink>
          </w:p>
        </w:tc>
        <w:tc>
          <w:tcPr>
            <w:tcW w:w="48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03/31/2022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Option Agreement and Restricted Stock Unit</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Agreement</w:t>
              </w:r>
            </w:hyperlink>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2021 Employee Stock Purchase Plan.</w:t>
              </w:r>
            </w:hyperlink>
          </w:p>
        </w:tc>
        <w:tc>
          <w:tcPr>
            <w:tcW w:w="72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7"/>
              </w:rPr>
              <w:t>11/01/2021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Stock Award Agreement (Evidencing</w:t>
              </w:r>
            </w:hyperlink>
          </w:p>
        </w:tc>
        <w:tc>
          <w:tcPr>
            <w:tcW w:w="10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7"/>
              </w:rPr>
              <w:t>11/01/2021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Common Stock Received in Respect of Class P</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Units).</w:t>
              </w:r>
            </w:hyperlink>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2021 Equity Incentive Plan</w:t>
              </w:r>
            </w:hyperlink>
          </w:p>
        </w:tc>
        <w:tc>
          <w:tcPr>
            <w:tcW w:w="1460" w:type="dxa"/>
            <w:vAlign w:val="bottom"/>
            <w:gridSpan w:val="21"/>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3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Stock Option Agreement and Grant Notice</w:t>
              </w:r>
            </w:hyperlink>
          </w:p>
        </w:tc>
        <w:tc>
          <w:tcPr>
            <w:tcW w:w="34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between the Registrant and David W.</w:t>
              </w:r>
            </w:hyperlink>
          </w:p>
        </w:tc>
        <w:tc>
          <w:tcPr>
            <w:tcW w:w="740" w:type="dxa"/>
            <w:vAlign w:val="bottom"/>
            <w:gridSpan w:val="16"/>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McCreight under the 2021 Equity Incentive</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Plan</w:t>
              </w:r>
            </w:hyperlink>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Indemnification Agreement</w:t>
              </w:r>
            </w:hyperlink>
          </w:p>
        </w:tc>
        <w:tc>
          <w:tcPr>
            <w:tcW w:w="800" w:type="dxa"/>
            <w:vAlign w:val="bottom"/>
            <w:gridSpan w:val="18"/>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 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7"/>
              </w:rPr>
              <w:t>11/01/2021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Lease Agreement, dated as of January 7, 2019,</w:t>
              </w:r>
            </w:hyperlink>
          </w:p>
        </w:tc>
        <w:tc>
          <w:tcPr>
            <w:tcW w:w="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333-260194</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7"/>
              </w:rPr>
              <w:t>11/01/2021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between Chrin-Carson Development, LLC and</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the Registrant</w:t>
              </w:r>
            </w:hyperlink>
          </w:p>
        </w:tc>
        <w:tc>
          <w:tcPr>
            <w:tcW w:w="2360" w:type="dxa"/>
            <w:vAlign w:val="bottom"/>
            <w:tcBorders>
              <w:top w:val="single" w:sz="8" w:color="0000EE"/>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gridSpan w:val="4"/>
            <w:vMerge w:val="continue"/>
          </w:tcPr>
          <w:p>
            <w:pPr>
              <w:spacing w:after="0"/>
              <w:rPr>
                <w:sz w:val="5"/>
                <w:szCs w:val="5"/>
                <w:color w:val="auto"/>
              </w:rPr>
            </w:pPr>
          </w:p>
        </w:tc>
        <w:tc>
          <w:tcPr>
            <w:tcW w:w="2800" w:type="dxa"/>
            <w:vAlign w:val="bottom"/>
            <w:gridSpan w:val="25"/>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40" w:type="dxa"/>
            <w:vAlign w:val="bottom"/>
            <w:vMerge w:val="restart"/>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2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File No.</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Exhibit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80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First Amendment to Lease, dated as of</w:t>
              </w:r>
            </w:hyperlink>
          </w:p>
        </w:tc>
        <w:tc>
          <w:tcPr>
            <w:tcW w:w="660" w:type="dxa"/>
            <w:vAlign w:val="bottom"/>
            <w:tcBorders>
              <w:top w:val="single" w:sz="8" w:color="auto"/>
            </w:tcBorders>
            <w:gridSpan w:val="17"/>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S-1/A</w:t>
            </w:r>
          </w:p>
        </w:tc>
        <w:tc>
          <w:tcPr>
            <w:tcW w:w="14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7"/>
              </w:rPr>
              <w:t>11/01/2021</w:t>
            </w: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February 24, 2019, between Chrin-Carson</w:t>
              </w:r>
            </w:hyperlink>
          </w:p>
        </w:tc>
        <w:tc>
          <w:tcPr>
            <w:tcW w:w="42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Development, LLC and the Registrant</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Registration Rights Agreement among the</w:t>
              </w:r>
            </w:hyperlink>
          </w:p>
        </w:tc>
        <w:tc>
          <w:tcPr>
            <w:tcW w:w="42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Registrant and certain of its stockholders, dated</w:t>
              </w:r>
            </w:hyperlink>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November 10, 2021.</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34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Stockholders Agreement among the Registrant,</w:t>
              </w:r>
            </w:hyperlink>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H.I.G. Growth Partners—Lulu’s, L.P., entities</w:t>
              </w:r>
            </w:hyperlink>
          </w:p>
        </w:tc>
        <w:tc>
          <w:tcPr>
            <w:tcW w:w="1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affiliated with IVP and Canada Pension Plan</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Investment Board, dated November 10, 2021.</w:t>
              </w:r>
            </w:hyperlink>
          </w:p>
        </w:tc>
        <w:tc>
          <w:tcPr>
            <w:tcW w:w="2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33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Employment Agreement by and among Lulu’s</w:t>
              </w:r>
            </w:hyperlink>
          </w:p>
        </w:tc>
        <w:tc>
          <w:tcPr>
            <w:tcW w:w="1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Fashion Lounge, LLC, Lulu’s Fashion Lounge</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Holdings, Inc., and Mark Vos, dated May 12,</w:t>
              </w:r>
            </w:hyperlink>
          </w:p>
        </w:tc>
        <w:tc>
          <w:tcPr>
            <w:tcW w:w="1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38">
              <w:r>
                <w:rPr>
                  <w:rFonts w:ascii="Times New Roman" w:cs="Times New Roman" w:eastAsia="Times New Roman" w:hAnsi="Times New Roman"/>
                  <w:sz w:val="18"/>
                  <w:szCs w:val="18"/>
                  <w:color w:val="0000EE"/>
                  <w:w w:val="94"/>
                </w:rPr>
                <w:t>2022</w:t>
              </w:r>
            </w:hyperlink>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Master Fulfillment System Acquisition &amp;</w:t>
              </w:r>
            </w:hyperlink>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Software License Agreement, dated as of</w:t>
              </w:r>
            </w:hyperlink>
          </w:p>
        </w:tc>
        <w:tc>
          <w:tcPr>
            <w:tcW w:w="20" w:type="dxa"/>
            <w:vAlign w:val="bottom"/>
            <w:tcBorders>
              <w:top w:val="single" w:sz="8" w:color="0000EE"/>
            </w:tcBorders>
          </w:tcPr>
          <w:p>
            <w:pPr>
              <w:spacing w:after="0"/>
              <w:rPr>
                <w:sz w:val="17"/>
                <w:szCs w:val="17"/>
                <w:color w:val="auto"/>
              </w:rPr>
            </w:pPr>
          </w:p>
        </w:tc>
        <w:tc>
          <w:tcPr>
            <w:tcW w:w="50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September 24, 2021, between 6 River Systems,</w:t>
              </w:r>
            </w:hyperlink>
          </w:p>
        </w:tc>
        <w:tc>
          <w:tcPr>
            <w:tcW w:w="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LLC and Lulu’s Fashion Lounge, LLC</w:t>
              </w:r>
            </w:hyperlink>
          </w:p>
        </w:tc>
        <w:tc>
          <w:tcPr>
            <w:tcW w:w="70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Commercial Lease Agreement, dated as of</w:t>
              </w:r>
            </w:hyperlink>
          </w:p>
        </w:tc>
        <w:tc>
          <w:tcPr>
            <w:tcW w:w="42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September 3, 2021, between Adaya Slover</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Holdings, LLC, and Lulu’s Fashion Lounge,</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LLC</w:t>
              </w:r>
            </w:hyperlink>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First Amendment to Lulu's Fashion Lounge</w:t>
              </w:r>
            </w:hyperlink>
          </w:p>
        </w:tc>
        <w:tc>
          <w:tcPr>
            <w:tcW w:w="34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8"/>
              </w:rPr>
              <w:t>2/14/2023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Holdings, Inc. 2021 Equity Incentive Plan</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Stock Option Agreement, dated as of February</w:t>
              </w:r>
            </w:hyperlink>
          </w:p>
        </w:tc>
        <w:tc>
          <w:tcPr>
            <w:tcW w:w="1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13, 2023, between Lulu's Fashion Lounge</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Holdings, Inc. and David W. McCreight</w:t>
              </w:r>
            </w:hyperlink>
          </w:p>
        </w:tc>
        <w:tc>
          <w:tcPr>
            <w:tcW w:w="140" w:type="dxa"/>
            <w:vAlign w:val="bottom"/>
            <w:tcBorders>
              <w:top w:val="single" w:sz="8" w:color="0000EE"/>
            </w:tcBorders>
            <w:gridSpan w:val="3"/>
          </w:tcPr>
          <w:p>
            <w:pPr>
              <w:spacing w:after="0"/>
              <w:rPr>
                <w:sz w:val="17"/>
                <w:szCs w:val="17"/>
                <w:color w:val="auto"/>
              </w:rPr>
            </w:pPr>
          </w:p>
        </w:tc>
        <w:tc>
          <w:tcPr>
            <w:tcW w:w="46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Employment Agreement, dated as of March 5,</w:t>
              </w:r>
            </w:hyperlink>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03/06/2023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2023, among Lulu's Fashion Lounge Holdings,</w:t>
              </w:r>
            </w:hyperlink>
          </w:p>
        </w:tc>
        <w:tc>
          <w:tcPr>
            <w:tcW w:w="1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 Lulu's Fashion Lounge, LLC and Crystal</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42">
              <w:r>
                <w:rPr>
                  <w:rFonts w:ascii="Times New Roman" w:cs="Times New Roman" w:eastAsia="Times New Roman" w:hAnsi="Times New Roman"/>
                  <w:sz w:val="18"/>
                  <w:szCs w:val="18"/>
                  <w:color w:val="0000EE"/>
                  <w:w w:val="96"/>
                </w:rPr>
                <w:t>Landsem</w:t>
              </w:r>
            </w:hyperlink>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Amendment to Employment Agreement, dated</w:t>
              </w:r>
            </w:hyperlink>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03/06/2023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as of March 5, 2023, among Lulu's Fashion</w:t>
              </w:r>
            </w:hyperlink>
          </w:p>
        </w:tc>
        <w:tc>
          <w:tcPr>
            <w:tcW w:w="240" w:type="dxa"/>
            <w:vAlign w:val="bottom"/>
            <w:tcBorders>
              <w:top w:val="single" w:sz="8" w:color="0000EE"/>
            </w:tcBorders>
            <w:gridSpan w:val="7"/>
          </w:tcPr>
          <w:p>
            <w:pPr>
              <w:spacing w:after="0"/>
              <w:rPr>
                <w:sz w:val="17"/>
                <w:szCs w:val="17"/>
                <w:color w:val="auto"/>
              </w:rPr>
            </w:pPr>
          </w:p>
        </w:tc>
        <w:tc>
          <w:tcPr>
            <w:tcW w:w="1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Lounge Holdings, Inc, Lulu's Fashion Lounge,</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43">
              <w:r>
                <w:rPr>
                  <w:rFonts w:ascii="Times New Roman" w:cs="Times New Roman" w:eastAsia="Times New Roman" w:hAnsi="Times New Roman"/>
                  <w:sz w:val="18"/>
                  <w:szCs w:val="18"/>
                  <w:color w:val="0000EE"/>
                  <w:w w:val="97"/>
                </w:rPr>
                <w:t>LLC and Mark Vos</w:t>
              </w:r>
            </w:hyperlink>
          </w:p>
        </w:tc>
        <w:tc>
          <w:tcPr>
            <w:tcW w:w="1960" w:type="dxa"/>
            <w:vAlign w:val="bottom"/>
            <w:tcBorders>
              <w:top w:val="single" w:sz="8" w:color="0000EE"/>
            </w:tcBorders>
            <w:gridSpan w:val="19"/>
          </w:tcPr>
          <w:p>
            <w:pPr>
              <w:spacing w:after="0"/>
              <w:rPr>
                <w:sz w:val="17"/>
                <w:szCs w:val="17"/>
                <w:color w:val="auto"/>
              </w:rPr>
            </w:pPr>
          </w:p>
        </w:tc>
        <w:tc>
          <w:tcPr>
            <w:tcW w:w="1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Amended 2021 Employee Stock Purchase Plan</w:t>
              </w:r>
            </w:hyperlink>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7"/>
                <w:szCs w:val="17"/>
                <w:color w:val="auto"/>
              </w:rPr>
            </w:pPr>
          </w:p>
        </w:tc>
        <w:tc>
          <w:tcPr>
            <w:tcW w:w="3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Commercial Lease Agreement, dated as of June</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5"/>
              <w:spacing w:after="0"/>
              <w:rPr>
                <w:sz w:val="20"/>
                <w:szCs w:val="20"/>
                <w:color w:val="auto"/>
              </w:rPr>
            </w:pPr>
            <w:r>
              <w:rPr>
                <w:rFonts w:ascii="Times New Roman" w:cs="Times New Roman" w:eastAsia="Times New Roman" w:hAnsi="Times New Roman"/>
                <w:sz w:val="16"/>
                <w:szCs w:val="16"/>
                <w:color w:val="auto"/>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08/08/2023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29, 2023, between 8303-8315 Melrose Ave,</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LLC, Melrose Investment Group LLC and</w:t>
              </w:r>
            </w:hyperlink>
          </w:p>
        </w:tc>
        <w:tc>
          <w:tcPr>
            <w:tcW w:w="34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Lulu’s Fashion Lounge, LLC</w:t>
              </w:r>
            </w:hyperlink>
          </w:p>
        </w:tc>
        <w:tc>
          <w:tcPr>
            <w:tcW w:w="42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7"/>
                <w:szCs w:val="17"/>
                <w:color w:val="auto"/>
              </w:rPr>
            </w:pPr>
          </w:p>
        </w:tc>
        <w:tc>
          <w:tcPr>
            <w:tcW w:w="2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Amendment to Lulu's Fashion Lounge</w:t>
              </w:r>
            </w:hyperlink>
          </w:p>
        </w:tc>
        <w:tc>
          <w:tcPr>
            <w:tcW w:w="720" w:type="dxa"/>
            <w:vAlign w:val="bottom"/>
            <w:gridSpan w:val="19"/>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5"/>
              <w:spacing w:after="0"/>
              <w:rPr>
                <w:sz w:val="20"/>
                <w:szCs w:val="20"/>
                <w:color w:val="auto"/>
              </w:rPr>
            </w:pPr>
            <w:r>
              <w:rPr>
                <w:rFonts w:ascii="Times New Roman" w:cs="Times New Roman" w:eastAsia="Times New Roman" w:hAnsi="Times New Roman"/>
                <w:sz w:val="16"/>
                <w:szCs w:val="16"/>
                <w:color w:val="auto"/>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06/14/2023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Holdings, Inc. Omnibus Equity Plan</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7"/>
                <w:szCs w:val="17"/>
                <w:color w:val="auto"/>
              </w:rPr>
            </w:pPr>
          </w:p>
        </w:tc>
        <w:tc>
          <w:tcPr>
            <w:tcW w:w="2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Second Amendment to Employment</w:t>
              </w:r>
            </w:hyperlink>
          </w:p>
        </w:tc>
        <w:tc>
          <w:tcPr>
            <w:tcW w:w="86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5"/>
              <w:spacing w:after="0"/>
              <w:rPr>
                <w:sz w:val="20"/>
                <w:szCs w:val="20"/>
                <w:color w:val="auto"/>
              </w:rPr>
            </w:pPr>
            <w:r>
              <w:rPr>
                <w:rFonts w:ascii="Times New Roman" w:cs="Times New Roman" w:eastAsia="Times New Roman" w:hAnsi="Times New Roman"/>
                <w:sz w:val="16"/>
                <w:szCs w:val="16"/>
                <w:color w:val="auto"/>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w w:val="99"/>
              </w:rPr>
              <w:t>01/10/2024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Agreement, dated as of January 9, 2024, among</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Lulu's Fashion Lounge Holdings, Inc., Lulu's</w:t>
              </w:r>
            </w:hyperlink>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Fashion Lounge, LLC and Mark Vos.</w:t>
              </w:r>
            </w:hyperlink>
          </w:p>
        </w:tc>
        <w:tc>
          <w:tcPr>
            <w:tcW w:w="500" w:type="dxa"/>
            <w:vAlign w:val="bottom"/>
            <w:tcBorders>
              <w:top w:val="single" w:sz="8" w:color="0000EE"/>
            </w:tcBorders>
            <w:gridSpan w:val="11"/>
          </w:tcPr>
          <w:p>
            <w:pPr>
              <w:spacing w:after="0"/>
              <w:rPr>
                <w:sz w:val="17"/>
                <w:szCs w:val="17"/>
                <w:color w:val="auto"/>
              </w:rPr>
            </w:pPr>
          </w:p>
        </w:tc>
        <w:tc>
          <w:tcPr>
            <w:tcW w:w="24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28"/>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gridSpan w:val="5"/>
            <w:vMerge w:val="continue"/>
          </w:tcPr>
          <w:p>
            <w:pPr>
              <w:spacing w:after="0"/>
              <w:rPr>
                <w:sz w:val="5"/>
                <w:szCs w:val="5"/>
                <w:color w:val="auto"/>
              </w:rPr>
            </w:pPr>
          </w:p>
        </w:tc>
        <w:tc>
          <w:tcPr>
            <w:tcW w:w="2580" w:type="dxa"/>
            <w:vAlign w:val="bottom"/>
            <w:gridSpan w:val="29"/>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29"/>
            <w:vMerge w:val="continue"/>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File No.</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Exhibit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3360" w:type="dxa"/>
            <w:vAlign w:val="bottom"/>
            <w:tcBorders>
              <w:top w:val="single" w:sz="8" w:color="auto"/>
              <w:bottom w:val="single" w:sz="8" w:color="0000EE"/>
            </w:tcBorders>
            <w:gridSpan w:val="30"/>
          </w:tcPr>
          <w:p>
            <w:pPr>
              <w:spacing w:after="0"/>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Form of Performance Stock Unit Award Grant</w:t>
              </w:r>
            </w:hyperlink>
          </w:p>
        </w:tc>
        <w:tc>
          <w:tcPr>
            <w:tcW w:w="80" w:type="dxa"/>
            <w:vAlign w:val="bottom"/>
            <w:tcBorders>
              <w:top w:val="single" w:sz="8" w:color="auto"/>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8-K</w:t>
            </w:r>
          </w:p>
        </w:tc>
        <w:tc>
          <w:tcPr>
            <w:tcW w:w="14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color w:val="auto"/>
                <w:w w:val="99"/>
              </w:rPr>
              <w:t>01/10/2024</w:t>
            </w: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Notice and Performance Stock Unit Award</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Agreement.</w:t>
              </w:r>
            </w:hyperlink>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7"/>
                <w:szCs w:val="17"/>
                <w:color w:val="auto"/>
              </w:rPr>
            </w:pPr>
          </w:p>
        </w:tc>
        <w:tc>
          <w:tcPr>
            <w:tcW w:w="34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Employment Agreement, dated as of December</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center"/>
              <w:ind w:left="54"/>
              <w:spacing w:after="0"/>
              <w:rPr>
                <w:sz w:val="20"/>
                <w:szCs w:val="20"/>
                <w:color w:val="auto"/>
              </w:rPr>
            </w:pPr>
            <w:r>
              <w:rPr>
                <w:rFonts w:ascii="Times New Roman" w:cs="Times New Roman" w:eastAsia="Times New Roman" w:hAnsi="Times New Roman"/>
                <w:sz w:val="16"/>
                <w:szCs w:val="16"/>
                <w:color w:val="auto"/>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03/06/2024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21, 2023, among Lulu's Fashion Lounge</w:t>
              </w:r>
            </w:hyperlink>
          </w:p>
        </w:tc>
        <w:tc>
          <w:tcPr>
            <w:tcW w:w="520" w:type="dxa"/>
            <w:vAlign w:val="bottom"/>
            <w:gridSpan w:val="16"/>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Holdings, Inc., Lulu's Fashion Lounge, LLC</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and Ms. Holt.</w:t>
              </w:r>
            </w:hyperlink>
          </w:p>
        </w:tc>
        <w:tc>
          <w:tcPr>
            <w:tcW w:w="2200" w:type="dxa"/>
            <w:vAlign w:val="bottom"/>
            <w:tcBorders>
              <w:top w:val="single" w:sz="8" w:color="0000EE"/>
            </w:tcBorders>
            <w:gridSpan w:val="19"/>
          </w:tcPr>
          <w:p>
            <w:pPr>
              <w:spacing w:after="0"/>
              <w:rPr>
                <w:sz w:val="17"/>
                <w:szCs w:val="17"/>
                <w:color w:val="auto"/>
              </w:rPr>
            </w:pPr>
          </w:p>
        </w:tc>
        <w:tc>
          <w:tcPr>
            <w:tcW w:w="24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Fourth Amendment to Lulu’s Fashion Lounge</w:t>
              </w:r>
            </w:hyperlink>
          </w:p>
        </w:tc>
        <w:tc>
          <w:tcPr>
            <w:tcW w:w="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05/14/2025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Holdings, Inc. Non-Employee Director</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Compensation Program.</w:t>
              </w:r>
            </w:hyperlink>
          </w:p>
        </w:tc>
        <w:tc>
          <w:tcPr>
            <w:tcW w:w="1060" w:type="dxa"/>
            <w:vAlign w:val="bottom"/>
            <w:tcBorders>
              <w:top w:val="single" w:sz="8" w:color="0000EE"/>
            </w:tcBorders>
            <w:gridSpan w:val="5"/>
          </w:tcPr>
          <w:p>
            <w:pPr>
              <w:spacing w:after="0"/>
              <w:rPr>
                <w:sz w:val="17"/>
                <w:szCs w:val="17"/>
                <w:color w:val="auto"/>
              </w:rPr>
            </w:pPr>
          </w:p>
        </w:tc>
        <w:tc>
          <w:tcPr>
            <w:tcW w:w="620" w:type="dxa"/>
            <w:vAlign w:val="bottom"/>
            <w:gridSpan w:val="18"/>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7"/>
                <w:szCs w:val="17"/>
                <w:color w:val="auto"/>
              </w:rPr>
            </w:pPr>
          </w:p>
        </w:tc>
        <w:tc>
          <w:tcPr>
            <w:tcW w:w="33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Fourth Amendment to Lease, dated as of May</w:t>
              </w:r>
            </w:hyperlink>
          </w:p>
        </w:tc>
        <w:tc>
          <w:tcPr>
            <w:tcW w:w="1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05/14/2025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7, 2025, between Chrin-Carson Development,</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LLC and the Registrant.</w:t>
              </w:r>
            </w:hyperlink>
          </w:p>
        </w:tc>
        <w:tc>
          <w:tcPr>
            <w:tcW w:w="1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Loan and Security Agreement, dated as of</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08/14/2025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August 14, 2025, among Lulu's Fashion</w:t>
              </w:r>
            </w:hyperlink>
          </w:p>
        </w:tc>
        <w:tc>
          <w:tcPr>
            <w:tcW w:w="40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Lounge Holdings, Inc., Lulu's Fashion Lounge</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Parent, LLC and Lulu's Fashion Lounge, LLC,</w:t>
              </w:r>
            </w:hyperlink>
          </w:p>
        </w:tc>
        <w:tc>
          <w:tcPr>
            <w:tcW w:w="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as borrowers, White Oak Commercial Finance,</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LLC, as administrative agent, and the lenders</w:t>
              </w:r>
            </w:hyperlink>
          </w:p>
        </w:tc>
        <w:tc>
          <w:tcPr>
            <w:tcW w:w="10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party thereto.***</w:t>
              </w:r>
            </w:hyperlink>
          </w:p>
        </w:tc>
        <w:tc>
          <w:tcPr>
            <w:tcW w:w="2180" w:type="dxa"/>
            <w:vAlign w:val="bottom"/>
            <w:gridSpan w:val="26"/>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First Amendment to Loan and Security</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3"/>
              <w:spacing w:after="0" w:line="196" w:lineRule="exact"/>
              <w:rPr>
                <w:sz w:val="20"/>
                <w:szCs w:val="20"/>
                <w:color w:val="auto"/>
              </w:rPr>
            </w:pPr>
            <w:r>
              <w:rPr>
                <w:rFonts w:ascii="Times New Roman" w:cs="Times New Roman" w:eastAsia="Times New Roman" w:hAnsi="Times New Roman"/>
                <w:sz w:val="18"/>
                <w:szCs w:val="18"/>
                <w:color w:val="auto"/>
                <w:w w:val="97"/>
              </w:rPr>
              <w:t>11/12/2025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Agreement, dated October 28, 2025, among</w:t>
              </w:r>
            </w:hyperlink>
          </w:p>
        </w:tc>
        <w:tc>
          <w:tcPr>
            <w:tcW w:w="26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Lulu's Fashion Lounge Holdings, Inc., Lulu's</w:t>
              </w:r>
            </w:hyperlink>
          </w:p>
        </w:tc>
        <w:tc>
          <w:tcPr>
            <w:tcW w:w="16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Fashion Lounge Parent, LLC and Lulu's</w:t>
              </w:r>
            </w:hyperlink>
          </w:p>
        </w:tc>
        <w:tc>
          <w:tcPr>
            <w:tcW w:w="54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Fashion Lounge, LLC, as borrowers, White</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Oak Commercial Finance, LLC, as</w:t>
              </w:r>
            </w:hyperlink>
          </w:p>
        </w:tc>
        <w:tc>
          <w:tcPr>
            <w:tcW w:w="30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administrative agent, and the lenders party</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thereto.</w:t>
              </w:r>
            </w:hyperlink>
          </w:p>
        </w:tc>
        <w:tc>
          <w:tcPr>
            <w:tcW w:w="300" w:type="dxa"/>
            <w:vAlign w:val="bottom"/>
            <w:tcBorders>
              <w:top w:val="single" w:sz="8" w:color="0000EE"/>
            </w:tcBorders>
            <w:gridSpan w:val="2"/>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Consulting Project Details #2 to the Master</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10/14/2025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Consulting Services Agreement, dated October</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11, 2025, between Lulu's Fashion Lounge, LLC</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and Business Talent Group, LLC.***</w:t>
              </w:r>
            </w:hyperlink>
          </w:p>
        </w:tc>
        <w:tc>
          <w:tcPr>
            <w:tcW w:w="740" w:type="dxa"/>
            <w:vAlign w:val="bottom"/>
            <w:gridSpan w:val="19"/>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Amendment No. 1 to Consulting Project</w:t>
              </w:r>
            </w:hyperlink>
          </w:p>
        </w:tc>
        <w:tc>
          <w:tcPr>
            <w:tcW w:w="520" w:type="dxa"/>
            <w:vAlign w:val="bottom"/>
            <w:gridSpan w:val="16"/>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01/22/2026</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Details No. 2 to the Master Consulting Services</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Agreement, dated January 22, 2026, between</w:t>
              </w:r>
            </w:hyperlink>
          </w:p>
        </w:tc>
        <w:tc>
          <w:tcPr>
            <w:tcW w:w="18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Lulu’s Fashion Lounge, LLC and Business</w:t>
              </w:r>
            </w:hyperlink>
          </w:p>
        </w:tc>
        <w:tc>
          <w:tcPr>
            <w:tcW w:w="32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Talent Group, LLC.</w:t>
              </w:r>
            </w:hyperlink>
          </w:p>
        </w:tc>
        <w:tc>
          <w:tcPr>
            <w:tcW w:w="2000" w:type="dxa"/>
            <w:vAlign w:val="bottom"/>
            <w:gridSpan w:val="25"/>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Employment Agreement, dated as of February</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02/05/2026</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4, 2026, among Lulu's Fashion Lounge</w:t>
              </w:r>
            </w:hyperlink>
          </w:p>
        </w:tc>
        <w:tc>
          <w:tcPr>
            <w:tcW w:w="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Holdings, Inc., Lulu's Fashion Lounge, LLC</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and Heidi Crane.</w:t>
              </w:r>
            </w:hyperlink>
          </w:p>
        </w:tc>
        <w:tc>
          <w:tcPr>
            <w:tcW w:w="1960" w:type="dxa"/>
            <w:vAlign w:val="bottom"/>
            <w:tcBorders>
              <w:top w:val="single" w:sz="8" w:color="0000EE"/>
            </w:tcBorders>
            <w:gridSpan w:val="18"/>
          </w:tcPr>
          <w:p>
            <w:pPr>
              <w:spacing w:after="0"/>
              <w:rPr>
                <w:sz w:val="17"/>
                <w:szCs w:val="17"/>
                <w:color w:val="auto"/>
              </w:rPr>
            </w:pPr>
          </w:p>
        </w:tc>
        <w:tc>
          <w:tcPr>
            <w:tcW w:w="24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7"/>
                <w:szCs w:val="17"/>
                <w:color w:val="auto"/>
              </w:rPr>
            </w:pPr>
          </w:p>
        </w:tc>
        <w:tc>
          <w:tcPr>
            <w:tcW w:w="34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w w:val="99"/>
              </w:rPr>
              <w:t>F</w:t>
            </w:r>
            <w:r>
              <w:rPr>
                <w:rFonts w:ascii="Times New Roman" w:cs="Times New Roman" w:eastAsia="Times New Roman" w:hAnsi="Times New Roman"/>
                <w:sz w:val="18"/>
                <w:szCs w:val="18"/>
                <w:color w:val="0000EE"/>
                <w:w w:val="99"/>
              </w:rPr>
              <w:t>irst Amendment to Master Fulfillment System</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5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8"/>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Acquisition &amp; Software License Agreement,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as of March 1, 2026, between 6 River</w:t>
            </w:r>
          </w:p>
        </w:tc>
        <w:tc>
          <w:tcPr>
            <w:tcW w:w="60" w:type="dxa"/>
            <w:vAlign w:val="bottom"/>
            <w:tcBorders>
              <w:top w:val="single" w:sz="8" w:color="0000EE"/>
            </w:tcBorders>
            <w:gridSpan w:val="3"/>
          </w:tcPr>
          <w:p>
            <w:pPr>
              <w:spacing w:after="0"/>
              <w:rPr>
                <w:sz w:val="17"/>
                <w:szCs w:val="17"/>
                <w:color w:val="auto"/>
              </w:rPr>
            </w:pPr>
          </w:p>
        </w:tc>
        <w:tc>
          <w:tcPr>
            <w:tcW w:w="22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Systems, LLC and Lulu’s Fashion Lounge,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7"/>
                <w:szCs w:val="17"/>
                <w:color w:val="auto"/>
              </w:rPr>
            </w:pPr>
          </w:p>
        </w:tc>
        <w:tc>
          <w:tcPr>
            <w:tcW w:w="2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Insider Trading Compliance Policy</w:t>
              </w:r>
            </w:hyperlink>
          </w:p>
        </w:tc>
        <w:tc>
          <w:tcPr>
            <w:tcW w:w="900" w:type="dxa"/>
            <w:vAlign w:val="bottom"/>
            <w:gridSpan w:val="20"/>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center"/>
              <w:ind w:left="54"/>
              <w:spacing w:after="0" w:line="196" w:lineRule="exact"/>
              <w:rPr>
                <w:sz w:val="20"/>
                <w:szCs w:val="20"/>
                <w:color w:val="auto"/>
              </w:rPr>
            </w:pPr>
            <w:r>
              <w:rPr>
                <w:rFonts w:ascii="Times New Roman" w:cs="Times New Roman" w:eastAsia="Times New Roman" w:hAnsi="Times New Roman"/>
                <w:sz w:val="18"/>
                <w:szCs w:val="18"/>
                <w:color w:val="auto"/>
                <w:w w:val="97"/>
              </w:rPr>
              <w:t>001-41059</w:t>
            </w:r>
          </w:p>
        </w:tc>
        <w:tc>
          <w:tcPr>
            <w:tcW w:w="64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
              <w:spacing w:after="0" w:line="196" w:lineRule="exact"/>
              <w:rPr>
                <w:sz w:val="20"/>
                <w:szCs w:val="20"/>
                <w:color w:val="auto"/>
              </w:rPr>
            </w:pPr>
            <w:r>
              <w:rPr>
                <w:rFonts w:ascii="Times New Roman" w:cs="Times New Roman" w:eastAsia="Times New Roman" w:hAnsi="Times New Roman"/>
                <w:sz w:val="18"/>
                <w:szCs w:val="18"/>
                <w:color w:val="auto"/>
                <w:w w:val="99"/>
              </w:rPr>
              <w:t>03/27/2025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7"/>
                <w:szCs w:val="17"/>
                <w:color w:val="auto"/>
              </w:rPr>
            </w:pPr>
          </w:p>
        </w:tc>
        <w:tc>
          <w:tcPr>
            <w:tcW w:w="2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the Registrant</w:t>
            </w:r>
          </w:p>
        </w:tc>
        <w:tc>
          <w:tcPr>
            <w:tcW w:w="1300" w:type="dxa"/>
            <w:vAlign w:val="bottom"/>
            <w:gridSpan w:val="2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5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6"/>
                <w:szCs w:val="16"/>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gridSpan w:val="2"/>
            <w:vMerge w:val="continue"/>
          </w:tcPr>
          <w:p>
            <w:pPr>
              <w:spacing w:after="0"/>
              <w:rPr>
                <w:sz w:val="5"/>
                <w:szCs w:val="5"/>
                <w:color w:val="auto"/>
              </w:rPr>
            </w:pPr>
          </w:p>
        </w:tc>
        <w:tc>
          <w:tcPr>
            <w:tcW w:w="2580" w:type="dxa"/>
            <w:vAlign w:val="bottom"/>
            <w:gridSpan w:val="8"/>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80" w:type="dxa"/>
            <w:vAlign w:val="bottom"/>
            <w:gridSpan w:val="2"/>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5"/>
                <w:szCs w:val="15"/>
                <w:color w:val="auto"/>
              </w:rPr>
            </w:pPr>
          </w:p>
        </w:tc>
        <w:tc>
          <w:tcPr>
            <w:tcW w:w="2580" w:type="dxa"/>
            <w:vAlign w:val="bottom"/>
            <w:gridSpan w:val="8"/>
            <w:vMerge w:val="continue"/>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continue"/>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Exhibit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34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w:t>
            </w: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3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6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3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73"/>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6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73"/>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7"/>
                <w:szCs w:val="17"/>
                <w:color w:val="auto"/>
              </w:rPr>
            </w:pPr>
          </w:p>
        </w:tc>
        <w:tc>
          <w:tcPr>
            <w:tcW w:w="3440" w:type="dxa"/>
            <w:vAlign w:val="bottom"/>
            <w:gridSpan w:val="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Policy for the Recovery of Erroneously</w:t>
              </w:r>
            </w:hyperlink>
          </w:p>
        </w:tc>
        <w:tc>
          <w:tcPr>
            <w:tcW w:w="1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6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22"/>
              <w:spacing w:after="0" w:line="196" w:lineRule="exact"/>
              <w:rPr>
                <w:sz w:val="20"/>
                <w:szCs w:val="20"/>
                <w:color w:val="auto"/>
              </w:rPr>
            </w:pPr>
            <w:r>
              <w:rPr>
                <w:rFonts w:ascii="Times New Roman" w:cs="Times New Roman" w:eastAsia="Times New Roman" w:hAnsi="Times New Roman"/>
                <w:sz w:val="18"/>
                <w:szCs w:val="18"/>
                <w:color w:val="auto"/>
                <w:w w:val="99"/>
              </w:rPr>
              <w:t>03/27/2025</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Awarded Compensation</w:t>
              </w:r>
            </w:hyperlink>
          </w:p>
        </w:tc>
        <w:tc>
          <w:tcPr>
            <w:tcW w:w="1100" w:type="dxa"/>
            <w:vAlign w:val="bottom"/>
            <w:tcBorders>
              <w:top w:val="single" w:sz="8" w:color="0000EE"/>
            </w:tcBorders>
            <w:gridSpan w:val="3"/>
          </w:tcPr>
          <w:p>
            <w:pPr>
              <w:spacing w:after="0"/>
              <w:rPr>
                <w:sz w:val="17"/>
                <w:szCs w:val="17"/>
                <w:color w:val="auto"/>
              </w:rPr>
            </w:pPr>
          </w:p>
        </w:tc>
        <w:tc>
          <w:tcPr>
            <w:tcW w:w="6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Document</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(as formatted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Inline XBRL and contained in Exhibit 101)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7"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00" w:hanging="650"/>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Certain portions of this exhibit have been omitted in accordance with Regulation S-K Item 601(b)(10)</w:t>
      </w:r>
    </w:p>
    <w:p>
      <w:pPr>
        <w:spacing w:after="0" w:line="9" w:lineRule="exact"/>
        <w:rPr>
          <w:rFonts w:ascii="Times New Roman" w:cs="Times New Roman" w:eastAsia="Times New Roman" w:hAnsi="Times New Roman"/>
          <w:sz w:val="18"/>
          <w:szCs w:val="18"/>
          <w:color w:val="auto"/>
        </w:rPr>
      </w:pPr>
    </w:p>
    <w:p>
      <w:pPr>
        <w:jc w:val="both"/>
        <w:ind w:left="700" w:right="79" w:hanging="2"/>
        <w:spacing w:after="0" w:line="250" w:lineRule="auto"/>
        <w:tabs>
          <w:tab w:leader="none" w:pos="10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 Additionally, certain schedules and exhibits to this exhibit have been omitted pursuant to Item 601 of Regulation S-K. The Company hereby undertakes to furnish copies of any of the omitted schedules</w:t>
      </w:r>
    </w:p>
    <w:p>
      <w:pPr>
        <w:spacing w:after="0" w:line="2" w:lineRule="exact"/>
        <w:rPr>
          <w:sz w:val="20"/>
          <w:szCs w:val="20"/>
          <w:color w:val="auto"/>
        </w:rPr>
      </w:pPr>
    </w:p>
    <w:p>
      <w:pPr>
        <w:jc w:val="both"/>
        <w:ind w:left="700" w:right="79"/>
        <w:spacing w:after="0" w:line="250" w:lineRule="auto"/>
        <w:rPr>
          <w:sz w:val="20"/>
          <w:szCs w:val="20"/>
          <w:color w:val="auto"/>
        </w:rPr>
      </w:pPr>
      <w:r>
        <w:rPr>
          <w:rFonts w:ascii="Times New Roman" w:cs="Times New Roman" w:eastAsia="Times New Roman" w:hAnsi="Times New Roman"/>
          <w:sz w:val="18"/>
          <w:szCs w:val="18"/>
          <w:color w:val="auto"/>
        </w:rPr>
        <w:t>or exhibits to the SEC upon request by the SEC; provided that the Company may request confidential treatment pursuant to Rule 24b-2 of The Securities Exchange Act of 1934, as amended, for any schedules or exhibits so furnished.</w:t>
      </w:r>
    </w:p>
    <w:p>
      <w:pPr>
        <w:spacing w:after="0" w:line="1" w:lineRule="exact"/>
        <w:rPr>
          <w:sz w:val="20"/>
          <w:szCs w:val="20"/>
          <w:color w:val="auto"/>
        </w:rPr>
      </w:pPr>
    </w:p>
    <w:p>
      <w:pPr>
        <w:ind w:left="4360" w:right="3219" w:hanging="4310"/>
        <w:spacing w:after="0" w:line="761"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9" w:lineRule="exact"/>
        <w:rPr>
          <w:sz w:val="20"/>
          <w:szCs w:val="20"/>
          <w:color w:val="auto"/>
        </w:rPr>
      </w:pPr>
    </w:p>
    <w:p>
      <w:pPr>
        <w:ind w:left="60"/>
        <w:spacing w:after="0"/>
        <w:tabs>
          <w:tab w:leader="none" w:pos="4500" w:val="left"/>
          <w:tab w:leader="none" w:pos="612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2" w:lineRule="exact"/>
        <w:rPr>
          <w:sz w:val="20"/>
          <w:szCs w:val="20"/>
          <w:color w:val="auto"/>
        </w:rPr>
      </w:pPr>
    </w:p>
    <w:p>
      <w:pPr>
        <w:ind w:left="60"/>
        <w:spacing w:after="0"/>
        <w:tabs>
          <w:tab w:leader="none" w:pos="4500" w:val="left"/>
          <w:tab w:leader="none" w:pos="630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Heidi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1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Heidi Crane</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20"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 w:type="dxa"/>
            <w:vAlign w:val="bottom"/>
          </w:tcPr>
          <w:p>
            <w:pPr>
              <w:spacing w:after="0"/>
              <w:rPr>
                <w:sz w:val="20"/>
                <w:szCs w:val="20"/>
                <w:color w:val="auto"/>
              </w:rPr>
            </w:pPr>
          </w:p>
        </w:tc>
        <w:tc>
          <w:tcPr>
            <w:tcW w:w="43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38"/>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Crystal Landsem</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Crystal Landsem</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Heidi Crane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Heidi Crane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/s/John Black</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Black</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Dara Bazzano</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Board Chair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Dara Bazzano</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Karp</w:t>
            </w:r>
          </w:p>
        </w:tc>
        <w:tc>
          <w:tcPr>
            <w:tcW w:w="20" w:type="dxa"/>
            <w:vAlign w:val="bottom"/>
            <w:tcBorders>
              <w:bottom w:val="single" w:sz="8" w:color="auto"/>
            </w:tcBorders>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Evan Karp</w:t>
            </w: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Anisa Kumar</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Anisa Kumar</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Kelly McCarthy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Kelly McCarthy</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77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108</w:t>
            </w:r>
          </w:p>
        </w:tc>
        <w:tc>
          <w:tcPr>
            <w:tcW w:w="21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8" w:name="page109"/>
    <w:bookmarkEnd w:id="108"/>
    <w:p>
      <w:pPr>
        <w:ind w:left="8120"/>
        <w:spacing w:after="0"/>
        <w:rPr>
          <w:sz w:val="20"/>
          <w:szCs w:val="20"/>
          <w:color w:val="auto"/>
        </w:rPr>
      </w:pPr>
      <w:r>
        <w:rPr>
          <w:rFonts w:ascii="Times New Roman" w:cs="Times New Roman" w:eastAsia="Times New Roman" w:hAnsi="Times New Roman"/>
          <w:sz w:val="20"/>
          <w:szCs w:val="20"/>
          <w:b w:val="1"/>
          <w:bCs w:val="1"/>
          <w:color w:val="auto"/>
        </w:rPr>
        <w:t>EXHIBIT 10.30</w:t>
      </w:r>
    </w:p>
    <w:p>
      <w:pPr>
        <w:spacing w:after="0" w:line="28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Certain identified information has been excluded from the exhibit because it is both (i) not material and (ii) is the type of information that the registrant treats as private or confidential. Triple asterisks denote omissions.</w:t>
      </w:r>
    </w:p>
    <w:p>
      <w:pPr>
        <w:spacing w:after="0" w:line="210" w:lineRule="exact"/>
        <w:rPr>
          <w:sz w:val="20"/>
          <w:szCs w:val="20"/>
          <w:color w:val="auto"/>
        </w:rPr>
      </w:pPr>
    </w:p>
    <w:p>
      <w:pPr>
        <w:ind w:left="3180" w:right="880" w:hanging="1700"/>
        <w:spacing w:after="0" w:line="301" w:lineRule="auto"/>
        <w:rPr>
          <w:sz w:val="20"/>
          <w:szCs w:val="20"/>
          <w:color w:val="auto"/>
        </w:rPr>
      </w:pPr>
      <w:r>
        <w:rPr>
          <w:rFonts w:ascii="Times New Roman" w:cs="Times New Roman" w:eastAsia="Times New Roman" w:hAnsi="Times New Roman"/>
          <w:sz w:val="20"/>
          <w:szCs w:val="20"/>
          <w:b w:val="1"/>
          <w:bCs w:val="1"/>
          <w:color w:val="auto"/>
        </w:rPr>
        <w:t>FIRST AMENDMENT TO MASTER FULFILLMENT SYSTEM ACQUISITION &amp; SOFTWARE LICENSE AGREEMENT</w:t>
      </w:r>
    </w:p>
    <w:p>
      <w:pPr>
        <w:spacing w:after="0" w:line="170" w:lineRule="exact"/>
        <w:rPr>
          <w:sz w:val="20"/>
          <w:szCs w:val="20"/>
          <w:color w:val="auto"/>
        </w:rPr>
      </w:pPr>
    </w:p>
    <w:p>
      <w:pPr>
        <w:jc w:val="both"/>
        <w:ind w:left="300" w:right="540" w:firstLine="648"/>
        <w:spacing w:after="0" w:line="255" w:lineRule="auto"/>
        <w:rPr>
          <w:sz w:val="20"/>
          <w:szCs w:val="20"/>
          <w:color w:val="auto"/>
        </w:rPr>
      </w:pPr>
      <w:r>
        <w:rPr>
          <w:rFonts w:ascii="Times New Roman" w:cs="Times New Roman" w:eastAsia="Times New Roman" w:hAnsi="Times New Roman"/>
          <w:sz w:val="20"/>
          <w:szCs w:val="20"/>
          <w:color w:val="auto"/>
        </w:rPr>
        <w:t>This First Amendment (this “Amendment”) is entered into effective as of March 1, 2026 and is made a part of the Master Fulfillment System Acquisition &amp; Software License Agreement, dated September 24, 2021 (as amended, supplemented, or otherwise modified from time to time, the “Agreement”), by and between 6 River Systems, LLC, a Delaware company, with offices located at 1600 Tysons Blvd, Ste 400, Mclean, VA 22102 (“6RS”), and Lulu’s Fashion Lounge, LLC, a Delaware limited liability company, with offices located at 195 Humboldt Avenue, Chico, CA 95928 (“Customer”). 6RS and Customer are each a “Party” and collectively the “Parties” to this Amendment. All capitalized terms used in this Amendment and not defined herein shall have the meanings set forth in the Agreement. As used herein, “LULEAS” refers to Customer’s facility located at 2505 Hollo Road, Easton, PA 18045 (being the Premises under Schedule 1 and Schedule 2), and “LULONT” refers to Customer’s facility located at 3951 E. Earlstone Street, Ontario, California 91761 (being the Premises under Schedule 3, as amended).</w:t>
      </w:r>
    </w:p>
    <w:p>
      <w:pPr>
        <w:spacing w:after="0" w:line="80" w:lineRule="exact"/>
        <w:rPr>
          <w:sz w:val="20"/>
          <w:szCs w:val="20"/>
          <w:color w:val="auto"/>
        </w:rPr>
      </w:pPr>
    </w:p>
    <w:p>
      <w:pPr>
        <w:ind w:left="300" w:right="560" w:firstLine="648"/>
        <w:spacing w:after="0" w:line="283" w:lineRule="auto"/>
        <w:rPr>
          <w:sz w:val="20"/>
          <w:szCs w:val="20"/>
          <w:color w:val="auto"/>
        </w:rPr>
      </w:pPr>
      <w:r>
        <w:rPr>
          <w:rFonts w:ascii="Times New Roman" w:cs="Times New Roman" w:eastAsia="Times New Roman" w:hAnsi="Times New Roman"/>
          <w:sz w:val="20"/>
          <w:szCs w:val="20"/>
          <w:color w:val="auto"/>
        </w:rPr>
        <w:t>WHEREAS, Customer has rented Chucks and other Hardware from 6RS and licensed related software for commercial use pursuant to the terms set forth in the Agreement;</w:t>
      </w:r>
    </w:p>
    <w:p>
      <w:pPr>
        <w:spacing w:after="0" w:line="38" w:lineRule="exact"/>
        <w:rPr>
          <w:sz w:val="20"/>
          <w:szCs w:val="20"/>
          <w:color w:val="auto"/>
        </w:rPr>
      </w:pPr>
    </w:p>
    <w:p>
      <w:pPr>
        <w:ind w:left="300" w:right="560" w:firstLine="648"/>
        <w:spacing w:after="0" w:line="283" w:lineRule="auto"/>
        <w:rPr>
          <w:sz w:val="20"/>
          <w:szCs w:val="20"/>
          <w:color w:val="auto"/>
        </w:rPr>
      </w:pPr>
      <w:r>
        <w:rPr>
          <w:rFonts w:ascii="Times New Roman" w:cs="Times New Roman" w:eastAsia="Times New Roman" w:hAnsi="Times New Roman"/>
          <w:sz w:val="20"/>
          <w:szCs w:val="20"/>
          <w:color w:val="auto"/>
        </w:rPr>
        <w:t>WHEREAS, the Parties desire to amend certain terms of the Agreement as set forth in this Amendment; and</w:t>
      </w:r>
    </w:p>
    <w:p>
      <w:pPr>
        <w:spacing w:after="0" w:line="52" w:lineRule="exact"/>
        <w:rPr>
          <w:sz w:val="20"/>
          <w:szCs w:val="20"/>
          <w:color w:val="auto"/>
        </w:rPr>
      </w:pPr>
    </w:p>
    <w:p>
      <w:pPr>
        <w:ind w:left="300" w:right="560" w:firstLine="567"/>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is hereby acknowledged, the Parties hereby agree as follows:</w:t>
      </w:r>
    </w:p>
    <w:p>
      <w:pPr>
        <w:spacing w:after="0" w:line="38" w:lineRule="exact"/>
        <w:rPr>
          <w:sz w:val="20"/>
          <w:szCs w:val="20"/>
          <w:color w:val="auto"/>
        </w:rPr>
      </w:pPr>
    </w:p>
    <w:p>
      <w:pPr>
        <w:jc w:val="both"/>
        <w:ind w:left="1060" w:right="540" w:hanging="656"/>
        <w:spacing w:after="0" w:line="268"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pricing decrease shall apply as of the date hereof to the 54 full-time Chucks physically present at LULEAS.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shall be charged per Chuck including the 3rd shelf. For the avoidance of doubt,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pricing remains unchanged for auto charger rentals.</w:t>
      </w:r>
    </w:p>
    <w:p>
      <w:pPr>
        <w:spacing w:after="0" w:line="80" w:lineRule="exact"/>
        <w:rPr>
          <w:rFonts w:ascii="Times New Roman" w:cs="Times New Roman" w:eastAsia="Times New Roman" w:hAnsi="Times New Roman"/>
          <w:sz w:val="20"/>
          <w:szCs w:val="20"/>
          <w:color w:val="auto"/>
        </w:rPr>
      </w:pPr>
    </w:p>
    <w:p>
      <w:pPr>
        <w:jc w:val="both"/>
        <w:ind w:left="1060" w:right="540" w:hanging="656"/>
        <w:spacing w:after="0" w:line="258"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17 “seasonal peak” Chucks currently being rented by Customer shall be removed from their respective Premises and relevant fees shall be adjusted accordingly as of the Schedule 1 renewal date of March 1, 2026. For the avoidance of doubt, such peak rentals shall be excluded from the Schedule 1 auto-renewal on March 1, 2026.</w:t>
      </w:r>
    </w:p>
    <w:p>
      <w:pPr>
        <w:spacing w:after="0" w:line="91" w:lineRule="exact"/>
        <w:rPr>
          <w:rFonts w:ascii="Times New Roman" w:cs="Times New Roman" w:eastAsia="Times New Roman" w:hAnsi="Times New Roman"/>
          <w:sz w:val="20"/>
          <w:szCs w:val="20"/>
          <w:color w:val="auto"/>
        </w:rPr>
      </w:pPr>
    </w:p>
    <w:p>
      <w:pPr>
        <w:jc w:val="both"/>
        <w:ind w:left="1060" w:right="560" w:hanging="656"/>
        <w:spacing w:after="0" w:line="253"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Agreement, effective upon the auto-renewal of Schedule 1 on March 1, 2026, Schedule 1 and Schedule 2 (collectively, the “LULEAS Schedules”) shall be extended to be coterminous with Schedule 3 (the “LULONT Schedule”), such that the LULEAS Schedules and the LULONT Schedule shall share a common expiration date of May 8, 2027. Thereafter, the LULEAS Schedules and the LULONT Schedule shall renew together for successive one (1) year Renewal Terms upon sixty (60) days prior written notice from Customer, or until either Party terminates all such Schedules by providing advance written notice sixty (60) days prior to the end of the then-current term. For the avoidance of doubt, (a) Customer shall not be required to provide separate renewal notices for each Schedule, and (b) the rental fees for the LULEAS Schedules for the period from March 1, 2026 through May 8, 2027 shall be prorated accordingly.</w:t>
      </w:r>
    </w:p>
    <w:p>
      <w:pPr>
        <w:spacing w:after="0" w:line="100" w:lineRule="exact"/>
        <w:rPr>
          <w:rFonts w:ascii="Times New Roman" w:cs="Times New Roman" w:eastAsia="Times New Roman" w:hAnsi="Times New Roman"/>
          <w:sz w:val="20"/>
          <w:szCs w:val="20"/>
          <w:color w:val="auto"/>
        </w:rPr>
      </w:pPr>
    </w:p>
    <w:p>
      <w:pPr>
        <w:jc w:val="both"/>
        <w:ind w:left="1060" w:right="560" w:hanging="656"/>
        <w:spacing w:after="0" w:line="261"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Chucks at LULONT is hereby increased by 8 units, and the number of Chucks at LULEAS is hereby reduced by 8 units. As a result, LULONT and LULEAS shall have the following respective Chuck counts after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344170</wp:posOffset>
            </wp:positionV>
            <wp:extent cx="608647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480"/>
          </w:cols>
          <w:pgMar w:left="1320" w:top="180" w:right="1099" w:bottom="1440" w:gutter="0" w:footer="0" w:header="0"/>
        </w:sectPr>
      </w:pPr>
    </w:p>
    <w:bookmarkStart w:id="109" w:name="page110"/>
    <w:bookmarkEnd w:id="109"/>
    <w:p>
      <w:pPr>
        <w:ind w:left="1400"/>
        <w:spacing w:after="0"/>
        <w:rPr>
          <w:sz w:val="20"/>
          <w:szCs w:val="20"/>
          <w:color w:val="auto"/>
        </w:rPr>
      </w:pPr>
      <w:r>
        <w:rPr>
          <w:rFonts w:ascii="Times New Roman" w:cs="Times New Roman" w:eastAsia="Times New Roman" w:hAnsi="Times New Roman"/>
          <w:sz w:val="20"/>
          <w:szCs w:val="20"/>
          <w:color w:val="auto"/>
        </w:rPr>
        <w:t>LULEAS: 54 full time Chucks + 6 auto chargers</w:t>
      </w:r>
    </w:p>
    <w:p>
      <w:pPr>
        <w:spacing w:after="0" w:line="1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LULONT: 21 full time Chucks + 2 auto chargers</w:t>
      </w:r>
    </w:p>
    <w:p>
      <w:pPr>
        <w:spacing w:after="0" w:line="54" w:lineRule="exact"/>
        <w:rPr>
          <w:sz w:val="20"/>
          <w:szCs w:val="20"/>
          <w:color w:val="auto"/>
        </w:rPr>
      </w:pPr>
    </w:p>
    <w:p>
      <w:pPr>
        <w:jc w:val="both"/>
        <w:ind w:left="940" w:right="199" w:hanging="656"/>
        <w:spacing w:after="0" w:line="268" w:lineRule="auto"/>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by this Amendment, the Agreement remains in full force and effect and nothing in this Amendment shall otherwise affect any other provision of the Agreement or the rights and obligations of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330835</wp:posOffset>
            </wp:positionV>
            <wp:extent cx="608647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10" w:name="page111"/>
    <w:bookmarkEnd w:id="110"/>
    <w:p>
      <w:pPr>
        <w:ind w:right="560"/>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authorized representatives as of the later date of signature set forth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gridSpan w:val="2"/>
          </w:tcPr>
          <w:p>
            <w:pPr>
              <w:jc w:val="center"/>
              <w:ind w:right="1240"/>
              <w:spacing w:after="0"/>
              <w:rPr>
                <w:sz w:val="20"/>
                <w:szCs w:val="20"/>
                <w:color w:val="auto"/>
              </w:rPr>
            </w:pPr>
            <w:r>
              <w:rPr>
                <w:rFonts w:ascii="Times New Roman" w:cs="Times New Roman" w:eastAsia="Times New Roman" w:hAnsi="Times New Roman"/>
                <w:sz w:val="20"/>
                <w:szCs w:val="20"/>
                <w:b w:val="1"/>
                <w:bCs w:val="1"/>
                <w:color w:val="auto"/>
                <w:w w:val="97"/>
              </w:rPr>
              <w:t>6 RIVER SYSTEMS, LLC</w:t>
            </w:r>
          </w:p>
        </w:tc>
        <w:tc>
          <w:tcPr>
            <w:tcW w:w="1320" w:type="dxa"/>
            <w:vAlign w:val="bottom"/>
          </w:tcPr>
          <w:p>
            <w:pPr>
              <w:spacing w:after="0"/>
              <w:rPr>
                <w:sz w:val="22"/>
                <w:szCs w:val="22"/>
                <w:color w:val="auto"/>
              </w:rPr>
            </w:pPr>
          </w:p>
        </w:tc>
        <w:tc>
          <w:tcPr>
            <w:tcW w:w="4780" w:type="dxa"/>
            <w:vAlign w:val="bottom"/>
            <w:gridSpan w:val="3"/>
          </w:tcPr>
          <w:p>
            <w:pPr>
              <w:ind w:left="1040"/>
              <w:spacing w:after="0"/>
              <w:rPr>
                <w:sz w:val="20"/>
                <w:szCs w:val="20"/>
                <w:color w:val="auto"/>
              </w:rPr>
            </w:pPr>
            <w:r>
              <w:rPr>
                <w:rFonts w:ascii="Times New Roman" w:cs="Times New Roman" w:eastAsia="Times New Roman" w:hAnsi="Times New Roman"/>
                <w:sz w:val="20"/>
                <w:szCs w:val="20"/>
                <w:b w:val="1"/>
                <w:bCs w:val="1"/>
                <w:color w:val="auto"/>
              </w:rPr>
              <w:t>LULU’S FASHION LOUNGE, LLC</w:t>
            </w:r>
          </w:p>
        </w:tc>
      </w:tr>
      <w:tr>
        <w:trPr>
          <w:trHeight w:val="453"/>
        </w:trPr>
        <w:tc>
          <w:tcPr>
            <w:tcW w:w="34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Joshua Ballance</w:t>
            </w:r>
          </w:p>
        </w:tc>
        <w:tc>
          <w:tcPr>
            <w:tcW w:w="1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780" w:type="dxa"/>
            <w:vAlign w:val="bottom"/>
            <w:gridSpan w:val="3"/>
          </w:tcPr>
          <w:p>
            <w:pPr>
              <w:ind w:left="134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Mark Vos</w:t>
            </w:r>
          </w:p>
        </w:tc>
      </w:tr>
      <w:tr>
        <w:trPr>
          <w:trHeight w:val="20"/>
        </w:trPr>
        <w:tc>
          <w:tcPr>
            <w:tcW w:w="7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3480" w:type="dxa"/>
            <w:vAlign w:val="bottom"/>
            <w:gridSpan w:val="2"/>
          </w:tcPr>
          <w:p>
            <w:pPr>
              <w:jc w:val="center"/>
              <w:ind w:right="1220"/>
              <w:spacing w:after="0"/>
              <w:rPr>
                <w:sz w:val="20"/>
                <w:szCs w:val="20"/>
                <w:color w:val="auto"/>
              </w:rPr>
            </w:pPr>
            <w:r>
              <w:rPr>
                <w:rFonts w:ascii="Times New Roman" w:cs="Times New Roman" w:eastAsia="Times New Roman" w:hAnsi="Times New Roman"/>
                <w:sz w:val="20"/>
                <w:szCs w:val="20"/>
                <w:color w:val="auto"/>
                <w:w w:val="99"/>
              </w:rPr>
              <w:t>Name: Joshua Ballance</w:t>
            </w:r>
          </w:p>
        </w:tc>
        <w:tc>
          <w:tcPr>
            <w:tcW w:w="1320" w:type="dxa"/>
            <w:vAlign w:val="bottom"/>
          </w:tcPr>
          <w:p>
            <w:pPr>
              <w:spacing w:after="0"/>
              <w:rPr>
                <w:sz w:val="24"/>
                <w:szCs w:val="24"/>
                <w:color w:val="auto"/>
              </w:rPr>
            </w:pPr>
          </w:p>
        </w:tc>
        <w:tc>
          <w:tcPr>
            <w:tcW w:w="478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rPr>
              <w:t>Name: Mark Vos</w:t>
            </w:r>
          </w:p>
        </w:tc>
      </w:tr>
      <w:tr>
        <w:trPr>
          <w:trHeight w:val="20"/>
        </w:trPr>
        <w:tc>
          <w:tcPr>
            <w:tcW w:w="7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3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Title: Manager</w:t>
            </w:r>
          </w:p>
        </w:tc>
        <w:tc>
          <w:tcPr>
            <w:tcW w:w="1320" w:type="dxa"/>
            <w:vAlign w:val="bottom"/>
          </w:tcPr>
          <w:p>
            <w:pPr>
              <w:spacing w:after="0"/>
              <w:rPr>
                <w:sz w:val="24"/>
                <w:szCs w:val="24"/>
                <w:color w:val="auto"/>
              </w:rPr>
            </w:pPr>
          </w:p>
        </w:tc>
        <w:tc>
          <w:tcPr>
            <w:tcW w:w="4780" w:type="dxa"/>
            <w:vAlign w:val="bottom"/>
            <w:gridSpan w:val="3"/>
          </w:tcPr>
          <w:p>
            <w:pPr>
              <w:ind w:left="1360"/>
              <w:spacing w:after="0"/>
              <w:rPr>
                <w:sz w:val="20"/>
                <w:szCs w:val="20"/>
                <w:color w:val="auto"/>
              </w:rPr>
            </w:pPr>
            <w:r>
              <w:rPr>
                <w:rFonts w:ascii="Times New Roman" w:cs="Times New Roman" w:eastAsia="Times New Roman" w:hAnsi="Times New Roman"/>
                <w:sz w:val="20"/>
                <w:szCs w:val="20"/>
                <w:color w:val="auto"/>
              </w:rPr>
              <w:t>Title: President &amp; CIO</w:t>
            </w:r>
          </w:p>
        </w:tc>
      </w:tr>
      <w:tr>
        <w:trPr>
          <w:trHeight w:val="783"/>
        </w:trPr>
        <w:tc>
          <w:tcPr>
            <w:tcW w:w="780" w:type="dxa"/>
            <w:vAlign w:val="bottom"/>
            <w:tcBorders>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580"/>
          </w:cols>
          <w:pgMar w:left="1320" w:top="333" w:right="9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Lulu’s Fashion Lounge Holdings,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Item 601(b)(21) of Regulation S-K under the Securities Act of 1933, as amended (the “Securities Act”), we have omitted certain subsidiaries which, considered in the aggregate as a single subsidiary, would not constitute a “significant subsidiary” (as defined in Rule 1-02(w) of Regulation S-X under the Securities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Lulu’s Fashion Lounge Parent, LLC</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LLC</w:t>
            </w:r>
          </w:p>
        </w:tc>
        <w:tc>
          <w:tcPr>
            <w:tcW w:w="180" w:type="dxa"/>
            <w:vAlign w:val="bottom"/>
          </w:tcPr>
          <w:p>
            <w:pPr>
              <w:spacing w:after="0"/>
              <w:rPr>
                <w:sz w:val="20"/>
                <w:szCs w:val="20"/>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77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333-260985, 333-264070 and 333-273013 on Form S-8 of our report dated March 30, 2026, relating to the consolidated financial statements of Lulu’s Fashion Lounge Holdings, Inc. appearing in this Annual Report on Form 10-K for the fiscal year ended December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Crystal Landsem,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Lulu’s Fashion Lounge Holdings,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4960" w:val="left"/>
          <w:tab w:leader="none" w:pos="684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Heidi Crane, certify that:</w:t>
      </w:r>
    </w:p>
    <w:p>
      <w:pPr>
        <w:spacing w:after="0" w:line="22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Lulu’s Fashion Lounge Holdings,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4960" w:val="left"/>
          <w:tab w:leader="none" w:pos="702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Heidi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Heidi Crane</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Annual Report on Form 10-K of Lulu’s Fashion Lounge Holdings,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2025 as filed with the Securities and Exchange Commission on the date hereof (the “Report”), I certify, pursuant to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10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960" w:val="left"/>
          <w:tab w:leader="none" w:pos="684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Annual Report on Form 10-K of Lulu’s Fashion Lounge Holdings,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2025 as filed with the Securities and Exchange Commission on the date hereof (the “Report”), I certify, pursuant to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10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960" w:val="left"/>
          <w:tab w:leader="none" w:pos="702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Heidi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Heidi Crane</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30"/>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decimal"/>
      <w:start w:val="3"/>
    </w:lvl>
  </w:abstractNum>
  <w:abstractNum w:abstractNumId="36">
    <w:nsid w:val="684A481A"/>
    <w:multiLevelType w:val="hybridMultilevel"/>
    <w:lvl w:ilvl="0">
      <w:lvlJc w:val="left"/>
      <w:lvlText w:val="%1."/>
      <w:numFmt w:val="decimal"/>
      <w:start w:val="4"/>
    </w:lvl>
  </w:abstractNum>
  <w:abstractNum w:abstractNumId="37">
    <w:nsid w:val="579478FE"/>
    <w:multiLevelType w:val="hybridMultilevel"/>
    <w:lvl w:ilvl="0">
      <w:lvlJc w:val="left"/>
      <w:lvlText w:val="%1."/>
      <w:numFmt w:val="decimal"/>
      <w:start w:val="5"/>
    </w:lvl>
  </w:abstractNum>
  <w:abstractNum w:abstractNumId="38">
    <w:nsid w:val="749ABB43"/>
    <w:multiLevelType w:val="hybridMultilevel"/>
    <w:lvl w:ilvl="0">
      <w:lvlJc w:val="left"/>
      <w:lvlText w:val="(%1)"/>
      <w:numFmt w:val="lowerLetter"/>
      <w:start w:val="4"/>
    </w:lvl>
  </w:abstractNum>
  <w:abstractNum w:abstractNumId="39">
    <w:nsid w:val="3DC240FB"/>
    <w:multiLevelType w:val="hybridMultilevel"/>
    <w:lvl w:ilvl="0">
      <w:lvlJc w:val="left"/>
      <w:lvlText w:val="%1."/>
      <w:numFmt w:val="decimal"/>
      <w:start w:val="6"/>
    </w:lvl>
  </w:abstractNum>
  <w:abstractNum w:abstractNumId="40">
    <w:nsid w:val="1BA026FA"/>
    <w:multiLevelType w:val="hybridMultilevel"/>
    <w:lvl w:ilvl="0">
      <w:lvlJc w:val="left"/>
      <w:lvlText w:val="%1."/>
      <w:numFmt w:val="decimal"/>
      <w:start w:val="7"/>
    </w:lvl>
  </w:abstractNum>
  <w:abstractNum w:abstractNumId="41">
    <w:nsid w:val="79A1DEAA"/>
    <w:multiLevelType w:val="hybridMultilevel"/>
    <w:lvl w:ilvl="0">
      <w:lvlJc w:val="left"/>
      <w:lvlText w:val="%1."/>
      <w:numFmt w:val="decimal"/>
      <w:start w:val="8"/>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9"/>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0"/>
    </w:lvl>
  </w:abstractNum>
  <w:abstractNum w:abstractNumId="46">
    <w:nsid w:val="374A3FE6"/>
    <w:multiLevelType w:val="hybridMultilevel"/>
    <w:lvl w:ilvl="0">
      <w:lvlJc w:val="left"/>
      <w:lvlText w:val="%1."/>
      <w:numFmt w:val="decimal"/>
      <w:start w:val="11"/>
    </w:lvl>
  </w:abstractNum>
  <w:abstractNum w:abstractNumId="47">
    <w:nsid w:val="4F4EF005"/>
    <w:multiLevelType w:val="hybridMultilevel"/>
    <w:lvl w:ilvl="0">
      <w:lvlJc w:val="left"/>
      <w:lvlText w:val="%1."/>
      <w:numFmt w:val="decimal"/>
      <w:start w:val="12"/>
    </w:lvl>
  </w:abstractNum>
  <w:abstractNum w:abstractNumId="48">
    <w:nsid w:val="23F9C13C"/>
    <w:multiLevelType w:val="hybridMultilevel"/>
    <w:lvl w:ilvl="0">
      <w:lvlJc w:val="left"/>
      <w:lvlText w:val="%1"/>
      <w:numFmt w:val="decimal"/>
      <w:start w:val="1"/>
    </w:lvl>
    <w:lvl w:ilvl="1">
      <w:lvlJc w:val="left"/>
      <w:lvlText w:val="(%2)"/>
      <w:numFmt w:val="decimal"/>
      <w:start w:val="1"/>
    </w:lvl>
  </w:abstractNum>
  <w:abstractNum w:abstractNumId="49">
    <w:nsid w:val="649BB77C"/>
    <w:multiLevelType w:val="hybridMultilevel"/>
    <w:lvl w:ilvl="0">
      <w:lvlJc w:val="left"/>
      <w:lvlText w:val="%1."/>
      <w:numFmt w:val="decimal"/>
      <w:start w:val="13"/>
    </w:lvl>
    <w:lvl w:ilvl="1">
      <w:lvlJc w:val="left"/>
      <w:lvlText w:val="%2"/>
      <w:numFmt w:val="decimal"/>
      <w:start w:val="1"/>
    </w:lvl>
  </w:abstractNum>
  <w:abstractNum w:abstractNumId="50">
    <w:nsid w:val="275AC794"/>
    <w:multiLevelType w:val="hybridMultilevel"/>
    <w:lvl w:ilvl="0">
      <w:lvlJc w:val="left"/>
      <w:lvlText w:val="(%1)"/>
      <w:numFmt w:val="lowerLetter"/>
      <w:start w:val="1"/>
    </w:lvl>
    <w:lvl w:ilvl="1">
      <w:lvlJc w:val="left"/>
      <w:lvlText w:val="(%2)"/>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lvl w:ilvl="1">
      <w:lvlJc w:val="left"/>
      <w:lvlText w:val="%2"/>
      <w:numFmt w:val="lowerRoman"/>
      <w:start w:val="1"/>
    </w:lvl>
  </w:abstractNum>
  <w:abstractNum w:abstractNumId="53">
    <w:nsid w:val="180115BE"/>
    <w:multiLevelType w:val="hybridMultilevel"/>
    <w:lvl w:ilvl="0">
      <w:lvlJc w:val="left"/>
      <w:lvlText w:val="***"/>
      <w:numFmt w:val="bullet"/>
      <w:start w:val="1"/>
    </w:lvl>
    <w:lvl w:ilvl="1">
      <w:lvlJc w:val="left"/>
      <w:lvlText w:val="(%2)"/>
      <w:numFmt w:val="lowerRoman"/>
      <w:start w:val="4"/>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5"/>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4" Type="http://schemas.openxmlformats.org/officeDocument/2006/relationships/image" Target="media/image114.png"/><Relationship Id="rId158"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21" Type="http://schemas.openxmlformats.org/officeDocument/2006/relationships/hyperlink" Target="https://www.sec.gov/Archives/edgar/data/1780201/000155837021016885/tmb-20211003xex3d1.htm" TargetMode="External"/><Relationship Id="rId122" Type="http://schemas.openxmlformats.org/officeDocument/2006/relationships/hyperlink" Target="https://www.sec.gov/Archives/edgar/data/1780201/000155837025008916/tmb-20250623xex3d2.htm" TargetMode="External"/><Relationship Id="rId123" Type="http://schemas.openxmlformats.org/officeDocument/2006/relationships/hyperlink" Target="https://www.sec.gov/Archives/edgar/data/1780201/000155837021016885/tmb-20211003xex3d2.htm" TargetMode="External"/><Relationship Id="rId124" Type="http://schemas.openxmlformats.org/officeDocument/2006/relationships/hyperlink" Target="https://www.sec.gov/Archives/edgar/data/1780201/000119312521314481/d189376dex41.htm" TargetMode="External"/><Relationship Id="rId125" Type="http://schemas.openxmlformats.org/officeDocument/2006/relationships/hyperlink" Target="https://www.sec.gov/Archives/edgar/data/1780201/000119312521296901/d189376dex42.htm" TargetMode="External"/><Relationship Id="rId126" Type="http://schemas.openxmlformats.org/officeDocument/2006/relationships/hyperlink" Target="https://www.sec.gov/Archives/edgar/data/1780201/000155837022004959/tmb-20220102xex4d3.htm" TargetMode="External"/><Relationship Id="rId127" Type="http://schemas.openxmlformats.org/officeDocument/2006/relationships/hyperlink" Target="https://www.sec.gov/Archives/edgar/data/1780201/000155837022004959/tmb-20220102xex10d1.htm" TargetMode="External"/><Relationship Id="rId128" Type="http://schemas.openxmlformats.org/officeDocument/2006/relationships/hyperlink" Target="https://www.sec.gov/Archives/edgar/data/1780201/000119312521314481/d189376dex102.htm" TargetMode="External"/><Relationship Id="rId129" Type="http://schemas.openxmlformats.org/officeDocument/2006/relationships/hyperlink" Target="https://www.sec.gov/Archives/edgar/data/1780201/000119312521314481/d189376dex103.htm" TargetMode="External"/><Relationship Id="rId130" Type="http://schemas.openxmlformats.org/officeDocument/2006/relationships/hyperlink" Target="https://www.sec.gov/Archives/edgar/data/1780201/000119312521296901/d189376dex104.htm" TargetMode="External"/><Relationship Id="rId131" Type="http://schemas.openxmlformats.org/officeDocument/2006/relationships/hyperlink" Target="https://www.sec.gov/Archives/edgar/data/1780201/000119312521296901/d189376dex105.htm" TargetMode="External"/><Relationship Id="rId132" Type="http://schemas.openxmlformats.org/officeDocument/2006/relationships/hyperlink" Target="https://www.sec.gov/Archives/edgar/data/1780201/000119312521314481/d189376dex108.htm" TargetMode="External"/><Relationship Id="rId133" Type="http://schemas.openxmlformats.org/officeDocument/2006/relationships/hyperlink" Target="https://www.sec.gov/Archives/edgar/data/1780201/000119312521296901/d189376dex1017.htm" TargetMode="External"/><Relationship Id="rId135" Type="http://schemas.openxmlformats.org/officeDocument/2006/relationships/hyperlink" Target="https://www.sec.gov/Archives/edgar/data/1780201/000119312521296901/d189376dex1018.htm" TargetMode="External"/><Relationship Id="rId136" Type="http://schemas.openxmlformats.org/officeDocument/2006/relationships/hyperlink" Target="https://www.sec.gov/Archives/edgar/data/1780201/000155837021016885/tmb-20211003xex10d9.htm" TargetMode="External"/><Relationship Id="rId137" Type="http://schemas.openxmlformats.org/officeDocument/2006/relationships/hyperlink" Target="https://www.sec.gov/Archives/edgar/data/1780201/000155837021016885/tmb-20211003xex10d10.htm" TargetMode="External"/><Relationship Id="rId138" Type="http://schemas.openxmlformats.org/officeDocument/2006/relationships/hyperlink" Target="https://www.sec.gov/Archives/edgar/data/1780201/000155837022009114/tmb-20220403xex10d2.htm" TargetMode="External"/><Relationship Id="rId139" Type="http://schemas.openxmlformats.org/officeDocument/2006/relationships/hyperlink" Target="https://www.sec.gov/Archives/edgar/data/1780201/000155837022009114/tmb-20220403xex10d8.htm" TargetMode="External"/><Relationship Id="rId140" Type="http://schemas.openxmlformats.org/officeDocument/2006/relationships/hyperlink" Target="https://www.sec.gov/Archives/edgar/data/1780201/000155837022009114/tmb-20220403xex10d9.htm" TargetMode="External"/><Relationship Id="rId141" Type="http://schemas.openxmlformats.org/officeDocument/2006/relationships/hyperlink" Target="https://www.sec.gov/Archives/edgar/data/1780201/000110465923021498/tm236633d1_ex10-1.htm" TargetMode="External"/><Relationship Id="rId142" Type="http://schemas.openxmlformats.org/officeDocument/2006/relationships/hyperlink" Target="https://www.sec.gov/Archives/edgar/data/1780201/000110465923028988/tm238619d1_ex10-1.htm" TargetMode="External"/><Relationship Id="rId143" Type="http://schemas.openxmlformats.org/officeDocument/2006/relationships/hyperlink" Target="https://www.sec.gov/Archives/edgar/data/1780201/000110465923028988/tm238619d1_ex10-2.htm" TargetMode="External"/><Relationship Id="rId144" Type="http://schemas.openxmlformats.org/officeDocument/2006/relationships/hyperlink" Target="https://www.sec.gov/Archives/edgar/data/1780201/000155837023003722/tmb-20230101xex10d26.htm" TargetMode="External"/><Relationship Id="rId145" Type="http://schemas.openxmlformats.org/officeDocument/2006/relationships/hyperlink" Target="https://www.sec.gov/Archives/edgar/data/1780201/000155837023013940/tmb-20230702xex10d1.htm" TargetMode="External"/><Relationship Id="rId146" Type="http://schemas.openxmlformats.org/officeDocument/2006/relationships/hyperlink" Target="https://www.sec.gov/Archives/edgar/data/1780201/000155837023011074/tmb-20230613xex10d1.htm" TargetMode="External"/><Relationship Id="rId147" Type="http://schemas.openxmlformats.org/officeDocument/2006/relationships/hyperlink" Target="https://www.sec.gov/Archives/edgar/data/1780201/000110465924002761/tm242508d1_ex10-1.htm" TargetMode="External"/><Relationship Id="rId148" Type="http://schemas.openxmlformats.org/officeDocument/2006/relationships/hyperlink" Target="https://www.sec.gov/Archives/edgar/data/1780201/000110465924002761/tm242508d1_ex10-2.htm" TargetMode="External"/><Relationship Id="rId149" Type="http://schemas.openxmlformats.org/officeDocument/2006/relationships/hyperlink" Target="https://www.sec.gov/Archives/edgar/data/1780201/000155837024002599/tmb-20231231xex10d37.htm" TargetMode="External"/><Relationship Id="rId150" Type="http://schemas.openxmlformats.org/officeDocument/2006/relationships/hyperlink" Target="https://www.sec.gov/Archives/edgar/data/1780201/000155837025007733/tmb-20250330xex10d2.htm" TargetMode="External"/><Relationship Id="rId151" Type="http://schemas.openxmlformats.org/officeDocument/2006/relationships/hyperlink" Target="https://www.sec.gov/Archives/edgar/data/1780201/000155837025007733/tmb-20250330xex10d3.htm" TargetMode="External"/><Relationship Id="rId152" Type="http://schemas.openxmlformats.org/officeDocument/2006/relationships/hyperlink" Target="https://www.sec.gov/Archives/edgar/data/1780201/000110465925078565/tm2523497d1_ex10-1.htm" TargetMode="External"/><Relationship Id="rId153" Type="http://schemas.openxmlformats.org/officeDocument/2006/relationships/hyperlink" Target="https://www.sec.gov/Archives/edgar/data/0001780201/000110465925110337/lvlu-20250928xex10d3.htm" TargetMode="External"/><Relationship Id="rId154" Type="http://schemas.openxmlformats.org/officeDocument/2006/relationships/hyperlink" Target="https://www.sec.gov/Archives/edgar/data/1780201/000110465925099031/tmb-20251011xex10d1.htm" TargetMode="External"/><Relationship Id="rId155" Type="http://schemas.openxmlformats.org/officeDocument/2006/relationships/hyperlink" Target="https://www.sec.gov/Archives/edgar/data/0001780201/000110465926005773/lvlu-20260122xex10d1.htm" TargetMode="External"/><Relationship Id="rId156" Type="http://schemas.openxmlformats.org/officeDocument/2006/relationships/hyperlink" Target="https://www.sec.gov/Archives/edgar/data/1780201/000110465926010874/tm265328d1_ex10-1.htm" TargetMode="External"/><Relationship Id="rId157" Type="http://schemas.openxmlformats.org/officeDocument/2006/relationships/hyperlink" Target="https://www.sec.gov/Archives/edgar/data/1780201/000155837025003845/tmb-20241229xex19.htm" TargetMode="External"/><Relationship Id="rId159" Type="http://schemas.openxmlformats.org/officeDocument/2006/relationships/hyperlink" Target="https://www.sec.gov/Archives/edgar/data/1780201/000155837025003845/tmb-20241229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2026-03-30T17:18:45Z</dcterms:created>
  <dcterms:modified xsi:type="dcterms:W3CDTF">2026-03-30T17:18:45Z</dcterms:modified>
</cp:coreProperties>
</file>