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vlu-20260329x10q.htm"/>
        <w:bookmarkStart w:id="1" w:name="kslvlu20260329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center"/>
        <w:rPr>
          <w:rFonts w:ascii="Times New Roman;Times;serif" w:hAnsi="Times New Roman;Times;serif"/>
          <w:b/>
          <w:sz w:val="32"/>
        </w:rPr>
      </w:pPr>
      <w:bookmarkStart w:id="2" w:name="_6509bd94_968c_452c_83db_988f6f93676c"/>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pBdr>
          <w:bottom w:val="single" w:sz="2" w:space="1" w:color="000000"/>
        </w:pBdr>
        <w:bidi w:val="0"/>
        <w:spacing w:before="0" w:after="120"/>
        <w:ind w:left="0" w:right="0" w:hanging="0"/>
        <w:jc w:val="center"/>
        <w:rPr/>
      </w:pPr>
      <w:r>
        <w:rPr/>
        <w:t>​</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3eIbE1NCZ0SM67uTuKbvsA_1_1"/>
      <w:bookmarkStart w:id="4" w:name="_3586bc08_409e_4c84_8a88_f77b88341fc0"/>
      <w:bookmarkStart w:id="5" w:name="Tc_3eIbE1NCZ0SM67uTuKbvsA_1_1"/>
      <w:bookmarkStart w:id="6" w:name="_3586bc08_409e_4c84_8a88_f77b88341fc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29,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H6lIrkNoskmjsOrKqI7kxQ_1_1"/>
      <w:bookmarkStart w:id="8" w:name="_047cb49a_6ab8_464c_b721_f28d7010be9a"/>
      <w:bookmarkStart w:id="9" w:name="Tc_H6lIrkNoskmjsOrKqI7kxQ_1_1"/>
      <w:bookmarkStart w:id="10" w:name="_047cb49a_6ab8_464c_b721_f28d7010be9a"/>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___________________ to ___________________</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001-41059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022350" cy="439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2350" cy="43942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C8hYrFoFpU-OpAyedeQUUA_4_1"/>
      <w:bookmarkStart w:id="12" w:name="Tc_-u3Djjx6AUyufy9hX-fMTg_4_0"/>
      <w:bookmarkStart w:id="13" w:name="Tc_QG-uy6VgCkix2gmxozj13Q_3_0"/>
      <w:bookmarkStart w:id="14" w:name="Tc_bIcl5WM__UK4OMyt0WUFKA_2_1"/>
      <w:bookmarkStart w:id="15" w:name="Tc_wgJ1jlrZGk6thlMO7AmTtg_2_0"/>
      <w:bookmarkStart w:id="16" w:name="_2e8a7c68_cf3e_42ac_9fdd_aa4211875b32"/>
      <w:bookmarkStart w:id="17" w:name="Tc_C8hYrFoFpU-OpAyedeQUUA_4_1"/>
      <w:bookmarkStart w:id="18" w:name="Tc_-u3Djjx6AUyufy9hX-fMTg_4_0"/>
      <w:bookmarkStart w:id="19" w:name="Tc_QG-uy6VgCkix2gmxozj13Q_3_0"/>
      <w:bookmarkStart w:id="20" w:name="Tc_bIcl5WM__UK4OMyt0WUFKA_2_1"/>
      <w:bookmarkStart w:id="21" w:name="Tc_wgJ1jlrZGk6thlMO7AmTtg_2_0"/>
      <w:bookmarkStart w:id="22" w:name="_2e8a7c68_cf3e_42ac_9fdd_aa4211875b32"/>
      <w:bookmarkEnd w:id="17"/>
      <w:bookmarkEnd w:id="18"/>
      <w:bookmarkEnd w:id="19"/>
      <w:bookmarkEnd w:id="20"/>
      <w:bookmarkEnd w:id="21"/>
      <w:bookmarkEnd w:id="22"/>
    </w:p>
    <w:tbl>
      <w:tblPr>
        <w:tblW w:w="4412" w:type="dxa"/>
        <w:jc w:val="left"/>
        <w:tblInd w:w="0" w:type="dxa"/>
        <w:tblLayout w:type="fixed"/>
        <w:tblCellMar>
          <w:top w:w="0" w:type="dxa"/>
          <w:left w:w="0" w:type="dxa"/>
          <w:bottom w:w="0" w:type="dxa"/>
          <w:right w:w="0" w:type="dxa"/>
        </w:tblCellMar>
      </w:tblPr>
      <w:tblGrid>
        <w:gridCol w:w="29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858010" cy="29210"/>
                      <wp:effectExtent l="0" t="0" r="0" b="0"/>
                      <wp:wrapNone/>
                      <wp:docPr id="2" name="Frame1"/>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43610" cy="29210"/>
                      <wp:effectExtent l="0" t="0" r="0" b="0"/>
                      <wp:wrapNone/>
                      <wp:docPr id="3" name="Frame2"/>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20-8442468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195 Humboldt Avenue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Chico, California</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95928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(530) 343-3545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mCgh-EDaeEGKOIKYmczUeg_1_2"/>
      <w:bookmarkStart w:id="24" w:name="Tc_x2foc9V6BUKDe-MDDGvVVg_0_2"/>
      <w:bookmarkStart w:id="25" w:name="Tc_2zXADwexnEi37O0ZbZiTCQ_0_1"/>
      <w:bookmarkStart w:id="26" w:name="Tc_W-Xg1XzyvUuZs1C0KAtPAA_0_0"/>
      <w:bookmarkStart w:id="27" w:name="_0b67aa34_c169_429a_9db4_f6b2e7cf4f7b"/>
      <w:bookmarkStart w:id="28" w:name="Tc_mCgh-EDaeEGKOIKYmczUeg_1_2"/>
      <w:bookmarkStart w:id="29" w:name="Tc_x2foc9V6BUKDe-MDDGvVVg_0_2"/>
      <w:bookmarkStart w:id="30" w:name="Tc_2zXADwexnEi37O0ZbZiTCQ_0_1"/>
      <w:bookmarkStart w:id="31" w:name="Tc_W-Xg1XzyvUuZs1C0KAtPAA_0_0"/>
      <w:bookmarkStart w:id="32" w:name="_0b67aa34_c169_429a_9db4_f6b2e7cf4f7b"/>
      <w:bookmarkEnd w:id="28"/>
      <w:bookmarkEnd w:id="29"/>
      <w:bookmarkEnd w:id="30"/>
      <w:bookmarkEnd w:id="31"/>
      <w:bookmarkEnd w:id="32"/>
    </w:p>
    <w:tbl>
      <w:tblPr>
        <w:tblW w:w="8208" w:type="dxa"/>
        <w:jc w:val="left"/>
        <w:tblInd w:w="0" w:type="dxa"/>
        <w:tblLayout w:type="fixed"/>
        <w:tblCellMar>
          <w:top w:w="28" w:type="dxa"/>
          <w:left w:w="28" w:type="dxa"/>
          <w:bottom w:w="28" w:type="dxa"/>
          <w:right w:w="28" w:type="dxa"/>
        </w:tblCellMar>
      </w:tblPr>
      <w:tblGrid>
        <w:gridCol w:w="3166"/>
        <w:gridCol w:w="1561"/>
        <w:gridCol w:w="3481"/>
      </w:tblGrid>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LVLU</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 w:name="Tc_zKmVFMJvv06rqeRV45DDJQ_3_0"/>
      <w:bookmarkStart w:id="34" w:name="Tc_JcpsBmMy00-R0x4LlbyyfA_2_3"/>
      <w:bookmarkStart w:id="35" w:name="Tc_ORnOtvMtv0a9iqzKdNbIRQ_2_1"/>
      <w:bookmarkStart w:id="36" w:name="Tc_KzCFD-SCd0iRYiABPmEbQg_1_4"/>
      <w:bookmarkStart w:id="37" w:name="Tc_C9RM58QXs0W5r8j9jbUkzw_1_3"/>
      <w:bookmarkStart w:id="38" w:name="Tc_5UEnRfkQ-EO3mVk5ieqbYg_1_1"/>
      <w:bookmarkStart w:id="39" w:name="Tc_U6y3AFoUu066t54IF2WUZA_1_0"/>
      <w:bookmarkStart w:id="40" w:name="_802ff32d_6140_48ee_8c95_2d5393b7c353"/>
      <w:bookmarkStart w:id="41" w:name="Tc_zKmVFMJvv06rqeRV45DDJQ_3_0"/>
      <w:bookmarkStart w:id="42" w:name="Tc_JcpsBmMy00-R0x4LlbyyfA_2_3"/>
      <w:bookmarkStart w:id="43" w:name="Tc_ORnOtvMtv0a9iqzKdNbIRQ_2_1"/>
      <w:bookmarkStart w:id="44" w:name="Tc_KzCFD-SCd0iRYiABPmEbQg_1_4"/>
      <w:bookmarkStart w:id="45" w:name="Tc_C9RM58QXs0W5r8j9jbUkzw_1_3"/>
      <w:bookmarkStart w:id="46" w:name="Tc_5UEnRfkQ-EO3mVk5ieqbYg_1_1"/>
      <w:bookmarkStart w:id="47" w:name="Tc_U6y3AFoUu066t54IF2WUZA_1_0"/>
      <w:bookmarkStart w:id="48" w:name="_802ff32d_6140_48ee_8c95_2d5393b7c353"/>
      <w:bookmarkEnd w:id="41"/>
      <w:bookmarkEnd w:id="42"/>
      <w:bookmarkEnd w:id="43"/>
      <w:bookmarkEnd w:id="44"/>
      <w:bookmarkEnd w:id="45"/>
      <w:bookmarkEnd w:id="46"/>
      <w:bookmarkEnd w:id="47"/>
      <w:bookmarkEnd w:id="48"/>
    </w:p>
    <w:tbl>
      <w:tblPr>
        <w:tblW w:w="4905" w:type="dxa"/>
        <w:jc w:val="left"/>
        <w:tblInd w:w="0" w:type="dxa"/>
        <w:tblLayout w:type="fixed"/>
        <w:tblCellMar>
          <w:top w:w="0" w:type="dxa"/>
          <w:left w:w="0" w:type="dxa"/>
          <w:bottom w:w="0" w:type="dxa"/>
          <w:right w:w="0" w:type="dxa"/>
        </w:tblCellMar>
      </w:tblPr>
      <w:tblGrid>
        <w:gridCol w:w="2056"/>
        <w:gridCol w:w="316"/>
        <w:gridCol w:w="14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May 8, 2026, there were 2,864,405 shares of the registrant’s common stock, par value $0.001, outstanding. The foregoing reflects the reverse stock split of the registrant’s common stock that became effective as of the opening of business on July 7, 2025.</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 w:name="TOC"/>
      <w:bookmarkStart w:id="50" w:name="_9c2e33be_67e3_4036_ab1a_853f24f6faee"/>
      <w:bookmarkEnd w:id="49"/>
      <w:bookmarkEnd w:id="50"/>
      <w:r>
        <w:rPr>
          <w:rFonts w:ascii="Times New Roman;Times;serif" w:hAnsi="Times New Roman;Times;serif"/>
          <w:b/>
          <w:sz w:val="20"/>
        </w:rPr>
        <w:t>TABLE OF CONTENTS</w:t>
      </w:r>
    </w:p>
    <w:p>
      <w:pPr>
        <w:pStyle w:val="TextBody"/>
        <w:bidi w:val="0"/>
        <w:spacing w:before="0" w:after="0"/>
        <w:ind w:left="0" w:right="0" w:hanging="0"/>
        <w:jc w:val="right"/>
        <w:rPr/>
      </w:pPr>
      <w:r>
        <w:rPr/>
        <w:t>​</w:t>
      </w:r>
    </w:p>
    <w:tbl>
      <w:tblPr>
        <w:tblW w:w="8913" w:type="dxa"/>
        <w:jc w:val="left"/>
        <w:tblInd w:w="0" w:type="dxa"/>
        <w:tblLayout w:type="fixed"/>
        <w:tblCellMar>
          <w:top w:w="0" w:type="dxa"/>
          <w:left w:w="0" w:type="dxa"/>
          <w:bottom w:w="0" w:type="dxa"/>
          <w:right w:w="0" w:type="dxa"/>
        </w:tblCellMar>
      </w:tblPr>
      <w:tblGrid>
        <w:gridCol w:w="976"/>
        <w:gridCol w:w="7366"/>
        <w:gridCol w:w="571"/>
      </w:tblGrid>
      <w:tr>
        <w:trPr/>
        <w:tc>
          <w:tcPr>
            <w:tcW w:w="97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0"/>
                </w:rPr>
                <w:t>PART I</w:t>
              </w:r>
            </w:hyperlink>
          </w:p>
        </w:tc>
        <w:tc>
          <w:tcPr>
            <w:tcW w:w="7366"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0"/>
                </w:rPr>
                <w:t>FINANCIAL INFORMATION</w:t>
              </w:r>
            </w:hyperlink>
          </w:p>
        </w:tc>
        <w:tc>
          <w:tcPr>
            <w:tcW w:w="57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BalanceSheets_47417">
              <w:r>
                <w:rPr>
                  <w:rStyle w:val="InternetLink"/>
                  <w:rFonts w:ascii="Times New Roman;Times;serif" w:hAnsi="Times New Roman;Times;serif"/>
                  <w:b w:val="false"/>
                  <w:i w:val="false"/>
                  <w:caps w:val="false"/>
                  <w:smallCaps w:val="false"/>
                  <w:sz w:val="20"/>
                </w:rPr>
                <w:t xml:space="preserve">Condensed Consolidated Balance Sheets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Operat">
              <w:r>
                <w:rPr>
                  <w:rStyle w:val="InternetLink"/>
                  <w:rFonts w:ascii="Times New Roman;Times;serif" w:hAnsi="Times New Roman;Times;serif"/>
                  <w:b w:val="false"/>
                  <w:i w:val="false"/>
                  <w:caps w:val="false"/>
                  <w:smallCaps w:val="false"/>
                  <w:sz w:val="20"/>
                </w:rPr>
                <w:t xml:space="preserve">Condensed Consolidated Statements of Operations and Comprehensive Loss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ockholdersEquity_449154">
              <w:r>
                <w:rPr>
                  <w:rStyle w:val="InternetLink"/>
                  <w:rFonts w:ascii="Times New Roman;Times;serif" w:hAnsi="Times New Roman;Times;serif"/>
                  <w:b w:val="false"/>
                  <w:i w:val="false"/>
                  <w:caps w:val="false"/>
                  <w:smallCaps w:val="false"/>
                  <w:sz w:val="20"/>
                </w:rPr>
                <w:t xml:space="preserve">Condensed Consolidated Statements of Stockholders’ Equity (Deficit)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DescriptionofBusinessOrganizationandLiqu">
              <w:r>
                <w:rPr>
                  <w:rStyle w:val="InternetLink"/>
                  <w:rFonts w:ascii="Times New Roman;Times;serif" w:hAnsi="Times New Roman;Times;serif"/>
                  <w:b w:val="false"/>
                  <w:i w:val="false"/>
                  <w:caps w:val="false"/>
                  <w:smallCaps w:val="false"/>
                  <w:sz w:val="20"/>
                </w:rPr>
                <w:t>Notes to Condensed Consolidated Financial Statements</w:t>
              </w:r>
            </w:hyperlink>
            <w:r>
              <w:rPr>
                <w:rFonts w:ascii="Times New Roman;Times;serif" w:hAnsi="Times New Roman;Times;serif"/>
                <w:sz w:val="20"/>
              </w:rPr>
              <w:t xml:space="preserve">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7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7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PARTIIOTHERINFORMATION_807620">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_807620">
              <w:r>
                <w:rPr>
                  <w:rStyle w:val="InternetLink"/>
                  <w:caps w:val="false"/>
                  <w:smallCaps w:val="false"/>
                </w:rPr>
                <w:t> </w:t>
              </w:r>
            </w:hyperlink>
            <w:hyperlink w:anchor="PARTIIOTHERINFORMATION_807620">
              <w:r>
                <w:rPr>
                  <w:rStyle w:val="InternetLink"/>
                  <w:rFonts w:ascii="Times New Roman;Times;serif" w:hAnsi="Times New Roman;Times;serif"/>
                  <w:b/>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7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76"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76"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76"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76"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76" w:type="dxa"/>
            <w:tcBorders/>
            <w:vAlign w:val="center"/>
          </w:tcPr>
          <w:p>
            <w:pPr>
              <w:pStyle w:val="TableContents"/>
              <w:bidi w:val="0"/>
              <w:spacing w:before="0" w:after="0"/>
              <w:ind w:left="0" w:right="0" w:hanging="0"/>
              <w:jc w:val="left"/>
              <w:rPr/>
            </w:pPr>
            <w:hyperlink w:anchor="SIGNATURES_813814">
              <w:r>
                <w:rPr>
                  <w:rStyle w:val="InternetLink"/>
                  <w:rFonts w:ascii="Times New Roman;Times;serif" w:hAnsi="Times New Roman;Times;serif"/>
                  <w:b w:val="false"/>
                  <w:i w:val="false"/>
                  <w:caps w:val="false"/>
                  <w:smallCaps w:val="false"/>
                  <w:sz w:val="20"/>
                </w:rPr>
                <w:t>Signatures</w:t>
              </w:r>
            </w:hyperlink>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_8a990c73_cf45_4a54_9418_c751ad25da99"/>
      <w:bookmarkEnd w:id="51"/>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equity-based compensation expense, business strategy, plans, market growth and our objectives for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 factors discussed in Part I, Item 1A, “Risk Factors” in our Annual Report on Form 10-K for the year ended December 28, 2025, and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before="0" w:after="240"/>
        <w:ind w:left="0" w:right="0" w:hanging="0"/>
        <w:jc w:val="both"/>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2" w:name="_ad66dde8_afcc_470a_8381_b1a7d0dfb7c9"/>
      <w:bookmarkEnd w:id="52"/>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w:t>
      </w:r>
      <w:r>
        <w:rPr>
          <w:rFonts w:ascii="Times New Roman;Times;serif" w:hAnsi="Times New Roman;Times;serif"/>
          <w:sz w:val="20"/>
        </w:rPr>
        <w:t>Unless otherwise indicated or the context otherwise requires, references in this Quarterly Report on Form 10-Q to the terms “Lulus,” “we,” “us,” “our,” or the “Company” refer to Lulu’s Fashion Lounge Holdings, Inc. and its consolidated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fiscal year is a “52-53 week” year ending on the Sunday closest in proximity to December 31, such that each quarterly period will be 13 weeks in length, except during a 53-week year when the fourth quarter will be 14 weeks. References herein to “fiscal 2026” and/or “2026” relate to the year ending January 3, 2027 and “fiscal 2025” and/or “2025” relate to the year ended December 28, 2025. The fiscal year ending January 3, 2027 consists of 53-weeks, and the fiscal year ended December 28, 2025 consists of 52-weeks</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Free Cash Flow which are non-GAAP (generally accepted accounting principles in the United States of America) financial measures. See “Management’s Discussion and Analysis of Financial Condition and Results of Operations—Non-GAAP Financial Measures” for a discussion of Adjusted EBITDA, Adjusted EBITDA Margin and Free Cash Flow, as well as a reconciliation of net loss and comprehensive loss to Adjusted EBITDA and a reconciliation to non-GAAP Free Cash Flow from net cash provided by operating activities. Net loss and comprehensive loss is the most directly comparable financial measure to Adjusted EBITDA and net cash provided by operating activities is the most directly comparable financial measure to Free Cash Flow, required by, or presented in accordance with GAAP</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PARTIFINANCIALINFORMATION_735439"/>
      <w:bookmarkStart w:id="54" w:name="_cac67997_6839_423c_84ec_05194447e805"/>
      <w:bookmarkEnd w:id="53"/>
      <w:bookmarkEnd w:id="54"/>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val="false"/>
          <w:sz w:val="20"/>
        </w:rPr>
      </w:pPr>
      <w:bookmarkStart w:id="55" w:name="Item1FinancialStatements_894553"/>
      <w:bookmarkEnd w:id="55"/>
      <w:r>
        <w:rPr>
          <w:rFonts w:ascii="Times New Roman;Times;serif" w:hAnsi="Times New Roman;Times;serif"/>
          <w:b w:val="false"/>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56" w:name="CondensedConsolidatedBalanceSheets_47417"/>
      <w:bookmarkEnd w:id="5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 w:name="Tc_9xzSvypccUybsqTID_sigg_41_5"/>
      <w:bookmarkStart w:id="58" w:name="Tc_n8oOQMACEEiUtSEkpv7z1g_41_2"/>
      <w:bookmarkStart w:id="59" w:name="Tc_Qd2Cn7OigkWt_u2P5Pb9Zg_41_0"/>
      <w:bookmarkStart w:id="60" w:name="Tc_SJzAIlNZjkmve1V4f02pDw_40_0"/>
      <w:bookmarkStart w:id="61" w:name="Tc_wxh3UVmqkUm3-5aCaqU11Q_39_0"/>
      <w:bookmarkStart w:id="62" w:name="Tc_X41oKYrBv0GpRKFC4GYErA_38_0"/>
      <w:bookmarkStart w:id="63" w:name="Tc_jw4BhppxEkaFSFgBtWjwXw_37_0"/>
      <w:bookmarkStart w:id="64" w:name="Tc_FS8m31CAYk-tE4QK31TkyQ_36_0"/>
      <w:bookmarkStart w:id="65" w:name="_5c34f0e9_0c5d_4ec0_bd65_b4c89893608d_3"/>
      <w:bookmarkStart w:id="66" w:name="_5c34f0e9_0c5d_4ec0_bd65_b4c89893608d_2"/>
      <w:bookmarkStart w:id="67" w:name="_5c34f0e9_0c5d_4ec0_bd65_b4c89893608d"/>
      <w:bookmarkStart w:id="68" w:name="Tc_ffj3bzzaqkOcVDG1ZHBkEg_35_0"/>
      <w:bookmarkStart w:id="69" w:name="Tc_ggtXTzfIlkaPvydH5SimNQ_34_0"/>
      <w:bookmarkStart w:id="70" w:name="Tc_ksd_Fu1SI0mTrL-rAuq5wA_32_0"/>
      <w:bookmarkStart w:id="71" w:name="Tc_b_SryJSRjk-S10MOECXYcQ_31_0"/>
      <w:bookmarkStart w:id="72" w:name="Tc_okZoez1Ra0mbKlqsqAq2KQ_30_0"/>
      <w:bookmarkStart w:id="73" w:name="Tc_ft3oN-2em0WdCAaOk6XBRg_29_0"/>
      <w:bookmarkStart w:id="74" w:name="Tc_1sEqnU4TwEuYHWwU47XwJQ_28_0"/>
      <w:bookmarkStart w:id="75" w:name="Tc_BIgONhyR00eR-jeYqi4Ciw_27_0"/>
      <w:bookmarkStart w:id="76" w:name="Tc_StoozmlpV0uv5dqoj1AS7Q_26_0"/>
      <w:bookmarkStart w:id="77" w:name="Tc_rY-dULKjNEWwhqcIy2bdlA_25_0"/>
      <w:bookmarkStart w:id="78" w:name="Tc_z0uFpQbjX0eKk2T-8wsiZg_24_0"/>
      <w:bookmarkStart w:id="79" w:name="Tc_iigEHZRh00eAmd0JoIOKXw_23_0"/>
      <w:bookmarkStart w:id="80" w:name="Tc_HUcNBYMGRkCeSmeANwN08A_22_5"/>
      <w:bookmarkStart w:id="81" w:name="Tc_5gxStiMOKE-8rzvVjdG4Ag_22_2"/>
      <w:bookmarkStart w:id="82" w:name="Tc_nLpHRW3CAEGhvVfDR8qLoA_22_0"/>
      <w:bookmarkStart w:id="83" w:name="Tc_vOcvvZZhGkeduIx3PuNtxw_21_0"/>
      <w:bookmarkStart w:id="84" w:name="Tc_Qw6ModbgjEKSqrtYfI54mg_20_0"/>
      <w:bookmarkStart w:id="85" w:name="Tc_L9zIEd1ej0CWb-rmJdsQpg_18_5"/>
      <w:bookmarkStart w:id="86" w:name="Tc_RUKyjbLPuUaz_aNfqmY2Dw_18_2"/>
      <w:bookmarkStart w:id="87" w:name="Tc_lv3SPc_PGUqCmh5_sWlsog_18_0"/>
      <w:bookmarkStart w:id="88" w:name="Tc_wq3sZ1XeZ0SiMjFcHgSYiQ_17_0"/>
      <w:bookmarkStart w:id="89" w:name="Tc_lvAwk5SJdkavES-saLEvYg_16_0"/>
      <w:bookmarkStart w:id="90" w:name="Tc_xHZaEd06f0qrYgaO3PCeig_15_0"/>
      <w:bookmarkStart w:id="91" w:name="Tc_BmbyErqanE-xU65EBvSI8A_14_0"/>
      <w:bookmarkStart w:id="92" w:name="Tc_nxNDwkQvZ0O2C-lMAYMYjA_13_0"/>
      <w:bookmarkStart w:id="93" w:name="Tc_A6VokWXADkKQov0bpS6u2w_12_0"/>
      <w:bookmarkStart w:id="94" w:name="Tc_ojROX7WfykuxncPLqhf67Q_11_0"/>
      <w:bookmarkStart w:id="95" w:name="Tc_S2FIqI9f8k-SBV1ip8RdyA_10_0"/>
      <w:bookmarkStart w:id="96" w:name="Tc_u9gyk5yMKUme0D6MzEpNIQ_9_0"/>
      <w:bookmarkStart w:id="97" w:name="Tc_1wip4C-KJEy73of6OlQ8sw_8_0"/>
      <w:bookmarkStart w:id="98" w:name="Tc_lKh7gq_Lt06OoXNVSy7Ggw_7_0"/>
      <w:bookmarkStart w:id="99" w:name="Tc_mzbgBwG8NU-NUy2F4gB25w_6_0"/>
      <w:bookmarkStart w:id="100" w:name="Tc_tJgPjliytEK8Wk9zA8G4oA_5_5"/>
      <w:bookmarkStart w:id="101" w:name="Tc_ZrN_khx1i0uaXj7-iR8hng_5_2"/>
      <w:bookmarkStart w:id="102" w:name="Tc_TxhmlmiJDE2OZq4nkbbwRQ_5_0"/>
      <w:bookmarkStart w:id="103" w:name="Tc_pSglU6uLOkiphKqogjNIbQ_4_0"/>
      <w:bookmarkStart w:id="104" w:name="Tc_lkD9MxVviUyw3F07ioRZfg_3_0"/>
      <w:bookmarkStart w:id="105" w:name="Tc_r_lHWSh04UCmXPM3A-8ybA_2_5"/>
      <w:bookmarkStart w:id="106" w:name="Tc_DTU2thk5EU6VgYo8yGt2CQ_2_2"/>
      <w:bookmarkStart w:id="107" w:name="Tc_mqzalVHG6kqzZTKtz6Q1Tw_1_5"/>
      <w:bookmarkStart w:id="108" w:name="Tc_lZ4S--i4rkunKOY5TcuuCQ_1_2"/>
      <w:bookmarkStart w:id="109" w:name="_d943d634_e491_424e_b4f8_b70695775018"/>
      <w:bookmarkStart w:id="110" w:name="Tc_9xzSvypccUybsqTID_sigg_41_5"/>
      <w:bookmarkStart w:id="111" w:name="Tc_n8oOQMACEEiUtSEkpv7z1g_41_2"/>
      <w:bookmarkStart w:id="112" w:name="Tc_Qd2Cn7OigkWt_u2P5Pb9Zg_41_0"/>
      <w:bookmarkStart w:id="113" w:name="Tc_SJzAIlNZjkmve1V4f02pDw_40_0"/>
      <w:bookmarkStart w:id="114" w:name="Tc_wxh3UVmqkUm3-5aCaqU11Q_39_0"/>
      <w:bookmarkStart w:id="115" w:name="Tc_X41oKYrBv0GpRKFC4GYErA_38_0"/>
      <w:bookmarkStart w:id="116" w:name="Tc_jw4BhppxEkaFSFgBtWjwXw_37_0"/>
      <w:bookmarkStart w:id="117" w:name="Tc_FS8m31CAYk-tE4QK31TkyQ_36_0"/>
      <w:bookmarkStart w:id="118" w:name="_5c34f0e9_0c5d_4ec0_bd65_b4c89893608d_3"/>
      <w:bookmarkStart w:id="119" w:name="_5c34f0e9_0c5d_4ec0_bd65_b4c89893608d_2"/>
      <w:bookmarkStart w:id="120" w:name="_5c34f0e9_0c5d_4ec0_bd65_b4c89893608d"/>
      <w:bookmarkStart w:id="121" w:name="Tc_ffj3bzzaqkOcVDG1ZHBkEg_35_0"/>
      <w:bookmarkStart w:id="122" w:name="Tc_ggtXTzfIlkaPvydH5SimNQ_34_0"/>
      <w:bookmarkStart w:id="123" w:name="Tc_ksd_Fu1SI0mTrL-rAuq5wA_32_0"/>
      <w:bookmarkStart w:id="124" w:name="Tc_b_SryJSRjk-S10MOECXYcQ_31_0"/>
      <w:bookmarkStart w:id="125" w:name="Tc_okZoez1Ra0mbKlqsqAq2KQ_30_0"/>
      <w:bookmarkStart w:id="126" w:name="Tc_ft3oN-2em0WdCAaOk6XBRg_29_0"/>
      <w:bookmarkStart w:id="127" w:name="Tc_1sEqnU4TwEuYHWwU47XwJQ_28_0"/>
      <w:bookmarkStart w:id="128" w:name="Tc_BIgONhyR00eR-jeYqi4Ciw_27_0"/>
      <w:bookmarkStart w:id="129" w:name="Tc_StoozmlpV0uv5dqoj1AS7Q_26_0"/>
      <w:bookmarkStart w:id="130" w:name="Tc_rY-dULKjNEWwhqcIy2bdlA_25_0"/>
      <w:bookmarkStart w:id="131" w:name="Tc_z0uFpQbjX0eKk2T-8wsiZg_24_0"/>
      <w:bookmarkStart w:id="132" w:name="Tc_iigEHZRh00eAmd0JoIOKXw_23_0"/>
      <w:bookmarkStart w:id="133" w:name="Tc_HUcNBYMGRkCeSmeANwN08A_22_5"/>
      <w:bookmarkStart w:id="134" w:name="Tc_5gxStiMOKE-8rzvVjdG4Ag_22_2"/>
      <w:bookmarkStart w:id="135" w:name="Tc_nLpHRW3CAEGhvVfDR8qLoA_22_0"/>
      <w:bookmarkStart w:id="136" w:name="Tc_vOcvvZZhGkeduIx3PuNtxw_21_0"/>
      <w:bookmarkStart w:id="137" w:name="Tc_Qw6ModbgjEKSqrtYfI54mg_20_0"/>
      <w:bookmarkStart w:id="138" w:name="Tc_L9zIEd1ej0CWb-rmJdsQpg_18_5"/>
      <w:bookmarkStart w:id="139" w:name="Tc_RUKyjbLPuUaz_aNfqmY2Dw_18_2"/>
      <w:bookmarkStart w:id="140" w:name="Tc_lv3SPc_PGUqCmh5_sWlsog_18_0"/>
      <w:bookmarkStart w:id="141" w:name="Tc_wq3sZ1XeZ0SiMjFcHgSYiQ_17_0"/>
      <w:bookmarkStart w:id="142" w:name="Tc_lvAwk5SJdkavES-saLEvYg_16_0"/>
      <w:bookmarkStart w:id="143" w:name="Tc_xHZaEd06f0qrYgaO3PCeig_15_0"/>
      <w:bookmarkStart w:id="144" w:name="Tc_BmbyErqanE-xU65EBvSI8A_14_0"/>
      <w:bookmarkStart w:id="145" w:name="Tc_nxNDwkQvZ0O2C-lMAYMYjA_13_0"/>
      <w:bookmarkStart w:id="146" w:name="Tc_A6VokWXADkKQov0bpS6u2w_12_0"/>
      <w:bookmarkStart w:id="147" w:name="Tc_ojROX7WfykuxncPLqhf67Q_11_0"/>
      <w:bookmarkStart w:id="148" w:name="Tc_S2FIqI9f8k-SBV1ip8RdyA_10_0"/>
      <w:bookmarkStart w:id="149" w:name="Tc_u9gyk5yMKUme0D6MzEpNIQ_9_0"/>
      <w:bookmarkStart w:id="150" w:name="Tc_1wip4C-KJEy73of6OlQ8sw_8_0"/>
      <w:bookmarkStart w:id="151" w:name="Tc_lKh7gq_Lt06OoXNVSy7Ggw_7_0"/>
      <w:bookmarkStart w:id="152" w:name="Tc_mzbgBwG8NU-NUy2F4gB25w_6_0"/>
      <w:bookmarkStart w:id="153" w:name="Tc_tJgPjliytEK8Wk9zA8G4oA_5_5"/>
      <w:bookmarkStart w:id="154" w:name="Tc_ZrN_khx1i0uaXj7-iR8hng_5_2"/>
      <w:bookmarkStart w:id="155" w:name="Tc_TxhmlmiJDE2OZq4nkbbwRQ_5_0"/>
      <w:bookmarkStart w:id="156" w:name="Tc_pSglU6uLOkiphKqogjNIbQ_4_0"/>
      <w:bookmarkStart w:id="157" w:name="Tc_lkD9MxVviUyw3F07ioRZfg_3_0"/>
      <w:bookmarkStart w:id="158" w:name="Tc_r_lHWSh04UCmXPM3A-8ybA_2_5"/>
      <w:bookmarkStart w:id="159" w:name="Tc_DTU2thk5EU6VgYo8yGt2CQ_2_2"/>
      <w:bookmarkStart w:id="160" w:name="Tc_mqzalVHG6kqzZTKtz6Q1Tw_1_5"/>
      <w:bookmarkStart w:id="161" w:name="Tc_lZ4S--i4rkunKOY5TcuuCQ_1_2"/>
      <w:bookmarkStart w:id="162" w:name="_d943d634_e491_424e_b4f8_b706957750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tbl>
      <w:tblPr>
        <w:tblW w:w="10205" w:type="dxa"/>
        <w:jc w:val="left"/>
        <w:tblInd w:w="0" w:type="dxa"/>
        <w:tblLayout w:type="fixed"/>
        <w:tblCellMar>
          <w:top w:w="0" w:type="dxa"/>
          <w:left w:w="0" w:type="dxa"/>
          <w:bottom w:w="0" w:type="dxa"/>
          <w:right w:w="0" w:type="dxa"/>
        </w:tblCellMar>
      </w:tblPr>
      <w:tblGrid>
        <w:gridCol w:w="7509"/>
        <w:gridCol w:w="346"/>
        <w:gridCol w:w="196"/>
        <w:gridCol w:w="783"/>
        <w:gridCol w:w="346"/>
        <w:gridCol w:w="196"/>
        <w:gridCol w:w="829"/>
      </w:tblGrid>
      <w:tr>
        <w:trPr/>
        <w:tc>
          <w:tcPr>
            <w:tcW w:w="7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68215" cy="175260"/>
                      <wp:effectExtent l="0" t="0" r="0" b="0"/>
                      <wp:wrapNone/>
                      <wp:docPr id="4" name="Frame3"/>
                      <a:graphic xmlns:a="http://schemas.openxmlformats.org/drawingml/2006/main">
                        <a:graphicData uri="http://schemas.microsoft.com/office/word/2010/wordprocessingShape">
                          <wps:wsp>
                            <wps:cNvSpPr txBox="1"/>
                            <wps:spPr>
                              <a:xfrm>
                                <a:off x="0" y="0"/>
                                <a:ext cx="4768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7205" cy="175260"/>
                      <wp:effectExtent l="0" t="0" r="0" b="0"/>
                      <wp:wrapNone/>
                      <wp:docPr id="7" name="Frame6"/>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6415" cy="175260"/>
                      <wp:effectExtent l="0" t="0" r="0" b="0"/>
                      <wp:wrapNone/>
                      <wp:docPr id="10" name="Frame9"/>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9"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29,</w:t>
            </w:r>
          </w:p>
        </w:tc>
        <w:tc>
          <w:tcPr>
            <w:tcW w:w="346" w:type="dxa"/>
            <w:tcBorders/>
            <w:vAlign w:val="center"/>
          </w:tcPr>
          <w:p>
            <w:pPr>
              <w:pStyle w:val="TableContents"/>
              <w:bidi w:val="0"/>
              <w:spacing w:before="0" w:after="1"/>
              <w:ind w:left="0" w:right="0" w:hanging="0"/>
              <w:jc w:val="left"/>
              <w:rPr/>
            </w:pPr>
            <w:r>
              <w:rPr/>
              <w:t>  ​ ​ ​</w:t>
            </w:r>
          </w:p>
        </w:tc>
        <w:tc>
          <w:tcPr>
            <w:tcW w:w="102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28,</w:t>
            </w:r>
          </w:p>
        </w:tc>
      </w:tr>
      <w:tr>
        <w:trPr/>
        <w:tc>
          <w:tcPr>
            <w:tcW w:w="75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1"/>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7509"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0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pPr>
            <w:r>
              <w:rPr/>
              <w:t>  ​</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2,661</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1,712</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32,444</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2,197</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1,028</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Prepaids and other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3,606</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43,648</w:t>
            </w:r>
          </w:p>
        </w:tc>
      </w:tr>
      <w:tr>
        <w:trPr/>
        <w:tc>
          <w:tcPr>
            <w:tcW w:w="750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2,311</w:t>
            </w:r>
          </w:p>
        </w:tc>
      </w:tr>
      <w:tr>
        <w:trPr/>
        <w:tc>
          <w:tcPr>
            <w:tcW w:w="750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7,056</w:t>
            </w:r>
          </w:p>
        </w:tc>
      </w:tr>
      <w:tr>
        <w:trPr/>
        <w:tc>
          <w:tcPr>
            <w:tcW w:w="750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Tradename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r>
      <w:tr>
        <w:trPr/>
        <w:tc>
          <w:tcPr>
            <w:tcW w:w="750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2,680</w:t>
            </w:r>
          </w:p>
        </w:tc>
      </w:tr>
      <w:tr>
        <w:trPr/>
        <w:tc>
          <w:tcPr>
            <w:tcW w:w="750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right-of-use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14,521</w:t>
            </w:r>
          </w:p>
        </w:tc>
      </w:tr>
      <w:tr>
        <w:trPr/>
        <w:tc>
          <w:tcPr>
            <w:tcW w:w="750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100,485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89,364</w:t>
            </w:r>
          </w:p>
        </w:tc>
      </w:tr>
      <w:tr>
        <w:trPr/>
        <w:tc>
          <w:tcPr>
            <w:tcW w:w="75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09"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 (Deficit)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  ​</w:t>
            </w:r>
          </w:p>
        </w:tc>
      </w:tr>
      <w:tr>
        <w:trPr/>
        <w:tc>
          <w:tcPr>
            <w:tcW w:w="750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pPr>
            <w:r>
              <w:rPr/>
              <w:t>  ​</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8,340</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17,411</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Returns reserve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10,289</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Stored-value card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18,231</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 Based Revolving Credit Facility – 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13,328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14,390</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6,402</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90,753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75,063</w:t>
            </w:r>
          </w:p>
        </w:tc>
      </w:tr>
      <w:tr>
        <w:trPr/>
        <w:tc>
          <w:tcPr>
            <w:tcW w:w="750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10,389</w:t>
            </w:r>
          </w:p>
        </w:tc>
      </w:tr>
      <w:tr>
        <w:trPr/>
        <w:tc>
          <w:tcPr>
            <w:tcW w:w="750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898</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101,010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86,350</w:t>
            </w:r>
          </w:p>
        </w:tc>
      </w:tr>
      <w:tr>
        <w:trPr/>
        <w:tc>
          <w:tcPr>
            <w:tcW w:w="750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  ​</w:t>
            </w:r>
          </w:p>
        </w:tc>
      </w:tr>
      <w:tr>
        <w:trPr/>
        <w:tc>
          <w:tcPr>
            <w:tcW w:w="75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0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 (deficit):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$0.001 par value, 10,000,000 shares authorized, and no shares issued or outstanding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09"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6"/>
              </w:rPr>
              <w:t>Common stock: $0.001</w:t>
            </w:r>
            <w:r>
              <w:rPr>
                <w:rFonts w:ascii="Times New Roman;Times;serif" w:hAnsi="Times New Roman;Times;serif"/>
                <w:sz w:val="20"/>
              </w:rPr>
              <w:t xml:space="preserve"> </w:t>
            </w:r>
            <w:r>
              <w:rPr>
                <w:rFonts w:ascii="Times New Roman;Times;serif" w:hAnsi="Times New Roman;Times;serif"/>
                <w:sz w:val="16"/>
              </w:rPr>
              <w:t>par value, 250,000,000</w:t>
            </w:r>
            <w:r>
              <w:rPr>
                <w:rFonts w:ascii="Times New Roman;Times;serif" w:hAnsi="Times New Roman;Times;serif"/>
                <w:sz w:val="20"/>
              </w:rPr>
              <w:t xml:space="preserve"> </w:t>
            </w:r>
            <w:r>
              <w:rPr>
                <w:rFonts w:ascii="Times New Roman;Times;serif" w:hAnsi="Times New Roman;Times;serif"/>
                <w:sz w:val="16"/>
              </w:rPr>
              <w:t>shares authorized;</w:t>
            </w:r>
            <w:r>
              <w:rPr>
                <w:rFonts w:ascii="Times New Roman;Times;serif" w:hAnsi="Times New Roman;Times;serif"/>
                <w:color w:val="FF0000"/>
                <w:sz w:val="20"/>
              </w:rPr>
              <w:t xml:space="preserve"> </w:t>
            </w:r>
            <w:r>
              <w:rPr>
                <w:rFonts w:ascii="Times New Roman;Times;serif" w:hAnsi="Times New Roman;Times;serif"/>
                <w:sz w:val="16"/>
              </w:rPr>
              <w:t>3,003,494</w:t>
            </w:r>
            <w:r>
              <w:rPr>
                <w:rFonts w:ascii="Times New Roman;Times;serif" w:hAnsi="Times New Roman;Times;serif"/>
                <w:sz w:val="20"/>
              </w:rPr>
              <w:t xml:space="preserve"> </w:t>
            </w:r>
            <w:r>
              <w:rPr>
                <w:rFonts w:ascii="Times New Roman;Times;serif" w:hAnsi="Times New Roman;Times;serif"/>
                <w:sz w:val="16"/>
              </w:rPr>
              <w:t>and 2,971,729</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March 29, 2026 and December 28, 2025, respectively</w:t>
            </w:r>
            <w:r>
              <w:rPr>
                <w:rFonts w:ascii="Times New Roman;Times;serif" w:hAnsi="Times New Roman;Times;serif"/>
                <w:sz w:val="12"/>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267,108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266,557</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(266,294)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(262,204)</w:t>
            </w:r>
          </w:p>
        </w:tc>
      </w:tr>
      <w:tr>
        <w:trPr/>
        <w:tc>
          <w:tcPr>
            <w:tcW w:w="750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146,555 shares outstanding as of March 29, 2026 and December 28, 2025</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(1,382)</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 (deficit)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3,014</w:t>
            </w:r>
          </w:p>
        </w:tc>
      </w:tr>
      <w:tr>
        <w:trPr/>
        <w:tc>
          <w:tcPr>
            <w:tcW w:w="750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Total liabilities and stockholders'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100,485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89,364</w:t>
            </w:r>
          </w:p>
        </w:tc>
      </w:tr>
    </w:tbl>
    <w:p>
      <w:pPr>
        <w:pStyle w:val="TextBody"/>
        <w:bidi w:val="0"/>
        <w:spacing w:before="0" w:after="240"/>
        <w:ind w:left="0" w:right="0" w:firstLine="360"/>
        <w:jc w:val="center"/>
        <w:rPr/>
      </w:pPr>
      <w:r>
        <w:rPr/>
        <w:t>​</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Shares have been adjusted to reflect the 1-for-15 reverse stock split that became effective as of the opening of business on July 7, 2025. Refer to Note 8, </w:t>
            </w:r>
            <w:r>
              <w:rPr>
                <w:rFonts w:ascii="Times New Roman;Times;serif" w:hAnsi="Times New Roman;Times;serif"/>
                <w:b w:val="false"/>
                <w:i/>
                <w:sz w:val="16"/>
              </w:rPr>
              <w:t>Stockholders’ Equity</w:t>
            </w:r>
            <w:r>
              <w:rPr>
                <w:caps w:val="false"/>
                <w:smallCaps w:val="false"/>
              </w:rPr>
              <w:t xml:space="preserve"> </w:t>
            </w:r>
            <w:r>
              <w:rPr>
                <w:rFonts w:ascii="Times New Roman;Times;serif" w:hAnsi="Times New Roman;Times;serif"/>
                <w:b w:val="false"/>
                <w:i/>
                <w:sz w:val="16"/>
              </w:rPr>
              <w:t xml:space="preserve">(Deficit) </w:t>
            </w:r>
            <w:r>
              <w:rPr>
                <w:rFonts w:ascii="Times New Roman;Times;serif" w:hAnsi="Times New Roman;Times;serif"/>
                <w:b w:val="false"/>
                <w:i w:val="false"/>
                <w:caps w:val="false"/>
                <w:smallCaps w:val="false"/>
                <w:sz w:val="16"/>
              </w:rPr>
              <w:t>in the accompanying Notes to the Condensed Consolidated Financial Statements for additional details.</w:t>
            </w:r>
          </w:p>
        </w:tc>
      </w:tr>
    </w:tbl>
    <w:p>
      <w:pPr>
        <w:pStyle w:val="TextBody"/>
        <w:bidi w:val="0"/>
        <w:spacing w:before="0" w:after="240"/>
        <w:ind w:left="0" w:right="0" w:firstLine="36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3" w:name="_55fe3a35_791c_42c2_84f8_b37f58dce340"/>
      <w:bookmarkEnd w:id="163"/>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164" w:name="CondensedConsolidatedStatementsofOperat"/>
      <w:bookmarkEnd w:id="164"/>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65" w:name="Tc_1BU1RXVIR0m0edr-T9r1BA_19_0"/>
      <w:bookmarkStart w:id="166" w:name="Tc_KDSptplJ7ku-NHJKKoUhag_18_0"/>
      <w:bookmarkStart w:id="167" w:name="Tc_gXMvdlC5Lk6J_2BvNhghyA_17_5"/>
      <w:bookmarkStart w:id="168" w:name="Tc_DLyobBu5DU6pVbYtt7BHdA_17_2"/>
      <w:bookmarkStart w:id="169" w:name="Tc_T3jp0M22FEC91YL1S7pRtg_17_0"/>
      <w:bookmarkStart w:id="170" w:name="Tc_kPU4PNQpE0atrITNudvgOA_16_5"/>
      <w:bookmarkStart w:id="171" w:name="Tc_po3rWpChzEagyXwlAD_qbw_16_2"/>
      <w:bookmarkStart w:id="172" w:name="Tc_cbua9O4V4kaShG5odPq__Q_16_0"/>
      <w:bookmarkStart w:id="173" w:name="Tc_8QumuaAi-E-Npl4xpKfWaA_14_0"/>
      <w:bookmarkStart w:id="174" w:name="Tc_paIdUrH2VkyzIYMl0qCQ0g_13_0"/>
      <w:bookmarkStart w:id="175" w:name="Tc_ugXBGDTYrEu9_cgMsomfHA_12_0"/>
      <w:bookmarkStart w:id="176" w:name="Tc_QyvmBOyyl0iFQRu8y2A-JA_11_0"/>
      <w:bookmarkStart w:id="177" w:name="Tc_YklZLt89cE6FSu2LOyKU3Q_10_0"/>
      <w:bookmarkStart w:id="178" w:name="Tc_ggxwuYfuZESej4Rq2YTuyQ_9_0"/>
      <w:bookmarkStart w:id="179" w:name="Tc_4fbP6YfAsUSISe-sVW4wow_8_0"/>
      <w:bookmarkStart w:id="180" w:name="Tc_TqOlrW5-dk66zO_aS7ASdw_7_0"/>
      <w:bookmarkStart w:id="181" w:name="Tc_8GRITzbnX0WQZbChgMfaGw_6_0"/>
      <w:bookmarkStart w:id="182" w:name="Tc_1QmahnxKxEuWDabXjp8uzg_5_0"/>
      <w:bookmarkStart w:id="183" w:name="Tc_Dv1XKtIMN0KfBKFNSJjJaw_4_5"/>
      <w:bookmarkStart w:id="184" w:name="Tc_8i11aeGS2UmA3j7DbvToAQ_4_2"/>
      <w:bookmarkStart w:id="185" w:name="Tc_VoCrKY2dI0CHs9oPKkgxwg_4_0"/>
      <w:bookmarkStart w:id="186" w:name="Tc_mtRvLEe2aEu1qmSp0N_l6A_3_5"/>
      <w:bookmarkStart w:id="187" w:name="Tc_C_0yAknJtkuNXCyK1Wnxhg_3_2"/>
      <w:bookmarkStart w:id="188" w:name="Tc_o1fqtvCs4E63SzxUqVng7Q_2_5"/>
      <w:bookmarkStart w:id="189" w:name="Tc_9XlcFX4xTE-2NJdgf-q-_w_2_2"/>
      <w:bookmarkStart w:id="190" w:name="Tc_ZiRtpGEOQUOviB8sxo3FRA_1_2"/>
      <w:bookmarkStart w:id="191" w:name="_e8f6d46b_2ef9_4048_b0c0_1a6772b8081e"/>
      <w:bookmarkStart w:id="192" w:name="Tc_1BU1RXVIR0m0edr-T9r1BA_19_0"/>
      <w:bookmarkStart w:id="193" w:name="Tc_KDSptplJ7ku-NHJKKoUhag_18_0"/>
      <w:bookmarkStart w:id="194" w:name="Tc_gXMvdlC5Lk6J_2BvNhghyA_17_5"/>
      <w:bookmarkStart w:id="195" w:name="Tc_DLyobBu5DU6pVbYtt7BHdA_17_2"/>
      <w:bookmarkStart w:id="196" w:name="Tc_T3jp0M22FEC91YL1S7pRtg_17_0"/>
      <w:bookmarkStart w:id="197" w:name="Tc_kPU4PNQpE0atrITNudvgOA_16_5"/>
      <w:bookmarkStart w:id="198" w:name="Tc_po3rWpChzEagyXwlAD_qbw_16_2"/>
      <w:bookmarkStart w:id="199" w:name="Tc_cbua9O4V4kaShG5odPq__Q_16_0"/>
      <w:bookmarkStart w:id="200" w:name="Tc_8QumuaAi-E-Npl4xpKfWaA_14_0"/>
      <w:bookmarkStart w:id="201" w:name="Tc_paIdUrH2VkyzIYMl0qCQ0g_13_0"/>
      <w:bookmarkStart w:id="202" w:name="Tc_ugXBGDTYrEu9_cgMsomfHA_12_0"/>
      <w:bookmarkStart w:id="203" w:name="Tc_QyvmBOyyl0iFQRu8y2A-JA_11_0"/>
      <w:bookmarkStart w:id="204" w:name="Tc_YklZLt89cE6FSu2LOyKU3Q_10_0"/>
      <w:bookmarkStart w:id="205" w:name="Tc_ggxwuYfuZESej4Rq2YTuyQ_9_0"/>
      <w:bookmarkStart w:id="206" w:name="Tc_4fbP6YfAsUSISe-sVW4wow_8_0"/>
      <w:bookmarkStart w:id="207" w:name="Tc_TqOlrW5-dk66zO_aS7ASdw_7_0"/>
      <w:bookmarkStart w:id="208" w:name="Tc_8GRITzbnX0WQZbChgMfaGw_6_0"/>
      <w:bookmarkStart w:id="209" w:name="Tc_1QmahnxKxEuWDabXjp8uzg_5_0"/>
      <w:bookmarkStart w:id="210" w:name="Tc_Dv1XKtIMN0KfBKFNSJjJaw_4_5"/>
      <w:bookmarkStart w:id="211" w:name="Tc_8i11aeGS2UmA3j7DbvToAQ_4_2"/>
      <w:bookmarkStart w:id="212" w:name="Tc_VoCrKY2dI0CHs9oPKkgxwg_4_0"/>
      <w:bookmarkStart w:id="213" w:name="Tc_mtRvLEe2aEu1qmSp0N_l6A_3_5"/>
      <w:bookmarkStart w:id="214" w:name="Tc_C_0yAknJtkuNXCyK1Wnxhg_3_2"/>
      <w:bookmarkStart w:id="215" w:name="Tc_o1fqtvCs4E63SzxUqVng7Q_2_5"/>
      <w:bookmarkStart w:id="216" w:name="Tc_9XlcFX4xTE-2NJdgf-q-_w_2_2"/>
      <w:bookmarkStart w:id="217" w:name="Tc_ZiRtpGEOQUOviB8sxo3FRA_1_2"/>
      <w:bookmarkStart w:id="218" w:name="_e8f6d46b_2ef9_4048_b0c0_1a6772b8081e"/>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tbl>
      <w:tblPr>
        <w:tblW w:w="7087" w:type="dxa"/>
        <w:jc w:val="left"/>
        <w:tblInd w:w="0" w:type="dxa"/>
        <w:tblLayout w:type="fixed"/>
        <w:tblCellMar>
          <w:top w:w="0" w:type="dxa"/>
          <w:left w:w="0" w:type="dxa"/>
          <w:bottom w:w="0" w:type="dxa"/>
          <w:right w:w="0" w:type="dxa"/>
        </w:tblCellMar>
      </w:tblPr>
      <w:tblGrid>
        <w:gridCol w:w="4006"/>
        <w:gridCol w:w="346"/>
        <w:gridCol w:w="211"/>
        <w:gridCol w:w="931"/>
        <w:gridCol w:w="346"/>
        <w:gridCol w:w="211"/>
        <w:gridCol w:w="103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43810" cy="175260"/>
                      <wp:effectExtent l="0" t="0" r="0" b="0"/>
                      <wp:wrapNone/>
                      <wp:docPr id="11" name="Frame10"/>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1185" cy="175260"/>
                      <wp:effectExtent l="0" t="0" r="0" b="0"/>
                      <wp:wrapNone/>
                      <wp:docPr id="14"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57,531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64,155</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38,314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25,841</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15,915</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18,044</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(8,118)</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before benefit (provision) for income taxes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(8,072)</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w:t>
            </w:r>
          </w:p>
        </w:tc>
      </w:tr>
      <w:tr>
        <w:trPr/>
        <w:tc>
          <w:tcPr>
            <w:tcW w:w="400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006" w:type="dxa"/>
            <w:tcBorders/>
            <w:shd w:fill="CCEEFF" w:val="clear"/>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Basic loss per share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4006" w:type="dxa"/>
            <w:tcBorders/>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Diluted loss per share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4006" w:type="dxa"/>
            <w:tcBorders/>
            <w:shd w:fill="CCEEFF" w:val="clear"/>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Basic weighted-average shares outstanding</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2,793,574</w:t>
            </w:r>
          </w:p>
        </w:tc>
      </w:tr>
      <w:tr>
        <w:trPr/>
        <w:tc>
          <w:tcPr>
            <w:tcW w:w="4006" w:type="dxa"/>
            <w:tcBorders/>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Diluted weighted-average shares outstanding</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2,839,190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2,793,574</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Amounts have been adjusted to reflect the 1-for-15 reverse stock split that became effective as of the opening of business on July 7, 2025. Refer to Note 8, </w:t>
            </w:r>
            <w:r>
              <w:rPr>
                <w:rFonts w:ascii="Times New Roman;Times;serif" w:hAnsi="Times New Roman;Times;serif"/>
                <w:b w:val="false"/>
                <w:i/>
                <w:sz w:val="16"/>
              </w:rPr>
              <w:t>Stockholders’ Equity (Deficit)</w:t>
            </w:r>
            <w:r>
              <w:rPr>
                <w:caps w:val="false"/>
                <w:smallCaps w:val="false"/>
              </w:rPr>
              <w:t xml:space="preserve"> </w:t>
            </w:r>
            <w:r>
              <w:rPr>
                <w:rFonts w:ascii="Times New Roman;Times;serif" w:hAnsi="Times New Roman;Times;serif"/>
                <w:b w:val="false"/>
                <w:i w:val="false"/>
                <w:caps w:val="false"/>
                <w:smallCaps w:val="false"/>
                <w:sz w:val="16"/>
              </w:rPr>
              <w:t>in the accompanying Notes to the Condensed Consolidated Financial Statements for additional details.</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9" w:name="_8b49768b_5154_4374_9a03_80d3f9b29273"/>
      <w:bookmarkEnd w:id="219"/>
      <w:r>
        <w:rPr>
          <w:rFonts w:ascii="Times New Roman;Times;serif" w:hAnsi="Times New Roman;Times;serif"/>
          <w:b/>
          <w:sz w:val="20"/>
        </w:rPr>
        <w:t xml:space="preserve">LULU’S FASHION LOUNGE HOLDINGS, INC. </w:t>
      </w:r>
    </w:p>
    <w:p>
      <w:pPr>
        <w:pStyle w:val="TextBody"/>
        <w:bidi w:val="0"/>
        <w:spacing w:before="0" w:after="0"/>
        <w:ind w:left="0" w:right="0" w:hanging="0"/>
        <w:jc w:val="center"/>
        <w:rPr>
          <w:rFonts w:ascii="Times New Roman;Times;serif" w:hAnsi="Times New Roman;Times;serif"/>
          <w:sz w:val="20"/>
        </w:rPr>
      </w:pPr>
      <w:bookmarkStart w:id="220" w:name="StockholdersEquity_449154"/>
      <w:bookmarkEnd w:id="220"/>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r>
        <w:rPr>
          <w:rFonts w:ascii="Times New Roman;Times;serif" w:hAnsi="Times New Roman;Times;serif"/>
          <w:b/>
          <w:sz w:val="20"/>
        </w:rPr>
        <w:t>(Deficit)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21" w:name="Tc_auKo6s_T00Cnj31yZQA0Cg_11_18"/>
      <w:bookmarkStart w:id="222" w:name="Tc_SdAOgS5ydUyi8PQjOV13mA_11_15"/>
      <w:bookmarkStart w:id="223" w:name="Tc_YoYU3K5XU0mpWr8srZcKsw_11_10"/>
      <w:bookmarkStart w:id="224" w:name="Tc_BMpcTD6kMEO96wCZM26MMQ_11_7"/>
      <w:bookmarkStart w:id="225" w:name="Tc_qit0n-3RnkCsUYFlxN7Vgw_11_4"/>
      <w:bookmarkStart w:id="226" w:name="Tc_a9zv5p3Mo0Owkz1NzcIPZQ_11_0"/>
      <w:bookmarkStart w:id="227" w:name="Tc__dMn3z4zqkKeaXxxZ1ZpQQ_10_16"/>
      <w:bookmarkStart w:id="228" w:name="Tc_s8gsaORdTUSJxqKYILsc7g_10_13"/>
      <w:bookmarkStart w:id="229" w:name="Tc_NlyK949_0kenqLTreUgeaQ_10_8"/>
      <w:bookmarkStart w:id="230" w:name="Tc_s254KVjOD0CtuziCf_r8Bw_10_5"/>
      <w:bookmarkStart w:id="231" w:name="Tc_8fsF5EJIyUqOiLCffbV7vQ_10_2"/>
      <w:bookmarkStart w:id="232" w:name="Tc_iWOaPe-rbU-yEbNz0i47Pg_10_0"/>
      <w:bookmarkStart w:id="233" w:name="Tc_X9tCytundkaalcIGGhEdFw_9_16"/>
      <w:bookmarkStart w:id="234" w:name="Tc_v2BYVw2QMECc7kUrVcQC4g_9_13"/>
      <w:bookmarkStart w:id="235" w:name="Tc_4LtsDaBfkU2sdL8bqFdXYQ_9_11"/>
      <w:bookmarkStart w:id="236" w:name="Tc_zsCxGKK4EUGk_1RN9yedOA_9_5"/>
      <w:bookmarkStart w:id="237" w:name="Tc_lgPf-PI5V0Sy_vr3_7kRmg_9_2"/>
      <w:bookmarkStart w:id="238" w:name="Tc_7PUhadOo90idpDL9A_ZNxg_9_0"/>
      <w:bookmarkStart w:id="239" w:name="Tc_Pwbu6z1ZUEqdKHirUETNSw_8_16"/>
      <w:bookmarkStart w:id="240" w:name="Tc_WU7AenZ6-E24BQD3eW5OvA_8_13"/>
      <w:bookmarkStart w:id="241" w:name="Tc_q3CiUx4AREaVZ5PLnkCJWA_8_11"/>
      <w:bookmarkStart w:id="242" w:name="Tc_DWqh2tDt-EeoeapX3eQgAA_8_0"/>
      <w:bookmarkStart w:id="243" w:name="Tc_OGSw6jSzTEujwny_qbpsUg_7_16"/>
      <w:bookmarkStart w:id="244" w:name="Tc_dBYz78I3c0ed1CH8R6WhEA_7_13"/>
      <w:bookmarkStart w:id="245" w:name="Tc_XcwS6LXMpkCjRDiAV7LBDQ_7_11"/>
      <w:bookmarkStart w:id="246" w:name="Tc_aGTKfDO0DEGec0vbOq-X_g_7_5"/>
      <w:bookmarkStart w:id="247" w:name="Tc_X6kVUuYXfkWaP5D4b-9BOw_7_0"/>
      <w:bookmarkStart w:id="248" w:name="Tc_ZFOGgAGS5EarPeQ_iQJOBw_6_19"/>
      <w:bookmarkStart w:id="249" w:name="Tc_tuc27SskNE6jMxz8Dcuxjw_6_16"/>
      <w:bookmarkStart w:id="250" w:name="Tc_Yc8z8rwmiECqQqOD1Bv_NQ_6_13"/>
      <w:bookmarkStart w:id="251" w:name="Tc_BHT5ZBGMCkiQpU4W2FePWg_6_11"/>
      <w:bookmarkStart w:id="252" w:name="Tc_r-Kl_dijlkGMQwOv8crn2Q_6_8"/>
      <w:bookmarkStart w:id="253" w:name="Tc_cG5BsYwHAE6ssUf1EuNh2w_6_5"/>
      <w:bookmarkStart w:id="254" w:name="Tc_E5r6EgWUjUezJcMxeL7HMA_6_0"/>
      <w:bookmarkStart w:id="255" w:name="Tc_JQ5d-Bi5kUmVfW-5KeqEwg_5_18"/>
      <w:bookmarkStart w:id="256" w:name="Tc_x90Nowz79kSnx9g2CI4nlg_5_15"/>
      <w:bookmarkStart w:id="257" w:name="Tc_PqqsFWw9y06-JCq8qAzdhA_5_10"/>
      <w:bookmarkStart w:id="258" w:name="Tc_XfNFZ4sXi0eu6J3Ql_0r0w_5_7"/>
      <w:bookmarkStart w:id="259" w:name="Tc_9y8lH_pkf0-o3a5bxWstEA_5_4"/>
      <w:bookmarkStart w:id="260" w:name="Tc_7KNjezlD202Dmn51LgjojA_5_0"/>
      <w:bookmarkStart w:id="261" w:name="Tc_4zIHi21gEkG7E6r5Nvz3xg_4_18"/>
      <w:bookmarkStart w:id="262" w:name="Tc_lUsBhVoh306u-rK75dRt9w_4_15"/>
      <w:bookmarkStart w:id="263" w:name="Tc_tTfwweStckGDwACedhnQfg_4_13"/>
      <w:bookmarkStart w:id="264" w:name="Tc_EX3MlCcZLkSisP9j_wLCPw_4_10"/>
      <w:bookmarkStart w:id="265" w:name="Tc_i5zMP3ZqWkmfkNnk4WjJDQ_4_7"/>
      <w:bookmarkStart w:id="266" w:name="Tc_9LhPT89EGkq14lFH69_seQ_4_4"/>
      <w:bookmarkStart w:id="267" w:name="Tc_mRWLUnrM1UCMUrH_eNjJAQ_4_2"/>
      <w:bookmarkStart w:id="268" w:name="Tc_tvx5JsVC8EiRZzUZd0B-Vg_3_18"/>
      <w:bookmarkStart w:id="269" w:name="Tc__mr-oRnpVEWh9YJpIKBGlA_3_13"/>
      <w:bookmarkStart w:id="270" w:name="Tc_jFoSw1y9r0SekvAiAcAVjA_3_10"/>
      <w:bookmarkStart w:id="271" w:name="Tc_b88gjP60BEqTsLUIPz9TDg_3_7"/>
      <w:bookmarkStart w:id="272" w:name="Tc_d3mkImdQx0SWJN39VIgP7Q_3_2"/>
      <w:bookmarkStart w:id="273" w:name="Tc_vUC5edVJYkyyguVUMLQF6g_2_18"/>
      <w:bookmarkStart w:id="274" w:name="Tc_vk7ChyU7bUuvV0xad2BMBw_2_7"/>
      <w:bookmarkStart w:id="275" w:name="Tc_Hwwl_lN1mkin2s7HDQCJ9Q_1_2"/>
      <w:bookmarkStart w:id="276" w:name="_0546eec8_2122_4aba_8648_dcb761a56f8f"/>
      <w:bookmarkStart w:id="277" w:name="Tc_auKo6s_T00Cnj31yZQA0Cg_11_18"/>
      <w:bookmarkStart w:id="278" w:name="Tc_SdAOgS5ydUyi8PQjOV13mA_11_15"/>
      <w:bookmarkStart w:id="279" w:name="Tc_YoYU3K5XU0mpWr8srZcKsw_11_10"/>
      <w:bookmarkStart w:id="280" w:name="Tc_BMpcTD6kMEO96wCZM26MMQ_11_7"/>
      <w:bookmarkStart w:id="281" w:name="Tc_qit0n-3RnkCsUYFlxN7Vgw_11_4"/>
      <w:bookmarkStart w:id="282" w:name="Tc_a9zv5p3Mo0Owkz1NzcIPZQ_11_0"/>
      <w:bookmarkStart w:id="283" w:name="Tc__dMn3z4zqkKeaXxxZ1ZpQQ_10_16"/>
      <w:bookmarkStart w:id="284" w:name="Tc_s8gsaORdTUSJxqKYILsc7g_10_13"/>
      <w:bookmarkStart w:id="285" w:name="Tc_NlyK949_0kenqLTreUgeaQ_10_8"/>
      <w:bookmarkStart w:id="286" w:name="Tc_s254KVjOD0CtuziCf_r8Bw_10_5"/>
      <w:bookmarkStart w:id="287" w:name="Tc_8fsF5EJIyUqOiLCffbV7vQ_10_2"/>
      <w:bookmarkStart w:id="288" w:name="Tc_iWOaPe-rbU-yEbNz0i47Pg_10_0"/>
      <w:bookmarkStart w:id="289" w:name="Tc_X9tCytundkaalcIGGhEdFw_9_16"/>
      <w:bookmarkStart w:id="290" w:name="Tc_v2BYVw2QMECc7kUrVcQC4g_9_13"/>
      <w:bookmarkStart w:id="291" w:name="Tc_4LtsDaBfkU2sdL8bqFdXYQ_9_11"/>
      <w:bookmarkStart w:id="292" w:name="Tc_zsCxGKK4EUGk_1RN9yedOA_9_5"/>
      <w:bookmarkStart w:id="293" w:name="Tc_lgPf-PI5V0Sy_vr3_7kRmg_9_2"/>
      <w:bookmarkStart w:id="294" w:name="Tc_7PUhadOo90idpDL9A_ZNxg_9_0"/>
      <w:bookmarkStart w:id="295" w:name="Tc_Pwbu6z1ZUEqdKHirUETNSw_8_16"/>
      <w:bookmarkStart w:id="296" w:name="Tc_WU7AenZ6-E24BQD3eW5OvA_8_13"/>
      <w:bookmarkStart w:id="297" w:name="Tc_q3CiUx4AREaVZ5PLnkCJWA_8_11"/>
      <w:bookmarkStart w:id="298" w:name="Tc_DWqh2tDt-EeoeapX3eQgAA_8_0"/>
      <w:bookmarkStart w:id="299" w:name="Tc_OGSw6jSzTEujwny_qbpsUg_7_16"/>
      <w:bookmarkStart w:id="300" w:name="Tc_dBYz78I3c0ed1CH8R6WhEA_7_13"/>
      <w:bookmarkStart w:id="301" w:name="Tc_XcwS6LXMpkCjRDiAV7LBDQ_7_11"/>
      <w:bookmarkStart w:id="302" w:name="Tc_aGTKfDO0DEGec0vbOq-X_g_7_5"/>
      <w:bookmarkStart w:id="303" w:name="Tc_X6kVUuYXfkWaP5D4b-9BOw_7_0"/>
      <w:bookmarkStart w:id="304" w:name="Tc_ZFOGgAGS5EarPeQ_iQJOBw_6_19"/>
      <w:bookmarkStart w:id="305" w:name="Tc_tuc27SskNE6jMxz8Dcuxjw_6_16"/>
      <w:bookmarkStart w:id="306" w:name="Tc_Yc8z8rwmiECqQqOD1Bv_NQ_6_13"/>
      <w:bookmarkStart w:id="307" w:name="Tc_BHT5ZBGMCkiQpU4W2FePWg_6_11"/>
      <w:bookmarkStart w:id="308" w:name="Tc_r-Kl_dijlkGMQwOv8crn2Q_6_8"/>
      <w:bookmarkStart w:id="309" w:name="Tc_cG5BsYwHAE6ssUf1EuNh2w_6_5"/>
      <w:bookmarkStart w:id="310" w:name="Tc_E5r6EgWUjUezJcMxeL7HMA_6_0"/>
      <w:bookmarkStart w:id="311" w:name="Tc_JQ5d-Bi5kUmVfW-5KeqEwg_5_18"/>
      <w:bookmarkStart w:id="312" w:name="Tc_x90Nowz79kSnx9g2CI4nlg_5_15"/>
      <w:bookmarkStart w:id="313" w:name="Tc_PqqsFWw9y06-JCq8qAzdhA_5_10"/>
      <w:bookmarkStart w:id="314" w:name="Tc_XfNFZ4sXi0eu6J3Ql_0r0w_5_7"/>
      <w:bookmarkStart w:id="315" w:name="Tc_9y8lH_pkf0-o3a5bxWstEA_5_4"/>
      <w:bookmarkStart w:id="316" w:name="Tc_7KNjezlD202Dmn51LgjojA_5_0"/>
      <w:bookmarkStart w:id="317" w:name="Tc_4zIHi21gEkG7E6r5Nvz3xg_4_18"/>
      <w:bookmarkStart w:id="318" w:name="Tc_lUsBhVoh306u-rK75dRt9w_4_15"/>
      <w:bookmarkStart w:id="319" w:name="Tc_tTfwweStckGDwACedhnQfg_4_13"/>
      <w:bookmarkStart w:id="320" w:name="Tc_EX3MlCcZLkSisP9j_wLCPw_4_10"/>
      <w:bookmarkStart w:id="321" w:name="Tc_i5zMP3ZqWkmfkNnk4WjJDQ_4_7"/>
      <w:bookmarkStart w:id="322" w:name="Tc_9LhPT89EGkq14lFH69_seQ_4_4"/>
      <w:bookmarkStart w:id="323" w:name="Tc_mRWLUnrM1UCMUrH_eNjJAQ_4_2"/>
      <w:bookmarkStart w:id="324" w:name="Tc_tvx5JsVC8EiRZzUZd0B-Vg_3_18"/>
      <w:bookmarkStart w:id="325" w:name="Tc__mr-oRnpVEWh9YJpIKBGlA_3_13"/>
      <w:bookmarkStart w:id="326" w:name="Tc_jFoSw1y9r0SekvAiAcAVjA_3_10"/>
      <w:bookmarkStart w:id="327" w:name="Tc_b88gjP60BEqTsLUIPz9TDg_3_7"/>
      <w:bookmarkStart w:id="328" w:name="Tc_d3mkImdQx0SWJN39VIgP7Q_3_2"/>
      <w:bookmarkStart w:id="329" w:name="Tc_vUC5edVJYkyyguVUMLQF6g_2_18"/>
      <w:bookmarkStart w:id="330" w:name="Tc_vk7ChyU7bUuvV0xad2BMBw_2_7"/>
      <w:bookmarkStart w:id="331" w:name="Tc_Hwwl_lN1mkin2s7HDQCJ9Q_1_2"/>
      <w:bookmarkStart w:id="332" w:name="_0546eec8_2122_4aba_8648_dcb761a56f8f"/>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tbl>
      <w:tblPr>
        <w:tblW w:w="10205" w:type="dxa"/>
        <w:jc w:val="left"/>
        <w:tblInd w:w="0" w:type="dxa"/>
        <w:tblLayout w:type="fixed"/>
        <w:tblCellMar>
          <w:top w:w="0" w:type="dxa"/>
          <w:left w:w="0" w:type="dxa"/>
          <w:bottom w:w="0" w:type="dxa"/>
          <w:right w:w="0" w:type="dxa"/>
        </w:tblCellMar>
      </w:tblPr>
      <w:tblGrid>
        <w:gridCol w:w="2693"/>
        <w:gridCol w:w="226"/>
        <w:gridCol w:w="691"/>
        <w:gridCol w:w="346"/>
        <w:gridCol w:w="196"/>
        <w:gridCol w:w="375"/>
        <w:gridCol w:w="346"/>
        <w:gridCol w:w="181"/>
        <w:gridCol w:w="586"/>
        <w:gridCol w:w="346"/>
        <w:gridCol w:w="194"/>
        <w:gridCol w:w="677"/>
        <w:gridCol w:w="346"/>
        <w:gridCol w:w="654"/>
        <w:gridCol w:w="346"/>
        <w:gridCol w:w="181"/>
        <w:gridCol w:w="504"/>
        <w:gridCol w:w="346"/>
        <w:gridCol w:w="247"/>
        <w:gridCol w:w="724"/>
      </w:tblGrid>
      <w:tr>
        <w:trPr/>
        <w:tc>
          <w:tcPr>
            <w:tcW w:w="2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710055" cy="175260"/>
                      <wp:effectExtent l="0" t="0" r="0" b="0"/>
                      <wp:wrapNone/>
                      <wp:docPr id="18" name="Frame17"/>
                      <a:graphic xmlns:a="http://schemas.openxmlformats.org/drawingml/2006/main">
                        <a:graphicData uri="http://schemas.microsoft.com/office/word/2010/wordprocessingShape">
                          <wps:wsp>
                            <wps:cNvSpPr txBox="1"/>
                            <wps:spPr>
                              <a:xfrm>
                                <a:off x="0" y="0"/>
                                <a:ext cx="171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3510" cy="175260"/>
                      <wp:effectExtent l="0" t="0" r="0" b="0"/>
                      <wp:wrapNone/>
                      <wp:docPr id="19" name="Frame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38785" cy="175260"/>
                      <wp:effectExtent l="0" t="0" r="0" b="0"/>
                      <wp:wrapNone/>
                      <wp:docPr id="20" name="Frame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38125" cy="175260"/>
                      <wp:effectExtent l="0" t="0" r="0" b="0"/>
                      <wp:wrapNone/>
                      <wp:docPr id="23" name="Frame2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14935" cy="175260"/>
                      <wp:effectExtent l="0" t="0" r="0" b="0"/>
                      <wp:wrapNone/>
                      <wp:docPr id="25" name="Frame2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72110" cy="175260"/>
                      <wp:effectExtent l="0" t="0" r="0" b="0"/>
                      <wp:wrapNone/>
                      <wp:docPr id="26" name="Frame2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3190" cy="175260"/>
                      <wp:effectExtent l="0" t="0" r="0" b="0"/>
                      <wp:wrapNone/>
                      <wp:docPr id="28" name="Frame27"/>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29895" cy="175260"/>
                      <wp:effectExtent l="0" t="0" r="0" b="0"/>
                      <wp:wrapNone/>
                      <wp:docPr id="29" name="Frame2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15290" cy="175260"/>
                      <wp:effectExtent l="0" t="0" r="0" b="0"/>
                      <wp:wrapNone/>
                      <wp:docPr id="31" name="Frame30"/>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14935" cy="175260"/>
                      <wp:effectExtent l="0" t="0" r="0" b="0"/>
                      <wp:wrapNone/>
                      <wp:docPr id="33" name="Frame3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20040" cy="175260"/>
                      <wp:effectExtent l="0" t="0" r="0" b="0"/>
                      <wp:wrapNone/>
                      <wp:docPr id="34" name="Frame33"/>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6845" cy="175260"/>
                      <wp:effectExtent l="0" t="0" r="0" b="0"/>
                      <wp:wrapNone/>
                      <wp:docPr id="36" name="Frame35"/>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59740" cy="175260"/>
                      <wp:effectExtent l="0" t="0" r="0" b="0"/>
                      <wp:wrapNone/>
                      <wp:docPr id="37" name="Frame36"/>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9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8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Thirteen Weeks Ended March 29, 2026</w:t>
            </w:r>
          </w:p>
        </w:tc>
      </w:tr>
      <w:tr>
        <w:trPr/>
        <w:tc>
          <w:tcPr>
            <w:tcW w:w="269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69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w:t>
            </w:r>
          </w:p>
        </w:tc>
        <w:tc>
          <w:tcPr>
            <w:tcW w:w="168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w:t>
            </w:r>
          </w:p>
        </w:tc>
        <w:tc>
          <w:tcPr>
            <w:tcW w:w="9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269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0"/>
              <w:ind w:left="0" w:right="0" w:hanging="0"/>
              <w:jc w:val="left"/>
              <w:rPr/>
            </w:pPr>
            <w:r>
              <w:rPr/>
              <w:t>  ​ ​ ​</w:t>
            </w:r>
          </w:p>
        </w:tc>
        <w:tc>
          <w:tcPr>
            <w:tcW w:w="65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46" w:type="dxa"/>
            <w:tcBorders/>
            <w:vAlign w:val="center"/>
          </w:tcPr>
          <w:p>
            <w:pPr>
              <w:pStyle w:val="TableContents"/>
              <w:bidi w:val="0"/>
              <w:spacing w:before="0" w:after="0"/>
              <w:ind w:left="0" w:right="0" w:hanging="0"/>
              <w:jc w:val="left"/>
              <w:rPr/>
            </w:pPr>
            <w:r>
              <w:rPr/>
              <w:t>  ​ ​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r>
      <w:tr>
        <w:trPr/>
        <w:tc>
          <w:tcPr>
            <w:tcW w:w="2693"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December 28, 2025</w:t>
            </w:r>
          </w:p>
        </w:tc>
        <w:tc>
          <w:tcPr>
            <w:tcW w:w="2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2,971,729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266,557</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(262,204)</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(146,555)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3,014</w:t>
            </w:r>
          </w:p>
        </w:tc>
      </w:tr>
      <w:tr>
        <w:trPr/>
        <w:tc>
          <w:tcPr>
            <w:tcW w:w="26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restricted stock units ("RSUs")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45,146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r>
      <w:tr>
        <w:trPr/>
        <w:tc>
          <w:tcPr>
            <w:tcW w:w="26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employee stock purchase plan ("ESPP")</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r>
      <w:tr>
        <w:trPr/>
        <w:tc>
          <w:tcPr>
            <w:tcW w:w="26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w:t>
            </w:r>
          </w:p>
        </w:tc>
      </w:tr>
      <w:tr>
        <w:trPr/>
        <w:tc>
          <w:tcPr>
            <w:tcW w:w="26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713</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713</w:t>
            </w:r>
          </w:p>
        </w:tc>
      </w:tr>
      <w:tr>
        <w:trPr/>
        <w:tc>
          <w:tcPr>
            <w:tcW w:w="26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(4,090)</w:t>
            </w:r>
          </w:p>
        </w:tc>
        <w:tc>
          <w:tcPr>
            <w:tcW w:w="346" w:type="dxa"/>
            <w:tcBorders/>
            <w:vAlign w:val="center"/>
          </w:tcPr>
          <w:p>
            <w:pPr>
              <w:pStyle w:val="TableContents"/>
              <w:bidi w:val="0"/>
              <w:spacing w:before="0" w:after="0"/>
              <w:ind w:left="0" w:right="0" w:hanging="0"/>
              <w:jc w:val="left"/>
              <w:rPr/>
            </w:pPr>
            <w:r>
              <w:rPr/>
              <w:t>​</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(4,090)</w:t>
            </w:r>
          </w:p>
        </w:tc>
      </w:tr>
      <w:tr>
        <w:trPr/>
        <w:tc>
          <w:tcPr>
            <w:tcW w:w="2693"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March 29, 2026</w:t>
            </w:r>
          </w:p>
        </w:tc>
        <w:tc>
          <w:tcPr>
            <w:tcW w:w="2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3,003,494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267,108</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(266,294)</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(146,555)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(525)</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3" w:name="Tc_RCgtYA_CW0ONxDmCmwcQhQ_12_18"/>
      <w:bookmarkStart w:id="334" w:name="Tc_V-Bha2WTmES5-MAhHFPLhQ_12_15"/>
      <w:bookmarkStart w:id="335" w:name="Tc_6vKnpKZVEUyEf54ACOlEkw_12_10"/>
      <w:bookmarkStart w:id="336" w:name="Tc_A5ntsc0cZECijwfO7TUNsQ_12_7"/>
      <w:bookmarkStart w:id="337" w:name="Tc_-w2GUwwhHUC9sErIOp2klA_12_4"/>
      <w:bookmarkStart w:id="338" w:name="Tc_PaFHIWGDDkOjZ3-gB6tHvg_12_0"/>
      <w:bookmarkStart w:id="339" w:name="Tc_270th9DqCkyDBNaxgSmHow_11_16"/>
      <w:bookmarkStart w:id="340" w:name="Tc_80MkC7T2BUy6GBgUPL9ZgQ_11_13"/>
      <w:bookmarkStart w:id="341" w:name="Tc_AP48e6zwf0Wl6-wnwrpXpg_11_8"/>
      <w:bookmarkStart w:id="342" w:name="Tc_V6Tr4WZ--EexIG-CHlO9GA_11_5"/>
      <w:bookmarkStart w:id="343" w:name="Tc_rvJe5I4izkyyGGUJCOsL9Q_11_2"/>
      <w:bookmarkStart w:id="344" w:name="Tc_of-ozH-W4EGDDKqCvDw55g_11_0"/>
      <w:bookmarkStart w:id="345" w:name="Tc_YW09mOlQx0C7JXOvQ7WPvQ_10_11"/>
      <w:bookmarkStart w:id="346" w:name="Tc_SF3sc8SiyUGdvUK44Wt1MQ_10_8"/>
      <w:bookmarkStart w:id="347" w:name="Tc_TMShnuqNWEeuBbe2qYqM2Q_10_5"/>
      <w:bookmarkStart w:id="348" w:name="Tc_ItOsne4uxUeEx27J4P3YmQ_10_2"/>
      <w:bookmarkStart w:id="349" w:name="Tc_dClzC-GX00WTFMNBNSfkvw_10_0"/>
      <w:bookmarkStart w:id="350" w:name="Tc_J6jAgKCbgUiGvUZEBVOfmA_9_16"/>
      <w:bookmarkStart w:id="351" w:name="Tc_SimN_Dl0FUKKYNkTt9DQaQ_9_13"/>
      <w:bookmarkStart w:id="352" w:name="Tc_mGHRBDhyrECCZyle9IXAZw_9_11"/>
      <w:bookmarkStart w:id="353" w:name="Tc_nE-X1FIQWkip1JLF8oMkWw_9_5"/>
      <w:bookmarkStart w:id="354" w:name="Tc_PHfRTospkUG9Ba11m698Lg_9_2"/>
      <w:bookmarkStart w:id="355" w:name="Tc_8CF3W0yvK0q8lbCSYOffOg_9_0"/>
      <w:bookmarkStart w:id="356" w:name="Tc_LKph-arp2EujeBekTTeutg_8_16"/>
      <w:bookmarkStart w:id="357" w:name="Tc_3nBSx--SEUiMo6gAblwiNw_8_13"/>
      <w:bookmarkStart w:id="358" w:name="Tc_pLnHd3MtpUis5UDHyuA3rw_8_11"/>
      <w:bookmarkStart w:id="359" w:name="Tc_fu_DMmPJs0iKaCAyk3Wozg_8_5"/>
      <w:bookmarkStart w:id="360" w:name="Tc_DtLRjtx0gkm-2vb0e1xIxw_8_0"/>
      <w:bookmarkStart w:id="361" w:name="Tc_J7D1QneklUmFXuyPjGfmiw_7_16"/>
      <w:bookmarkStart w:id="362" w:name="Tc_CRuKtALzEE6P-vHfxDap0w_7_13"/>
      <w:bookmarkStart w:id="363" w:name="Tc_TeF4r8xEFU2lLSDK6pcdiw_7_11"/>
      <w:bookmarkStart w:id="364" w:name="Tc_6pTObQayOEa5RPFbdQAetw_7_5"/>
      <w:bookmarkStart w:id="365" w:name="Tc_8esE0zLZBkGdkXXlqGm3fg_7_0"/>
      <w:bookmarkStart w:id="366" w:name="Tc_zboDJs3PJ0utWoDvvvaQiw_6_16"/>
      <w:bookmarkStart w:id="367" w:name="Tc_lgLhrMqXbU6JAsZfCBW6BQ_6_13"/>
      <w:bookmarkStart w:id="368" w:name="Tc_NKdCYc_7bkKqKxsI3pLqjA_6_11"/>
      <w:bookmarkStart w:id="369" w:name="Tc_-5Z5UwQ9b0KejC27Yp3UMg_6_8"/>
      <w:bookmarkStart w:id="370" w:name="Tc_9XRfI_ZfjEO6r7XLxXPmbg_6_0"/>
      <w:bookmarkStart w:id="371" w:name="Tc_Z3_BNr7vl0yuV85HqFk6YA_5_18"/>
      <w:bookmarkStart w:id="372" w:name="Tc_OTn1ujGMRESVKSSys9Jp-w_5_15"/>
      <w:bookmarkStart w:id="373" w:name="Tc_Zz0IGJRIB0SZBTgIXDM1mA_5_10"/>
      <w:bookmarkStart w:id="374" w:name="Tc_tcSnwL_nUEqQbnGo4bJSbw_5_7"/>
      <w:bookmarkStart w:id="375" w:name="Tc_YuehSYJvpUylL9tHe3G4XQ_5_4"/>
      <w:bookmarkStart w:id="376" w:name="Tc_-yJnotqqJE66V59hPAehtw_5_0"/>
      <w:bookmarkStart w:id="377" w:name="Tc_FqeJkS95oUuIbLNff_dvFQ_4_18"/>
      <w:bookmarkStart w:id="378" w:name="Tc_ggnOl_R_iUyHQufVRRwhPA_4_15"/>
      <w:bookmarkStart w:id="379" w:name="Tc_OqIvY9DDK0ClTtfInMUU-w_4_13"/>
      <w:bookmarkStart w:id="380" w:name="Tc_RJjJqViFP0GBq0LCxJxV1A_4_10"/>
      <w:bookmarkStart w:id="381" w:name="Tc_dWY-rNVaHkeUMWp71SFnAQ_4_7"/>
      <w:bookmarkStart w:id="382" w:name="Tc_ccX4nTCnlkem5GbAj7d-jQ_4_4"/>
      <w:bookmarkStart w:id="383" w:name="Tc_MD1uHuM_wUG_u4MC8DPkZA_4_2"/>
      <w:bookmarkStart w:id="384" w:name="Tc_qtrdci070UiG8p4_CPZm2w_3_18"/>
      <w:bookmarkStart w:id="385" w:name="Tc_C-4l6pWiUEijqDcMEC_QUQ_3_13"/>
      <w:bookmarkStart w:id="386" w:name="Tc_a8atZ9NL3kmqx0B0MNp0lw_3_10"/>
      <w:bookmarkStart w:id="387" w:name="Tc_V2zuyxrASk-VRCE49mPq4Q_3_7"/>
      <w:bookmarkStart w:id="388" w:name="Tc_4MvQKtH8AEmB64gmk7JqAQ_3_2"/>
      <w:bookmarkStart w:id="389" w:name="Tc_UsHLdmSz006EPJshsjo7Tw_2_18"/>
      <w:bookmarkStart w:id="390" w:name="Tc_dRm92uoxBUuPl0wWhU2D3w_2_7"/>
      <w:bookmarkStart w:id="391" w:name="Tc_PFd4meKFsU-Kmcyx4MmhEw_1_2"/>
      <w:bookmarkStart w:id="392" w:name="_dbb584a0_7a49_4b5e_8380_df3b50f1be8a"/>
      <w:bookmarkStart w:id="393" w:name="Tc_RCgtYA_CW0ONxDmCmwcQhQ_12_18"/>
      <w:bookmarkStart w:id="394" w:name="Tc_V-Bha2WTmES5-MAhHFPLhQ_12_15"/>
      <w:bookmarkStart w:id="395" w:name="Tc_6vKnpKZVEUyEf54ACOlEkw_12_10"/>
      <w:bookmarkStart w:id="396" w:name="Tc_A5ntsc0cZECijwfO7TUNsQ_12_7"/>
      <w:bookmarkStart w:id="397" w:name="Tc_-w2GUwwhHUC9sErIOp2klA_12_4"/>
      <w:bookmarkStart w:id="398" w:name="Tc_PaFHIWGDDkOjZ3-gB6tHvg_12_0"/>
      <w:bookmarkStart w:id="399" w:name="Tc_270th9DqCkyDBNaxgSmHow_11_16"/>
      <w:bookmarkStart w:id="400" w:name="Tc_80MkC7T2BUy6GBgUPL9ZgQ_11_13"/>
      <w:bookmarkStart w:id="401" w:name="Tc_AP48e6zwf0Wl6-wnwrpXpg_11_8"/>
      <w:bookmarkStart w:id="402" w:name="Tc_V6Tr4WZ--EexIG-CHlO9GA_11_5"/>
      <w:bookmarkStart w:id="403" w:name="Tc_rvJe5I4izkyyGGUJCOsL9Q_11_2"/>
      <w:bookmarkStart w:id="404" w:name="Tc_of-ozH-W4EGDDKqCvDw55g_11_0"/>
      <w:bookmarkStart w:id="405" w:name="Tc_YW09mOlQx0C7JXOvQ7WPvQ_10_11"/>
      <w:bookmarkStart w:id="406" w:name="Tc_SF3sc8SiyUGdvUK44Wt1MQ_10_8"/>
      <w:bookmarkStart w:id="407" w:name="Tc_TMShnuqNWEeuBbe2qYqM2Q_10_5"/>
      <w:bookmarkStart w:id="408" w:name="Tc_ItOsne4uxUeEx27J4P3YmQ_10_2"/>
      <w:bookmarkStart w:id="409" w:name="Tc_dClzC-GX00WTFMNBNSfkvw_10_0"/>
      <w:bookmarkStart w:id="410" w:name="Tc_J6jAgKCbgUiGvUZEBVOfmA_9_16"/>
      <w:bookmarkStart w:id="411" w:name="Tc_SimN_Dl0FUKKYNkTt9DQaQ_9_13"/>
      <w:bookmarkStart w:id="412" w:name="Tc_mGHRBDhyrECCZyle9IXAZw_9_11"/>
      <w:bookmarkStart w:id="413" w:name="Tc_nE-X1FIQWkip1JLF8oMkWw_9_5"/>
      <w:bookmarkStart w:id="414" w:name="Tc_PHfRTospkUG9Ba11m698Lg_9_2"/>
      <w:bookmarkStart w:id="415" w:name="Tc_8CF3W0yvK0q8lbCSYOffOg_9_0"/>
      <w:bookmarkStart w:id="416" w:name="Tc_LKph-arp2EujeBekTTeutg_8_16"/>
      <w:bookmarkStart w:id="417" w:name="Tc_3nBSx--SEUiMo6gAblwiNw_8_13"/>
      <w:bookmarkStart w:id="418" w:name="Tc_pLnHd3MtpUis5UDHyuA3rw_8_11"/>
      <w:bookmarkStart w:id="419" w:name="Tc_fu_DMmPJs0iKaCAyk3Wozg_8_5"/>
      <w:bookmarkStart w:id="420" w:name="Tc_DtLRjtx0gkm-2vb0e1xIxw_8_0"/>
      <w:bookmarkStart w:id="421" w:name="Tc_J7D1QneklUmFXuyPjGfmiw_7_16"/>
      <w:bookmarkStart w:id="422" w:name="Tc_CRuKtALzEE6P-vHfxDap0w_7_13"/>
      <w:bookmarkStart w:id="423" w:name="Tc_TeF4r8xEFU2lLSDK6pcdiw_7_11"/>
      <w:bookmarkStart w:id="424" w:name="Tc_6pTObQayOEa5RPFbdQAetw_7_5"/>
      <w:bookmarkStart w:id="425" w:name="Tc_8esE0zLZBkGdkXXlqGm3fg_7_0"/>
      <w:bookmarkStart w:id="426" w:name="Tc_zboDJs3PJ0utWoDvvvaQiw_6_16"/>
      <w:bookmarkStart w:id="427" w:name="Tc_lgLhrMqXbU6JAsZfCBW6BQ_6_13"/>
      <w:bookmarkStart w:id="428" w:name="Tc_NKdCYc_7bkKqKxsI3pLqjA_6_11"/>
      <w:bookmarkStart w:id="429" w:name="Tc_-5Z5UwQ9b0KejC27Yp3UMg_6_8"/>
      <w:bookmarkStart w:id="430" w:name="Tc_9XRfI_ZfjEO6r7XLxXPmbg_6_0"/>
      <w:bookmarkStart w:id="431" w:name="Tc_Z3_BNr7vl0yuV85HqFk6YA_5_18"/>
      <w:bookmarkStart w:id="432" w:name="Tc_OTn1ujGMRESVKSSys9Jp-w_5_15"/>
      <w:bookmarkStart w:id="433" w:name="Tc_Zz0IGJRIB0SZBTgIXDM1mA_5_10"/>
      <w:bookmarkStart w:id="434" w:name="Tc_tcSnwL_nUEqQbnGo4bJSbw_5_7"/>
      <w:bookmarkStart w:id="435" w:name="Tc_YuehSYJvpUylL9tHe3G4XQ_5_4"/>
      <w:bookmarkStart w:id="436" w:name="Tc_-yJnotqqJE66V59hPAehtw_5_0"/>
      <w:bookmarkStart w:id="437" w:name="Tc_FqeJkS95oUuIbLNff_dvFQ_4_18"/>
      <w:bookmarkStart w:id="438" w:name="Tc_ggnOl_R_iUyHQufVRRwhPA_4_15"/>
      <w:bookmarkStart w:id="439" w:name="Tc_OqIvY9DDK0ClTtfInMUU-w_4_13"/>
      <w:bookmarkStart w:id="440" w:name="Tc_RJjJqViFP0GBq0LCxJxV1A_4_10"/>
      <w:bookmarkStart w:id="441" w:name="Tc_dWY-rNVaHkeUMWp71SFnAQ_4_7"/>
      <w:bookmarkStart w:id="442" w:name="Tc_ccX4nTCnlkem5GbAj7d-jQ_4_4"/>
      <w:bookmarkStart w:id="443" w:name="Tc_MD1uHuM_wUG_u4MC8DPkZA_4_2"/>
      <w:bookmarkStart w:id="444" w:name="Tc_qtrdci070UiG8p4_CPZm2w_3_18"/>
      <w:bookmarkStart w:id="445" w:name="Tc_C-4l6pWiUEijqDcMEC_QUQ_3_13"/>
      <w:bookmarkStart w:id="446" w:name="Tc_a8atZ9NL3kmqx0B0MNp0lw_3_10"/>
      <w:bookmarkStart w:id="447" w:name="Tc_V2zuyxrASk-VRCE49mPq4Q_3_7"/>
      <w:bookmarkStart w:id="448" w:name="Tc_4MvQKtH8AEmB64gmk7JqAQ_3_2"/>
      <w:bookmarkStart w:id="449" w:name="Tc_UsHLdmSz006EPJshsjo7Tw_2_18"/>
      <w:bookmarkStart w:id="450" w:name="Tc_dRm92uoxBUuPl0wWhU2D3w_2_7"/>
      <w:bookmarkStart w:id="451" w:name="Tc_PFd4meKFsU-Kmcyx4MmhEw_1_2"/>
      <w:bookmarkStart w:id="452" w:name="_dbb584a0_7a49_4b5e_8380_df3b50f1be8a"/>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tbl>
      <w:tblPr>
        <w:tblW w:w="10205" w:type="dxa"/>
        <w:jc w:val="left"/>
        <w:tblInd w:w="0" w:type="dxa"/>
        <w:tblLayout w:type="fixed"/>
        <w:tblCellMar>
          <w:top w:w="0" w:type="dxa"/>
          <w:left w:w="0" w:type="dxa"/>
          <w:bottom w:w="0" w:type="dxa"/>
          <w:right w:w="0" w:type="dxa"/>
        </w:tblCellMar>
      </w:tblPr>
      <w:tblGrid>
        <w:gridCol w:w="2767"/>
        <w:gridCol w:w="226"/>
        <w:gridCol w:w="691"/>
        <w:gridCol w:w="346"/>
        <w:gridCol w:w="196"/>
        <w:gridCol w:w="375"/>
        <w:gridCol w:w="346"/>
        <w:gridCol w:w="181"/>
        <w:gridCol w:w="586"/>
        <w:gridCol w:w="346"/>
        <w:gridCol w:w="194"/>
        <w:gridCol w:w="677"/>
        <w:gridCol w:w="346"/>
        <w:gridCol w:w="630"/>
        <w:gridCol w:w="346"/>
        <w:gridCol w:w="181"/>
        <w:gridCol w:w="420"/>
        <w:gridCol w:w="346"/>
        <w:gridCol w:w="245"/>
        <w:gridCol w:w="760"/>
      </w:tblGrid>
      <w:tr>
        <w:trPr/>
        <w:tc>
          <w:tcPr>
            <w:tcW w:w="2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757045" cy="175260"/>
                      <wp:effectExtent l="0" t="0" r="0" b="0"/>
                      <wp:wrapNone/>
                      <wp:docPr id="38" name="Frame37"/>
                      <a:graphic xmlns:a="http://schemas.openxmlformats.org/drawingml/2006/main">
                        <a:graphicData uri="http://schemas.microsoft.com/office/word/2010/wordprocessingShape">
                          <wps:wsp>
                            <wps:cNvSpPr txBox="1"/>
                            <wps:spPr>
                              <a:xfrm>
                                <a:off x="0" y="0"/>
                                <a:ext cx="175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9" name="Frame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8785" cy="175260"/>
                      <wp:effectExtent l="0" t="0" r="0" b="0"/>
                      <wp:wrapNone/>
                      <wp:docPr id="40" name="Frame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38125" cy="175260"/>
                      <wp:effectExtent l="0" t="0" r="0" b="0"/>
                      <wp:wrapNone/>
                      <wp:docPr id="43" name="Frame4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14935" cy="175260"/>
                      <wp:effectExtent l="0" t="0" r="0" b="0"/>
                      <wp:wrapNone/>
                      <wp:docPr id="45" name="Frame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72110" cy="175260"/>
                      <wp:effectExtent l="0" t="0" r="0" b="0"/>
                      <wp:wrapNone/>
                      <wp:docPr id="46" name="Frame4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3190" cy="175260"/>
                      <wp:effectExtent l="0" t="0" r="0" b="0"/>
                      <wp:wrapNone/>
                      <wp:docPr id="48" name="Frame47"/>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29895" cy="175260"/>
                      <wp:effectExtent l="0" t="0" r="0" b="0"/>
                      <wp:wrapNone/>
                      <wp:docPr id="49" name="Frame4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00050" cy="175260"/>
                      <wp:effectExtent l="0" t="0" r="0" b="0"/>
                      <wp:wrapNone/>
                      <wp:docPr id="51" name="Frame50"/>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4935" cy="175260"/>
                      <wp:effectExtent l="0" t="0" r="0" b="0"/>
                      <wp:wrapNone/>
                      <wp:docPr id="53" name="Frame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66700" cy="175260"/>
                      <wp:effectExtent l="0" t="0" r="0" b="0"/>
                      <wp:wrapNone/>
                      <wp:docPr id="54" name="Frame53"/>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55575" cy="175260"/>
                      <wp:effectExtent l="0" t="0" r="0" b="0"/>
                      <wp:wrapNone/>
                      <wp:docPr id="56" name="Frame55"/>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82600" cy="175260"/>
                      <wp:effectExtent l="0" t="0" r="0" b="0"/>
                      <wp:wrapNone/>
                      <wp:docPr id="57" name="Frame56"/>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7212"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Thirteen Weeks Ended March 30, 2025</w:t>
            </w:r>
          </w:p>
        </w:tc>
      </w:tr>
      <w:tr>
        <w:trPr/>
        <w:tc>
          <w:tcPr>
            <w:tcW w:w="276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42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76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w:t>
            </w:r>
          </w:p>
        </w:tc>
        <w:tc>
          <w:tcPr>
            <w:tcW w:w="157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276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0"/>
              <w:ind w:left="0" w:right="0" w:hanging="0"/>
              <w:jc w:val="left"/>
              <w:rPr/>
            </w:pPr>
            <w:r>
              <w:rPr/>
              <w:t>  ​ ​ ​</w:t>
            </w:r>
          </w:p>
        </w:tc>
        <w:tc>
          <w:tcPr>
            <w:tcW w:w="630"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46" w:type="dxa"/>
            <w:tcBorders/>
            <w:vAlign w:val="center"/>
          </w:tcPr>
          <w:p>
            <w:pPr>
              <w:pStyle w:val="TableContents"/>
              <w:bidi w:val="0"/>
              <w:spacing w:before="0" w:after="0"/>
              <w:ind w:left="0" w:right="0" w:hanging="0"/>
              <w:jc w:val="left"/>
              <w:rPr/>
            </w:pPr>
            <w:r>
              <w:rPr/>
              <w:t>  ​ ​ ​</w:t>
            </w:r>
          </w:p>
        </w:tc>
        <w:tc>
          <w:tcPr>
            <w:tcW w:w="6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767"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December 29, 2024</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2,804,542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262,313</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(248,491)</w:t>
            </w:r>
          </w:p>
        </w:tc>
        <w:tc>
          <w:tcPr>
            <w:tcW w:w="346"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(22,621)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2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13,368</w:t>
            </w:r>
          </w:p>
        </w:tc>
      </w:tr>
      <w:tr>
        <w:trPr/>
        <w:tc>
          <w:tcPr>
            <w:tcW w:w="276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ESPP</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r>
      <w:tr>
        <w:trPr/>
        <w:tc>
          <w:tcPr>
            <w:tcW w:w="276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r>
      <w:tr>
        <w:trPr/>
        <w:tc>
          <w:tcPr>
            <w:tcW w:w="276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(16,138)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(7,998)</w:t>
            </w:r>
          </w:p>
        </w:tc>
        <w:tc>
          <w:tcPr>
            <w:tcW w:w="346" w:type="dxa"/>
            <w:tcBorders/>
            <w:shd w:fill="CCEEFF" w:val="clear"/>
            <w:vAlign w:val="center"/>
          </w:tcPr>
          <w:p>
            <w:pPr>
              <w:pStyle w:val="TableContents"/>
              <w:bidi w:val="0"/>
              <w:spacing w:before="0" w:after="0"/>
              <w:ind w:left="0" w:right="0" w:hanging="0"/>
              <w:jc w:val="lef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(7,998)</w:t>
            </w:r>
          </w:p>
        </w:tc>
      </w:tr>
      <w:tr>
        <w:trPr/>
        <w:tc>
          <w:tcPr>
            <w:tcW w:w="2767"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March 30, 2025</w:t>
            </w:r>
          </w:p>
        </w:tc>
        <w:tc>
          <w:tcPr>
            <w:tcW w:w="2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2,852,046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263,733</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(256,489)</w:t>
            </w:r>
          </w:p>
        </w:tc>
        <w:tc>
          <w:tcPr>
            <w:tcW w:w="34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(38,759)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2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(735)</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0"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6,552</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Amounts have been adjusted to reflect the 1-for-15 reverse stock split that became effective as of the opening of business on July 7, 2025. Refer to Note 8, </w:t>
            </w:r>
            <w:r>
              <w:rPr>
                <w:rFonts w:ascii="Times New Roman;Times;serif" w:hAnsi="Times New Roman;Times;serif"/>
                <w:b w:val="false"/>
                <w:i/>
                <w:sz w:val="16"/>
              </w:rPr>
              <w:t xml:space="preserve">Stockholders’ Equity (Deficit) </w:t>
            </w:r>
            <w:r>
              <w:rPr>
                <w:rFonts w:ascii="Times New Roman;Times;serif" w:hAnsi="Times New Roman;Times;serif"/>
                <w:b w:val="false"/>
                <w:i w:val="false"/>
                <w:caps w:val="false"/>
                <w:smallCaps w:val="false"/>
                <w:sz w:val="16"/>
              </w:rPr>
              <w:t>in the accompanying Notes to the Condensed Consolidated Financial Statements for additional details.</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3" w:name="_cf9b48e3_aad2_4d50_8714_3c01d8ebdf39"/>
      <w:bookmarkEnd w:id="453"/>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454" w:name="CondensedConsolidatedStatementsofCashFlo"/>
      <w:bookmarkEnd w:id="45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shd w:fill="FFFF00" w:val="clear"/>
        </w:rPr>
      </w:pPr>
      <w:r>
        <w:rPr>
          <w:shd w:fill="FFFF00" w:val="clear"/>
        </w:rPr>
        <w:t>​</w:t>
      </w:r>
    </w:p>
    <w:p>
      <w:pPr>
        <w:pStyle w:val="Normal"/>
        <w:bidi w:val="0"/>
        <w:spacing w:before="0" w:after="0"/>
        <w:jc w:val="left"/>
        <w:rPr>
          <w:sz w:val="4"/>
          <w:szCs w:val="4"/>
        </w:rPr>
      </w:pPr>
      <w:r>
        <w:rPr>
          <w:sz w:val="4"/>
          <w:szCs w:val="4"/>
        </w:rPr>
      </w:r>
      <w:bookmarkStart w:id="455" w:name="Tc_Ft52xgdrt0SlDAepgFEQZg_39_5"/>
      <w:bookmarkStart w:id="456" w:name="Tc_OjznuLRZB0GXM3Sv9t47dA_38_5"/>
      <w:bookmarkStart w:id="457" w:name="Tc_60FLrVD0qE6IL94U6tDHYw_38_2"/>
      <w:bookmarkStart w:id="458" w:name="Tc_3mjIy8KELk6M976LDOxPNw_38_0"/>
      <w:bookmarkStart w:id="459" w:name="Tc_VYek8ZW3G0eXjcz51bVCRg_37_0"/>
      <w:bookmarkStart w:id="460" w:name="Tc_1BPYmvM7LEC_t9eyFYLQOQ_36_0"/>
      <w:bookmarkStart w:id="461" w:name="Tc__VG7vJr2FE2ZhqeKnbJirw_35_0"/>
      <w:bookmarkStart w:id="462" w:name="Tc_IMsxFgWpfkWbeyFNDBqZ-g_34_3"/>
      <w:bookmarkStart w:id="463" w:name="Tc_czGiVqBQZ0aOpIESlO302w_34_0"/>
      <w:bookmarkStart w:id="464" w:name="Tc_QSc24_NvUEK-y8vPhqvMZQ_33_0"/>
      <w:bookmarkStart w:id="465" w:name="Tc_9NGboShX50ipUwnRR61nWg_32_0"/>
      <w:bookmarkStart w:id="466" w:name="Tc_Uf1-T8z2xkq_4JfCcZlZIw_31_0"/>
      <w:bookmarkStart w:id="467" w:name="Tc_D2S-oK0wDkGcmTfRtZutOw_30_6"/>
      <w:bookmarkStart w:id="468" w:name="Tc_B-m4PtvaxkOXFJX1Nk4kZw_30_0"/>
      <w:bookmarkStart w:id="469" w:name="Tc_RdNnzKdVAk6351bbpdAK9g_29_6"/>
      <w:bookmarkStart w:id="470" w:name="Tc_r86rvnO5IUeFwvLDAoSiIg_29_0"/>
      <w:bookmarkStart w:id="471" w:name="Tc_DWgOIWULLEC4qkZMh_MGkw_28_3"/>
      <w:bookmarkStart w:id="472" w:name="Tc_li_svKff-0W87TiKWwPLtA_28_0"/>
      <w:bookmarkStart w:id="473" w:name="Tc_XQjf1Emuk0e7-LRP1R1xFw_27_0"/>
      <w:bookmarkStart w:id="474" w:name="Tc_A49zXQ-Zd0q2zYzCZqls2g_26_0"/>
      <w:bookmarkStart w:id="475" w:name="Tc_d9xaY8DN_USGRnJrSV7-cA_25_0"/>
      <w:bookmarkStart w:id="476" w:name="Tc_079AACl3ikqSGl4FQvm0zA_24_0"/>
      <w:bookmarkStart w:id="477" w:name="Tc_mPzi7fl6O0e563IOvOlIbQ_23_0"/>
      <w:bookmarkStart w:id="478" w:name="Tc_toD9OY421EawH7JfSKaMnQ_22_0"/>
      <w:bookmarkStart w:id="479" w:name="Tc_7s98iK7nfU-xlZ5k-B60ng_21_0"/>
      <w:bookmarkStart w:id="480" w:name="Tc_a71wtPHPlkyhZVHW5Ig28A_20_0"/>
      <w:bookmarkStart w:id="481" w:name="Tc_V4NWqTT700C-A0NZeKm67Q_19_0"/>
      <w:bookmarkStart w:id="482" w:name="Tc_3V_UwYpgqEGcnRniZjo9EQ_18_0"/>
      <w:bookmarkStart w:id="483" w:name="Tc_EPULoxQuUUyQhsVcIu8y5Q_17_0"/>
      <w:bookmarkStart w:id="484" w:name="Tc_4pd2L9fSmUumXvhyLJzkpw_16_0"/>
      <w:bookmarkStart w:id="485" w:name="Tc_B3GH2PjZb0-mEwgPr6xazg_15_0"/>
      <w:bookmarkStart w:id="486" w:name="Tc_JEbdLDpPgEuurCi66_dsiA_14_0"/>
      <w:bookmarkStart w:id="487" w:name="Tc_DAK4gm-aBEuhpJ2fC6jZdw_13_0"/>
      <w:bookmarkStart w:id="488" w:name="Tc_fkxGPl8R7US2jWb9SCmz5Q_12_0"/>
      <w:bookmarkStart w:id="489" w:name="Tc_X25uaIaT1kyiVZDQ3N_35w_11_0"/>
      <w:bookmarkStart w:id="490" w:name="Tc_2O7pdEzlVEmqu-RxpdmwHw_10_0"/>
      <w:bookmarkStart w:id="491" w:name="Tc_Mz99HuifrEacZTdchlRjQQ_9_3"/>
      <w:bookmarkStart w:id="492" w:name="Tc_f1JehF_nTk-MnQHFRKxU-Q_9_0"/>
      <w:bookmarkStart w:id="493" w:name="Tc_cw9RaetwoUqZFELJrAQp5Q_8_0"/>
      <w:bookmarkStart w:id="494" w:name="Tc_m-mxuFt7mka4JgS1wtOzqg_7_0"/>
      <w:bookmarkStart w:id="495" w:name="Tc_DPT_X9Eyaku9fHrZD5m-6w_6_0"/>
      <w:bookmarkStart w:id="496" w:name="Tc_-vY1lSvysEqUKs35yoex8Q_5_5"/>
      <w:bookmarkStart w:id="497" w:name="Tc_ta6NvhZQi0atAHHZKbVT-Q_5_2"/>
      <w:bookmarkStart w:id="498" w:name="Tc_C5aKvPuABEOALoYO6kfHOQ_5_0"/>
      <w:bookmarkStart w:id="499" w:name="Tc_Jw-rIvEuHEG9z52QfSkHTQ_4_0"/>
      <w:bookmarkStart w:id="500" w:name="Tc_iUFfmy3DvUWLkMFnAIN6AQ_3_5"/>
      <w:bookmarkStart w:id="501" w:name="Tc_LKAIQgQKOE6i6pMXWiYJ0w_3_2"/>
      <w:bookmarkStart w:id="502" w:name="Tc_Grgk62sEvkywWLAAC9WGAg_2_5"/>
      <w:bookmarkStart w:id="503" w:name="Tc_hj40iDkK30q_-0Q82y_IrA_2_2"/>
      <w:bookmarkStart w:id="504" w:name="Tc_clAU862oDk2bCm57fBvnMw_1_2"/>
      <w:bookmarkStart w:id="505" w:name="_9e91f264_e05c_4b91_9aa3_8f6652224d63"/>
      <w:bookmarkStart w:id="506" w:name="Tc_Ft52xgdrt0SlDAepgFEQZg_39_5"/>
      <w:bookmarkStart w:id="507" w:name="Tc_OjznuLRZB0GXM3Sv9t47dA_38_5"/>
      <w:bookmarkStart w:id="508" w:name="Tc_60FLrVD0qE6IL94U6tDHYw_38_2"/>
      <w:bookmarkStart w:id="509" w:name="Tc_3mjIy8KELk6M976LDOxPNw_38_0"/>
      <w:bookmarkStart w:id="510" w:name="Tc_VYek8ZW3G0eXjcz51bVCRg_37_0"/>
      <w:bookmarkStart w:id="511" w:name="Tc_1BPYmvM7LEC_t9eyFYLQOQ_36_0"/>
      <w:bookmarkStart w:id="512" w:name="Tc__VG7vJr2FE2ZhqeKnbJirw_35_0"/>
      <w:bookmarkStart w:id="513" w:name="Tc_IMsxFgWpfkWbeyFNDBqZ-g_34_3"/>
      <w:bookmarkStart w:id="514" w:name="Tc_czGiVqBQZ0aOpIESlO302w_34_0"/>
      <w:bookmarkStart w:id="515" w:name="Tc_QSc24_NvUEK-y8vPhqvMZQ_33_0"/>
      <w:bookmarkStart w:id="516" w:name="Tc_9NGboShX50ipUwnRR61nWg_32_0"/>
      <w:bookmarkStart w:id="517" w:name="Tc_Uf1-T8z2xkq_4JfCcZlZIw_31_0"/>
      <w:bookmarkStart w:id="518" w:name="Tc_D2S-oK0wDkGcmTfRtZutOw_30_6"/>
      <w:bookmarkStart w:id="519" w:name="Tc_B-m4PtvaxkOXFJX1Nk4kZw_30_0"/>
      <w:bookmarkStart w:id="520" w:name="Tc_RdNnzKdVAk6351bbpdAK9g_29_6"/>
      <w:bookmarkStart w:id="521" w:name="Tc_r86rvnO5IUeFwvLDAoSiIg_29_0"/>
      <w:bookmarkStart w:id="522" w:name="Tc_DWgOIWULLEC4qkZMh_MGkw_28_3"/>
      <w:bookmarkStart w:id="523" w:name="Tc_li_svKff-0W87TiKWwPLtA_28_0"/>
      <w:bookmarkStart w:id="524" w:name="Tc_XQjf1Emuk0e7-LRP1R1xFw_27_0"/>
      <w:bookmarkStart w:id="525" w:name="Tc_A49zXQ-Zd0q2zYzCZqls2g_26_0"/>
      <w:bookmarkStart w:id="526" w:name="Tc_d9xaY8DN_USGRnJrSV7-cA_25_0"/>
      <w:bookmarkStart w:id="527" w:name="Tc_079AACl3ikqSGl4FQvm0zA_24_0"/>
      <w:bookmarkStart w:id="528" w:name="Tc_mPzi7fl6O0e563IOvOlIbQ_23_0"/>
      <w:bookmarkStart w:id="529" w:name="Tc_toD9OY421EawH7JfSKaMnQ_22_0"/>
      <w:bookmarkStart w:id="530" w:name="Tc_7s98iK7nfU-xlZ5k-B60ng_21_0"/>
      <w:bookmarkStart w:id="531" w:name="Tc_a71wtPHPlkyhZVHW5Ig28A_20_0"/>
      <w:bookmarkStart w:id="532" w:name="Tc_V4NWqTT700C-A0NZeKm67Q_19_0"/>
      <w:bookmarkStart w:id="533" w:name="Tc_3V_UwYpgqEGcnRniZjo9EQ_18_0"/>
      <w:bookmarkStart w:id="534" w:name="Tc_EPULoxQuUUyQhsVcIu8y5Q_17_0"/>
      <w:bookmarkStart w:id="535" w:name="Tc_4pd2L9fSmUumXvhyLJzkpw_16_0"/>
      <w:bookmarkStart w:id="536" w:name="Tc_B3GH2PjZb0-mEwgPr6xazg_15_0"/>
      <w:bookmarkStart w:id="537" w:name="Tc_JEbdLDpPgEuurCi66_dsiA_14_0"/>
      <w:bookmarkStart w:id="538" w:name="Tc_DAK4gm-aBEuhpJ2fC6jZdw_13_0"/>
      <w:bookmarkStart w:id="539" w:name="Tc_fkxGPl8R7US2jWb9SCmz5Q_12_0"/>
      <w:bookmarkStart w:id="540" w:name="Tc_X25uaIaT1kyiVZDQ3N_35w_11_0"/>
      <w:bookmarkStart w:id="541" w:name="Tc_2O7pdEzlVEmqu-RxpdmwHw_10_0"/>
      <w:bookmarkStart w:id="542" w:name="Tc_Mz99HuifrEacZTdchlRjQQ_9_3"/>
      <w:bookmarkStart w:id="543" w:name="Tc_f1JehF_nTk-MnQHFRKxU-Q_9_0"/>
      <w:bookmarkStart w:id="544" w:name="Tc_cw9RaetwoUqZFELJrAQp5Q_8_0"/>
      <w:bookmarkStart w:id="545" w:name="Tc_m-mxuFt7mka4JgS1wtOzqg_7_0"/>
      <w:bookmarkStart w:id="546" w:name="Tc_DPT_X9Eyaku9fHrZD5m-6w_6_0"/>
      <w:bookmarkStart w:id="547" w:name="Tc_-vY1lSvysEqUKs35yoex8Q_5_5"/>
      <w:bookmarkStart w:id="548" w:name="Tc_ta6NvhZQi0atAHHZKbVT-Q_5_2"/>
      <w:bookmarkStart w:id="549" w:name="Tc_C5aKvPuABEOALoYO6kfHOQ_5_0"/>
      <w:bookmarkStart w:id="550" w:name="Tc_Jw-rIvEuHEG9z52QfSkHTQ_4_0"/>
      <w:bookmarkStart w:id="551" w:name="Tc_iUFfmy3DvUWLkMFnAIN6AQ_3_5"/>
      <w:bookmarkStart w:id="552" w:name="Tc_LKAIQgQKOE6i6pMXWiYJ0w_3_2"/>
      <w:bookmarkStart w:id="553" w:name="Tc_Grgk62sEvkywWLAAC9WGAg_2_5"/>
      <w:bookmarkStart w:id="554" w:name="Tc_hj40iDkK30q_-0Q82y_IrA_2_2"/>
      <w:bookmarkStart w:id="555" w:name="Tc_clAU862oDk2bCm57fBvnMw_1_2"/>
      <w:bookmarkStart w:id="556" w:name="_9e91f264_e05c_4b91_9aa3_8f6652224d63"/>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tbl>
      <w:tblPr>
        <w:tblW w:w="8120" w:type="dxa"/>
        <w:jc w:val="left"/>
        <w:tblInd w:w="0" w:type="dxa"/>
        <w:tblLayout w:type="fixed"/>
        <w:tblCellMar>
          <w:top w:w="0" w:type="dxa"/>
          <w:left w:w="0" w:type="dxa"/>
          <w:bottom w:w="0" w:type="dxa"/>
          <w:right w:w="0" w:type="dxa"/>
        </w:tblCellMar>
      </w:tblPr>
      <w:tblGrid>
        <w:gridCol w:w="5461"/>
        <w:gridCol w:w="346"/>
        <w:gridCol w:w="196"/>
        <w:gridCol w:w="721"/>
        <w:gridCol w:w="346"/>
        <w:gridCol w:w="243"/>
        <w:gridCol w:w="807"/>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467735" cy="175260"/>
                      <wp:effectExtent l="0" t="0" r="0" b="0"/>
                      <wp:wrapNone/>
                      <wp:docPr id="58" name="Frame57"/>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60" name="Frame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57835" cy="175260"/>
                      <wp:effectExtent l="0" t="0" r="0" b="0"/>
                      <wp:wrapNone/>
                      <wp:docPr id="61" name="Frame6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4305" cy="175260"/>
                      <wp:effectExtent l="0" t="0" r="0" b="0"/>
                      <wp:wrapNone/>
                      <wp:docPr id="63" name="Frame62"/>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12445" cy="175260"/>
                      <wp:effectExtent l="0" t="0" r="0" b="0"/>
                      <wp:wrapNone/>
                      <wp:docPr id="64" name="Frame63"/>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346" w:type="dxa"/>
            <w:tcBorders/>
            <w:vAlign w:val="center"/>
          </w:tcPr>
          <w:p>
            <w:pPr>
              <w:pStyle w:val="TableContents"/>
              <w:bidi w:val="0"/>
              <w:spacing w:before="0" w:after="0"/>
              <w:ind w:left="0" w:right="0" w:hanging="0"/>
              <w:jc w:val="center"/>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  ​</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loss and 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(4,090)</w:t>
            </w:r>
          </w:p>
        </w:tc>
        <w:tc>
          <w:tcPr>
            <w:tcW w:w="3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(7,998)</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Adjustments to reconcile net loss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w:t>
            </w:r>
          </w:p>
        </w:tc>
        <w:tc>
          <w:tcPr>
            <w:tcW w:w="3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1,351</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1,124</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1,295</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lease modification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discount and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w:t>
            </w:r>
          </w:p>
        </w:tc>
        <w:tc>
          <w:tcPr>
            <w:tcW w:w="3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1,474</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(4,607)</w:t>
            </w:r>
          </w:p>
        </w:tc>
        <w:tc>
          <w:tcPr>
            <w:tcW w:w="3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(5,632)</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(2,209)</w:t>
            </w:r>
          </w:p>
        </w:tc>
        <w:tc>
          <w:tcPr>
            <w:tcW w:w="3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(2,636)</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3,017</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w:t>
            </w:r>
          </w:p>
        </w:tc>
        <w:tc>
          <w:tcPr>
            <w:tcW w:w="3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16,714</w:t>
            </w:r>
          </w:p>
        </w:tc>
        <w:tc>
          <w:tcPr>
            <w:tcW w:w="3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21,198</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w:t>
            </w:r>
          </w:p>
        </w:tc>
        <w:tc>
          <w:tcPr>
            <w:tcW w:w="346" w:type="dxa"/>
            <w:tcBorders/>
            <w:vAlign w:val="center"/>
          </w:tcPr>
          <w:p>
            <w:pPr>
              <w:pStyle w:val="TableContents"/>
              <w:bidi w:val="0"/>
              <w:spacing w:before="0" w:after="0"/>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6,900</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8,322</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  ​</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Capitalized software development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46" w:type="dxa"/>
            <w:tcBorders/>
            <w:vAlign w:val="center"/>
          </w:tcPr>
          <w:p>
            <w:pPr>
              <w:pStyle w:val="TableContents"/>
              <w:bidi w:val="0"/>
              <w:spacing w:before="0" w:after="0"/>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  ​</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revolving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Asset Based Revolving Credit Facility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60,713</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Asset Based 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(61,775)</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under ESPP</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Withholding tax payments related to vesting of RSUs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(1,722)</w:t>
            </w:r>
          </w:p>
        </w:tc>
        <w:tc>
          <w:tcPr>
            <w:tcW w:w="346" w:type="dxa"/>
            <w:tcBorders/>
            <w:vAlign w:val="center"/>
          </w:tcPr>
          <w:p>
            <w:pPr>
              <w:pStyle w:val="TableContents"/>
              <w:bidi w:val="0"/>
              <w:spacing w:before="0" w:after="0"/>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(3,599)</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 xml:space="preserve">Net increase in 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4,778</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4,156</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and cash equivalents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2,661</w:t>
            </w:r>
          </w:p>
        </w:tc>
        <w:tc>
          <w:tcPr>
            <w:tcW w:w="346" w:type="dxa"/>
            <w:tcBorders/>
            <w:vAlign w:val="center"/>
          </w:tcPr>
          <w:p>
            <w:pPr>
              <w:pStyle w:val="TableContents"/>
              <w:bidi w:val="0"/>
              <w:spacing w:before="0" w:after="0"/>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4,460</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7,439</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8,616</w:t>
            </w:r>
          </w:p>
        </w:tc>
      </w:tr>
      <w:tr>
        <w:trPr/>
        <w:tc>
          <w:tcPr>
            <w:tcW w:w="54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(Continued)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7" w:name="Tc_8bdJsuMqsEyFgLOGsHBPrA_14_5"/>
      <w:bookmarkStart w:id="558" w:name="Tc_gPYjpIr0SEaawizRu8RYRg_14_2"/>
      <w:bookmarkStart w:id="559" w:name="Tc_J5RkFCaIVkGf-6dUTvEtUg_14_0"/>
      <w:bookmarkStart w:id="560" w:name="Tc_oEeRyfOXhkyLxGErkhRtRw_13_5"/>
      <w:bookmarkStart w:id="561" w:name="Tc_N-zd0LJmr0Cw9nhqjpX_SQ_13_2"/>
      <w:bookmarkStart w:id="562" w:name="Tc_G42rdDpQykW4LJ8mfgG12A_13_0"/>
      <w:bookmarkStart w:id="563" w:name="Tc_k8CU-GOwuU634vLbvMhSPQ_12_5"/>
      <w:bookmarkStart w:id="564" w:name="Tc_QvoGUGqSwU6_ADOwx6u2Cw_12_2"/>
      <w:bookmarkStart w:id="565" w:name="Tc_u6fZdhWaVUK0WqxlQzNzpQ_12_0"/>
      <w:bookmarkStart w:id="566" w:name="Tc_qTAJMxirE0OzwJc77nz_Vg_11_0"/>
      <w:bookmarkStart w:id="567" w:name="Tc_r3N2sN0N50exgWygo4t3Hg_9_5"/>
      <w:bookmarkStart w:id="568" w:name="Tc_JXnjYb-yvke2DJOG3k3oQA_9_2"/>
      <w:bookmarkStart w:id="569" w:name="Tc_17x0Vb5yCkqa5L8z_r65kw_9_0"/>
      <w:bookmarkStart w:id="570" w:name="Tc_SUxJiXTjK0SyoHbJ01P1rg_8_5"/>
      <w:bookmarkStart w:id="571" w:name="Tc_WU1suY0aHUO3Y2d9Zm2Jgg_8_2"/>
      <w:bookmarkStart w:id="572" w:name="Tc_yunNiu4AdEuoddrBFNADvQ_8_0"/>
      <w:bookmarkStart w:id="573" w:name="Tc_snA8pypzhE-tSZbXUeCDFA_7_5"/>
      <w:bookmarkStart w:id="574" w:name="Tc_RZMdzkYc8ECIqoNF5RhV_w_7_2"/>
      <w:bookmarkStart w:id="575" w:name="Tc_aTCxS2hPHkChpnPmGwRwkQ_7_0"/>
      <w:bookmarkStart w:id="576" w:name="Tc_a48tb0QzYkmow0qyXkXIgg_6_5"/>
      <w:bookmarkStart w:id="577" w:name="Tc_C8YMez4NykKXdsRc3wFVNg_6_2"/>
      <w:bookmarkStart w:id="578" w:name="Tc_Swqqu4XGE0e0FH1_BHn03g_6_0"/>
      <w:bookmarkStart w:id="579" w:name="Tc_FuKW1gwFDUKQdsS2pK4S-w_5_0"/>
      <w:bookmarkStart w:id="580" w:name="Tc_3gqh03tw3EulFNG2L-AJiA_4_0"/>
      <w:bookmarkStart w:id="581" w:name="Tc_WRu30f7uCUmrVUZ96xjeNg_3_5"/>
      <w:bookmarkStart w:id="582" w:name="Tc_T8RE-_NAp0ur8YN5_hQI_w_3_2"/>
      <w:bookmarkStart w:id="583" w:name="Tc_pTnGnu9E_ESyWwPors5TLg_2_5"/>
      <w:bookmarkStart w:id="584" w:name="Tc_XjtfonAo5kS-H02sA-MkEQ_2_2"/>
      <w:bookmarkStart w:id="585" w:name="Tc_NQdAAtGp2kexIgfuy3dBSA_1_2"/>
      <w:bookmarkStart w:id="586" w:name="_e8ebb597_397a_4e9b_8c17_daa6018deb26"/>
      <w:bookmarkStart w:id="587" w:name="Tc_8bdJsuMqsEyFgLOGsHBPrA_14_5"/>
      <w:bookmarkStart w:id="588" w:name="Tc_gPYjpIr0SEaawizRu8RYRg_14_2"/>
      <w:bookmarkStart w:id="589" w:name="Tc_J5RkFCaIVkGf-6dUTvEtUg_14_0"/>
      <w:bookmarkStart w:id="590" w:name="Tc_oEeRyfOXhkyLxGErkhRtRw_13_5"/>
      <w:bookmarkStart w:id="591" w:name="Tc_N-zd0LJmr0Cw9nhqjpX_SQ_13_2"/>
      <w:bookmarkStart w:id="592" w:name="Tc_G42rdDpQykW4LJ8mfgG12A_13_0"/>
      <w:bookmarkStart w:id="593" w:name="Tc_k8CU-GOwuU634vLbvMhSPQ_12_5"/>
      <w:bookmarkStart w:id="594" w:name="Tc_QvoGUGqSwU6_ADOwx6u2Cw_12_2"/>
      <w:bookmarkStart w:id="595" w:name="Tc_u6fZdhWaVUK0WqxlQzNzpQ_12_0"/>
      <w:bookmarkStart w:id="596" w:name="Tc_qTAJMxirE0OzwJc77nz_Vg_11_0"/>
      <w:bookmarkStart w:id="597" w:name="Tc_r3N2sN0N50exgWygo4t3Hg_9_5"/>
      <w:bookmarkStart w:id="598" w:name="Tc_JXnjYb-yvke2DJOG3k3oQA_9_2"/>
      <w:bookmarkStart w:id="599" w:name="Tc_17x0Vb5yCkqa5L8z_r65kw_9_0"/>
      <w:bookmarkStart w:id="600" w:name="Tc_SUxJiXTjK0SyoHbJ01P1rg_8_5"/>
      <w:bookmarkStart w:id="601" w:name="Tc_WU1suY0aHUO3Y2d9Zm2Jgg_8_2"/>
      <w:bookmarkStart w:id="602" w:name="Tc_yunNiu4AdEuoddrBFNADvQ_8_0"/>
      <w:bookmarkStart w:id="603" w:name="Tc_snA8pypzhE-tSZbXUeCDFA_7_5"/>
      <w:bookmarkStart w:id="604" w:name="Tc_RZMdzkYc8ECIqoNF5RhV_w_7_2"/>
      <w:bookmarkStart w:id="605" w:name="Tc_aTCxS2hPHkChpnPmGwRwkQ_7_0"/>
      <w:bookmarkStart w:id="606" w:name="Tc_a48tb0QzYkmow0qyXkXIgg_6_5"/>
      <w:bookmarkStart w:id="607" w:name="Tc_C8YMez4NykKXdsRc3wFVNg_6_2"/>
      <w:bookmarkStart w:id="608" w:name="Tc_Swqqu4XGE0e0FH1_BHn03g_6_0"/>
      <w:bookmarkStart w:id="609" w:name="Tc_FuKW1gwFDUKQdsS2pK4S-w_5_0"/>
      <w:bookmarkStart w:id="610" w:name="Tc_3gqh03tw3EulFNG2L-AJiA_4_0"/>
      <w:bookmarkStart w:id="611" w:name="Tc_WRu30f7uCUmrVUZ96xjeNg_3_5"/>
      <w:bookmarkStart w:id="612" w:name="Tc_T8RE-_NAp0ur8YN5_hQI_w_3_2"/>
      <w:bookmarkStart w:id="613" w:name="Tc_pTnGnu9E_ESyWwPors5TLg_2_5"/>
      <w:bookmarkStart w:id="614" w:name="Tc_XjtfonAo5kS-H02sA-MkEQ_2_2"/>
      <w:bookmarkStart w:id="615" w:name="Tc_NQdAAtGp2kexIgfuy3dBSA_1_2"/>
      <w:bookmarkStart w:id="616" w:name="_e8ebb597_397a_4e9b_8c17_daa6018deb2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tbl>
      <w:tblPr>
        <w:tblW w:w="8763" w:type="dxa"/>
        <w:jc w:val="left"/>
        <w:tblInd w:w="0" w:type="dxa"/>
        <w:tblLayout w:type="fixed"/>
        <w:tblCellMar>
          <w:top w:w="0" w:type="dxa"/>
          <w:left w:w="0" w:type="dxa"/>
          <w:bottom w:w="0" w:type="dxa"/>
          <w:right w:w="0" w:type="dxa"/>
        </w:tblCellMar>
      </w:tblPr>
      <w:tblGrid>
        <w:gridCol w:w="6316"/>
        <w:gridCol w:w="346"/>
        <w:gridCol w:w="237"/>
        <w:gridCol w:w="618"/>
        <w:gridCol w:w="346"/>
        <w:gridCol w:w="202"/>
        <w:gridCol w:w="698"/>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010660" cy="175260"/>
                      <wp:effectExtent l="0" t="0" r="0" b="0"/>
                      <wp:wrapNone/>
                      <wp:docPr id="65" name="Frame64"/>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0495" cy="175260"/>
                      <wp:effectExtent l="0" t="0" r="0" b="0"/>
                      <wp:wrapNone/>
                      <wp:docPr id="67" name="Frame66"/>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92430" cy="175260"/>
                      <wp:effectExtent l="0" t="0" r="0" b="0"/>
                      <wp:wrapNone/>
                      <wp:docPr id="68" name="Frame67"/>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8270" cy="175260"/>
                      <wp:effectExtent l="0" t="0" r="0" b="0"/>
                      <wp:wrapNone/>
                      <wp:docPr id="70" name="Frame69"/>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43230" cy="175260"/>
                      <wp:effectExtent l="0" t="0" r="0" b="0"/>
                      <wp:wrapNone/>
                      <wp:docPr id="71" name="Frame70"/>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6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r>
      <w:tr>
        <w:trPr/>
        <w:tc>
          <w:tcPr>
            <w:tcW w:w="6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(refunded) during the period for:</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taxes, net </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(3,107)</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1,390</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w:t>
            </w:r>
          </w:p>
        </w:tc>
      </w:tr>
      <w:tr>
        <w:trPr/>
        <w:tc>
          <w:tcPr>
            <w:tcW w:w="63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Remeasurement of operating lease right-of-use assets for lease modification</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3,145</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Purchases of property and equipment included in 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Capitalized software development costs included in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8"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7" w:name="_cp_change_3"/>
      <w:bookmarkStart w:id="618" w:name="DescriptionofBusinessOrganizationandLiqu"/>
      <w:bookmarkStart w:id="619" w:name="_cp_change_4"/>
      <w:bookmarkEnd w:id="617"/>
      <w:bookmarkEnd w:id="618"/>
      <w:bookmarkEnd w:id="619"/>
      <w:r>
        <w:rPr>
          <w:rFonts w:ascii="Times New Roman;Times;serif" w:hAnsi="Times New Roman;Times;serif"/>
          <w:b/>
          <w:i w:val="false"/>
          <w:caps w:val="false"/>
          <w:smallCaps w:val="false"/>
          <w:sz w:val="20"/>
        </w:rPr>
        <w:t>1.</w:t>
      </w:r>
      <w:r>
        <w:rPr>
          <w:rFonts w:ascii="Times New Roman;Times;serif" w:hAnsi="Times New Roman;Times;serif"/>
          <w:b/>
          <w:sz w:val="20"/>
        </w:rPr>
        <w:t>Description of Business, Organization and Liquidity</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Organization and Business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Lulu’s Fashion Lounge Holdings, Inc., a Delaware Corporation (“Lulus”, “we”, “our”, or the “Company”), was formed on August 25, 2017 as a holding company and its primary asset is an indirect membership interest in Lulu’s Fashion Lounge, LLC, the operating company. Prior to the Company’s initial public offering, the Company was majority-owned by Lulu’s Holdings, L.P. (the “LP”), the prior parent company. In connection with the Company’s initial public offering, the LP was liquidated.</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Lulu’s Fashion Lounge, LLC was founded in 1996, starting as a vintage boutique in Chico, California that began selling online in 2005 and transitioned to a purely online business in 2008. The LP was formed in 2014 as a holding company and purchased 100% of Lulu’s Fashion Lounge, LLC’s outstanding common stock in 2014. The Company, based in Chico, California, through Lulu’s Fashion Lounge, LLC, is a women’s clothing brand offering modern, feminine styles at accessible prices for every occasion. Our goal is to make every customer feel their most confident and beautiful for the moments that matter most.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Macroeconomic Trends on Business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Changing macroeconomic factors, including inflation, interest rates, tariffs or bans, world events, wars and domestic and international conflicts, existing and future laws, regulations,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r>
        <w:rPr>
          <w:rFonts w:ascii="Times New Roman;Times;serif" w:hAnsi="Times New Roman;Times;serif"/>
          <w:sz w:val="20"/>
        </w:rPr>
        <w:t xml:space="preserve">. </w:t>
      </w:r>
    </w:p>
    <w:p>
      <w:pPr>
        <w:pStyle w:val="TextBody"/>
        <w:bidi w:val="0"/>
        <w:spacing w:before="0" w:after="0"/>
        <w:ind w:left="0" w:right="0" w:firstLine="360"/>
        <w:jc w:val="both"/>
        <w:rPr/>
      </w:pPr>
      <w:r>
        <w:rPr/>
        <w:t>​</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cash available under the Loan and Security Agreement with White Oak Commercial Finance, LLC (the “2025 Credit Agreement”). We believe the cash on hand, cash provided by operations and cash available under the 2025 Credit Agreement will enable us to meet our obligations for at least the next 12 months. For further information on the 2025 Credit Agreement, see Note 5, </w:t>
      </w:r>
      <w:r>
        <w:rPr>
          <w:rFonts w:ascii="Times New Roman;Times;serif" w:hAnsi="Times New Roman;Times;serif"/>
          <w:i/>
          <w:sz w:val="20"/>
        </w:rPr>
        <w:t>Debt</w:t>
      </w:r>
      <w:r>
        <w:rPr>
          <w:rFonts w:ascii="Times New Roman;Times;serif" w:hAnsi="Times New Roman;Times;serif"/>
          <w:sz w:val="20"/>
        </w:rPr>
        <w:t xml:space="preserve">. </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Fiscal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fiscal year consists of a 52-week or 53-week period ending on the Sunday nearest to December 31. The fiscal year ending January 3, 2027 consists of 53-weeks, and the fiscal year ended December 28, 2025 consists of 52-weeks.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United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As discussed in the “Reverse Stock Split” section within </w:t>
      </w:r>
      <w:r>
        <w:rPr>
          <w:rFonts w:ascii="Times New Roman;Times;serif" w:hAnsi="Times New Roman;Times;serif"/>
          <w:sz w:val="20"/>
        </w:rPr>
        <w:t>Note 8, </w:t>
      </w:r>
      <w:r>
        <w:rPr>
          <w:rFonts w:ascii="Times New Roman;Times;serif" w:hAnsi="Times New Roman;Times;serif"/>
          <w:i/>
          <w:sz w:val="20"/>
        </w:rPr>
        <w:t>Stockholders’ Equity (Deficit)</w:t>
      </w:r>
      <w:r>
        <w:rPr>
          <w:rFonts w:ascii="Times New Roman;Times;serif" w:hAnsi="Times New Roman;Times;serif"/>
          <w:sz w:val="20"/>
          <w:shd w:fill="FFFFFF" w:val="clear"/>
        </w:rPr>
        <w:t>, all per share amounts and common stock amounts have been adjusted on a retroactive basis to reflect the Reverse Stock Split (as defined below).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March 29, 2026 and its results of operations for the thirteen weeks ended March 29, 2026 and March 30, 2025 and its cash flows for the thirteen weeks ended March 29, 2026 and March 30, 2025. The results of operations for the thirteen weeks ended March 29, 2026 are not necessarily indicative of the results to be expected for the fiscal year ending January 3, 2027 or for any other future annual or interim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information included in this Quarterly Report on Form 10-Q should be read in conjunction with the Company’s Annual Report on Form 10-K as filed with the SEC on March 30, 2026</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shd w:fill="FFFFFF" w:val="clear"/>
        </w:rPr>
        <w:t>significant accounting policies used in preparation of these condensed consolidated financial statements are consistent with those discussed in Note 2 to the audited consolidated financial statements included in the Company’s Annual Report on Form 10-K for the year ended December 28, 2025, except as noted below and within the "Recently Issued Accounting Pronouncements" section.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store credit breakage, lease right-of-use assets and related lease liabilities, income tax valuation allowance and fair value of equity awards.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condensed consolidated financial statements in future periods. As future events and their effects cannot be determined with precision, actual results could materially differ from those estimates and assumptions.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cash and cash equivalents. Such amounts may exceed federally insured limits. The Company reduces credit risk by depositing its cash with major credit-worthy financial institutions within the United States. To date, the Company has not experienced any losses on its cash deposits. As of March 29, 2026, </w:t>
      </w:r>
      <w:r>
        <w:rPr>
          <w:rFonts w:ascii="Times New Roman;Times;serif" w:hAnsi="Times New Roman;Times;serif"/>
          <w:sz w:val="20"/>
          <w:shd w:fill="FFFFFF" w:val="clear"/>
        </w:rPr>
        <w:t>two  wholesale customers represented 10% and 13%, respectively, of the Company’s accounts receivable balance</w:t>
      </w:r>
      <w:r>
        <w:rPr>
          <w:rFonts w:ascii="Times New Roman;Times;serif" w:hAnsi="Times New Roman;Times;serif"/>
          <w:color w:val="212529"/>
          <w:sz w:val="20"/>
          <w:shd w:fill="FFFFFF" w:val="clear"/>
        </w:rPr>
        <w:t>.</w:t>
      </w:r>
      <w:r>
        <w:rPr>
          <w:rFonts w:ascii="Times New Roman;Times;serif" w:hAnsi="Times New Roman;Times;serif"/>
          <w:sz w:val="20"/>
        </w:rPr>
        <w:t> As of December 28, 2025, </w:t>
      </w:r>
      <w:r>
        <w:rPr>
          <w:rFonts w:ascii="Times New Roman;Times;serif" w:hAnsi="Times New Roman;Times;serif"/>
          <w:sz w:val="20"/>
          <w:shd w:fill="FFFFFF" w:val="clear"/>
        </w:rPr>
        <w:t>two wholesale customers represented 15% and 37%, respectively, of the Company’s accounts receivable balance.</w:t>
      </w:r>
      <w:r>
        <w:rPr>
          <w:rFonts w:ascii="Times New Roman;Times;serif" w:hAnsi="Times New Roman;Times;serif"/>
          <w:sz w:val="20"/>
        </w:rPr>
        <w:t xml:space="preserve"> No single customer accounted for greater than 10% of the Company’s net revenue during the thirteen weeks ended March 29, 2026 and March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620" w:name="Tc_Rbn7BamoMEWw2yLTj1ru2Q_6_2"/>
      <w:bookmarkStart w:id="621" w:name="Tc_jLD_-1Lx8EON23OyLWWlDw_6_0"/>
      <w:bookmarkStart w:id="622" w:name="Tc_8hWTnrTfU0Weh-GpNXCyRw_5_0"/>
      <w:bookmarkStart w:id="623" w:name="Tc_qdQExtcbk0Oib4dCKt3u9A_4_0"/>
      <w:bookmarkStart w:id="624" w:name="Tc_o_s-IuTi2kevIDBW0VndFQ_3_2"/>
      <w:bookmarkStart w:id="625" w:name="Tc_9GmFFmtI1E6cC1OBb_VWMw_3_0"/>
      <w:bookmarkStart w:id="626" w:name="Tc_c44fEid_2kuPVyX2h2tchw_2_2"/>
      <w:bookmarkStart w:id="627" w:name="Tc_u1hLvAIcRkSUdggANU6N1A_1_2"/>
      <w:bookmarkStart w:id="628" w:name="_47da9e46_bd4d_4bef_ab6b_3c71838dc47f"/>
      <w:bookmarkEnd w:id="620"/>
      <w:bookmarkEnd w:id="621"/>
      <w:bookmarkEnd w:id="622"/>
      <w:bookmarkEnd w:id="623"/>
      <w:bookmarkEnd w:id="624"/>
      <w:bookmarkEnd w:id="625"/>
      <w:bookmarkEnd w:id="626"/>
      <w:bookmarkEnd w:id="627"/>
      <w:bookmarkEnd w:id="628"/>
      <w:r>
        <w:rPr>
          <w:rFonts w:ascii="Times New Roman;Times;serif" w:hAnsi="Times New Roman;Times;serif"/>
          <w:sz w:val="20"/>
          <w:shd w:fill="FFFFFF" w:val="clear"/>
        </w:rPr>
        <w:t>Company expects to receive in exchange for those products. The Company’s payment terms are typically at the time of order processing and shipment</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w:t>
      </w:r>
      <w:r>
        <w:rPr>
          <w:rFonts w:ascii="Times New Roman;Times;serif" w:hAnsi="Times New Roman;Times;serif"/>
          <w:sz w:val="20"/>
        </w:rPr>
        <w:t>one</w:t>
      </w:r>
      <w:r>
        <w:rPr>
          <w:rFonts w:ascii="Times New Roman;Times;serif" w:hAnsi="Times New Roman;Times;serif"/>
          <w:sz w:val="20"/>
          <w:shd w:fill="FFFFFF" w:val="clear"/>
        </w:rPr>
        <w:t> performance obligation, the sale of the product, at shipping point (when the customer gains control). Shipping and handling costs associated with outbound freight are accounted for as fulfillment costs and are included in cost of goods sold. The Company has elected to apply the </w:t>
      </w:r>
      <w:r>
        <w:rPr>
          <w:rFonts w:ascii="Times New Roman;Times;serif" w:hAnsi="Times New Roman;Times;serif"/>
          <w:sz w:val="20"/>
        </w:rPr>
        <w:t>practical</w:t>
      </w:r>
      <w:r>
        <w:rPr>
          <w:rFonts w:ascii="Times New Roman;Times;serif" w:hAnsi="Times New Roman;Times;serif"/>
          <w:sz w:val="20"/>
          <w:shd w:fill="FFFFFF" w:val="clear"/>
        </w:rPr>
        <w:t> expedient to expense costs as incurred for incremental costs to obtain a contract when the amortization period would have been one year or less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Company’s returns reserve may fluctuate period over period due to seasonal trends, including fluctuation in sales volumes, merchandise mix and the timing of associated customer returns. The Company also has corresponding assets for recovery that represent the expected net realizable value of the merchandise inventory to be returned</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Company sells stored-value gift cards to customers and offers online store credit for certain returns and promotions. The stored-value gift cards and store credits do not have an expiration date. The Company recognizes revenue from stored-value gift cards and store credits when the card or credit is redeemed by the customer. The Company has determined that sufficient evidence exists to support an estimate for stored-value gift card and store credit breakage. </w:t>
      </w:r>
      <w:r>
        <w:rPr>
          <w:rFonts w:ascii="Times New Roman;Times;serif" w:hAnsi="Times New Roman;Times;serif"/>
          <w:sz w:val="20"/>
        </w:rPr>
        <w:t xml:space="preserve">The Company estimates breakage related to store credits using historical redemption rates for each store credit issuance year, which reflects customer redemption patterns. The Company evaluates redemption patterns and may record adjustments to its breakage estimate from time to time. </w:t>
      </w:r>
      <w:r>
        <w:rPr>
          <w:rFonts w:ascii="Times New Roman;Times;serif" w:hAnsi="Times New Roman;Times;serif"/>
          <w:sz w:val="20"/>
          <w:shd w:fill="FFFFFF" w:val="clear"/>
        </w:rPr>
        <w:t>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thirteen weeks ended March 29, 2026 and March 30, 2025 was $0.5 million for each respective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significant changes in the contract liabilities balances during the thirteen weeks ended March 29, 2026 and March 30, 2025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8748"/>
        <w:gridCol w:w="346"/>
        <w:gridCol w:w="236"/>
        <w:gridCol w:w="875"/>
      </w:tblGrid>
      <w:tr>
        <w:trPr/>
        <w:tc>
          <w:tcPr>
            <w:tcW w:w="8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554980" cy="175260"/>
                      <wp:effectExtent l="0" t="0" r="0" b="0"/>
                      <wp:wrapNone/>
                      <wp:docPr id="72" name="Frame71"/>
                      <a:graphic xmlns:a="http://schemas.openxmlformats.org/drawingml/2006/main">
                        <a:graphicData uri="http://schemas.microsoft.com/office/word/2010/wordprocessingShape">
                          <wps:wsp>
                            <wps:cNvSpPr txBox="1"/>
                            <wps:spPr>
                              <a:xfrm>
                                <a:off x="0" y="0"/>
                                <a:ext cx="555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9860" cy="175260"/>
                      <wp:effectExtent l="0" t="0" r="0" b="0"/>
                      <wp:wrapNone/>
                      <wp:docPr id="74" name="Frame73"/>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55625" cy="175260"/>
                      <wp:effectExtent l="0" t="0" r="0" b="0"/>
                      <wp:wrapNone/>
                      <wp:docPr id="75" name="Frame74"/>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8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87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28, 2025</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w:t>
            </w:r>
          </w:p>
        </w:tc>
      </w:tr>
      <w:tr>
        <w:trPr/>
        <w:tc>
          <w:tcPr>
            <w:tcW w:w="87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87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(including breakage)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r>
      <w:tr>
        <w:trPr/>
        <w:tc>
          <w:tcPr>
            <w:tcW w:w="87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March 29, 2026</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18,113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29" w:name="Tc_cyhS5U3Kq0qKQnp0GHKY5w_7_0"/>
      <w:bookmarkStart w:id="630" w:name="Tc_pf1QDQw2-0uMSK3AnCOElA_6_0"/>
      <w:bookmarkStart w:id="631" w:name="Tc_qFhefgHRwE2DnWT6ARS5vg_5_0"/>
      <w:bookmarkStart w:id="632" w:name="Tc_gDpvQEe9LUOgBbrBChp_6A_4_0"/>
      <w:bookmarkStart w:id="633" w:name="Tc_Khi6LUiqjkC7zhxGQtxFOA_3_0"/>
      <w:bookmarkStart w:id="634" w:name="Tc_ABjXK-OzGU2K2a0atGeNMw_2_4"/>
      <w:bookmarkStart w:id="635" w:name="Tc_TbqiseLdoE2RM5too3cSeA_2_2"/>
      <w:bookmarkStart w:id="636" w:name="Tc_0w764M15aU2Kiz8XEIAm_Q_1_2"/>
      <w:bookmarkStart w:id="637" w:name="Tc_728gWGv0j0q70yA0g3JNEg_6_2"/>
      <w:bookmarkStart w:id="638" w:name="Tc_R1fMBouT1US5No5wv3zEwg_6_0"/>
      <w:bookmarkStart w:id="639" w:name="Tc_A5nkWflY70qZuJnZlt7f4w_5_0"/>
      <w:bookmarkStart w:id="640" w:name="Tc_aQ0Gks9xHUu32XwmkpXPxQ_4_0"/>
      <w:bookmarkStart w:id="641" w:name="Tc_BAj4Gz9Gb0yY8RgMwro2wQ_3_2"/>
      <w:bookmarkStart w:id="642" w:name="Tc_7BXyzY-ehkekP2_DkpkmEg_3_0"/>
      <w:bookmarkStart w:id="643" w:name="Tc_dArxp1Noj0urpohlT-z_2g_2_2"/>
      <w:bookmarkStart w:id="644" w:name="Tc_qpW4QmFTS0Wl_crgKgLK0Q_1_2"/>
      <w:bookmarkStart w:id="645" w:name="_9ccf7e4f_3f92_40c4_bc31_46abeffb666c"/>
      <w:bookmarkStart w:id="646" w:name="Tc_cyhS5U3Kq0qKQnp0GHKY5w_7_0"/>
      <w:bookmarkStart w:id="647" w:name="Tc_pf1QDQw2-0uMSK3AnCOElA_6_0"/>
      <w:bookmarkStart w:id="648" w:name="Tc_qFhefgHRwE2DnWT6ARS5vg_5_0"/>
      <w:bookmarkStart w:id="649" w:name="Tc_gDpvQEe9LUOgBbrBChp_6A_4_0"/>
      <w:bookmarkStart w:id="650" w:name="Tc_Khi6LUiqjkC7zhxGQtxFOA_3_0"/>
      <w:bookmarkStart w:id="651" w:name="Tc_ABjXK-OzGU2K2a0atGeNMw_2_4"/>
      <w:bookmarkStart w:id="652" w:name="Tc_TbqiseLdoE2RM5too3cSeA_2_2"/>
      <w:bookmarkStart w:id="653" w:name="Tc_0w764M15aU2Kiz8XEIAm_Q_1_2"/>
      <w:bookmarkStart w:id="654" w:name="Tc_728gWGv0j0q70yA0g3JNEg_6_2"/>
      <w:bookmarkStart w:id="655" w:name="Tc_R1fMBouT1US5No5wv3zEwg_6_0"/>
      <w:bookmarkStart w:id="656" w:name="Tc_A5nkWflY70qZuJnZlt7f4w_5_0"/>
      <w:bookmarkStart w:id="657" w:name="Tc_aQ0Gks9xHUu32XwmkpXPxQ_4_0"/>
      <w:bookmarkStart w:id="658" w:name="Tc_BAj4Gz9Gb0yY8RgMwro2wQ_3_2"/>
      <w:bookmarkStart w:id="659" w:name="Tc_7BXyzY-ehkekP2_DkpkmEg_3_0"/>
      <w:bookmarkStart w:id="660" w:name="Tc_dArxp1Noj0urpohlT-z_2g_2_2"/>
      <w:bookmarkStart w:id="661" w:name="Tc_qpW4QmFTS0Wl_crgKgLK0Q_1_2"/>
      <w:bookmarkStart w:id="662" w:name="_9ccf7e4f_3f92_40c4_bc31_46abeffb666c"/>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tbl>
      <w:tblPr>
        <w:tblW w:w="10205" w:type="dxa"/>
        <w:jc w:val="left"/>
        <w:tblInd w:w="0" w:type="dxa"/>
        <w:tblLayout w:type="fixed"/>
        <w:tblCellMar>
          <w:top w:w="0" w:type="dxa"/>
          <w:left w:w="0" w:type="dxa"/>
          <w:bottom w:w="0" w:type="dxa"/>
          <w:right w:w="0" w:type="dxa"/>
        </w:tblCellMar>
      </w:tblPr>
      <w:tblGrid>
        <w:gridCol w:w="8748"/>
        <w:gridCol w:w="346"/>
        <w:gridCol w:w="236"/>
        <w:gridCol w:w="875"/>
      </w:tblGrid>
      <w:tr>
        <w:trPr/>
        <w:tc>
          <w:tcPr>
            <w:tcW w:w="8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554980" cy="175260"/>
                      <wp:effectExtent l="0" t="0" r="0" b="0"/>
                      <wp:wrapNone/>
                      <wp:docPr id="76" name="Frame75"/>
                      <a:graphic xmlns:a="http://schemas.openxmlformats.org/drawingml/2006/main">
                        <a:graphicData uri="http://schemas.microsoft.com/office/word/2010/wordprocessingShape">
                          <wps:wsp>
                            <wps:cNvSpPr txBox="1"/>
                            <wps:spPr>
                              <a:xfrm>
                                <a:off x="0" y="0"/>
                                <a:ext cx="555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9860" cy="175260"/>
                      <wp:effectExtent l="0" t="0" r="0" b="0"/>
                      <wp:wrapNone/>
                      <wp:docPr id="78" name="Frame7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55625" cy="175260"/>
                      <wp:effectExtent l="0" t="0" r="0" b="0"/>
                      <wp:wrapNone/>
                      <wp:docPr id="79" name="Frame78"/>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8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87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29, 2024</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17,883</w:t>
            </w:r>
          </w:p>
        </w:tc>
      </w:tr>
      <w:tr>
        <w:trPr/>
        <w:tc>
          <w:tcPr>
            <w:tcW w:w="87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r>
      <w:tr>
        <w:trPr/>
        <w:tc>
          <w:tcPr>
            <w:tcW w:w="87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(including breakage)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w:t>
            </w:r>
          </w:p>
        </w:tc>
      </w:tr>
      <w:tr>
        <w:trPr/>
        <w:tc>
          <w:tcPr>
            <w:tcW w:w="87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March 30, 2025</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19,012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Advertising costs included in selling and marketing expenses were $10.1 million and $12.0 million for the thirteen weeks ended March 29, 2026 and March 30, 2025,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Share Attributable to Common Stockholders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Basic net loss per share attributable to common stockholders is computed using net loss attributable to common stockholders divided by the weighted average number of shares of common stock outstanding during the period. Diluted net loss per share attributable to common stockholders represents net loss attributable to common stockholders divided by the weighted average number of shares of common stock outstanding during the period, including the effects of any dilutive securities outstanding. Due to the net loss for all periods presented, no potentially dilutive securities had an impact on diluted loss per share for any period</w:t>
      </w:r>
      <w:r>
        <w:rPr>
          <w:rFonts w:ascii="Times New Roman;Times;serif" w:hAnsi="Times New Roman;Times;serif"/>
          <w:sz w:val="20"/>
        </w:rPr>
        <w:t xml:space="preserve">. </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following securities</w:t>
      </w:r>
      <w:r>
        <w:rPr>
          <w:rFonts w:ascii="Times New Roman;Times;serif" w:hAnsi="Times New Roman;Times;serif"/>
          <w:sz w:val="20"/>
        </w:rPr>
        <w:t xml:space="preserve"> w</w:t>
      </w:r>
      <w:r>
        <w:rPr>
          <w:rFonts w:ascii="Times New Roman;Times;serif" w:hAnsi="Times New Roman;Times;serif"/>
          <w:sz w:val="20"/>
          <w:shd w:fill="FFFFFF" w:val="clear"/>
        </w:rPr>
        <w:t>ere excluded from the computation of diluted net loss per share attributable to common stockholders for the periods presented because including them would have been anti-dilutive (on an as-converted basis)</w:t>
      </w:r>
      <w:r>
        <w:rPr>
          <w:rFonts w:ascii="Times New Roman;Times;serif" w:hAnsi="Times New Roman;Times;serif"/>
          <w:sz w:val="20"/>
        </w:rPr>
        <w:t>:</w:t>
      </w:r>
    </w:p>
    <w:p>
      <w:pPr>
        <w:pStyle w:val="TextBody"/>
        <w:bidi w:val="0"/>
        <w:spacing w:before="0" w:after="240"/>
        <w:ind w:left="0" w:right="0" w:firstLine="360"/>
        <w:jc w:val="both"/>
        <w:rPr/>
      </w:pPr>
      <w:r>
        <w:rPr/>
        <w:t>​</w:t>
      </w:r>
    </w:p>
    <w:tbl>
      <w:tblPr>
        <w:tblW w:w="4031" w:type="dxa"/>
        <w:jc w:val="left"/>
        <w:tblInd w:w="0" w:type="dxa"/>
        <w:tblLayout w:type="fixed"/>
        <w:tblCellMar>
          <w:top w:w="0" w:type="dxa"/>
          <w:left w:w="0" w:type="dxa"/>
          <w:bottom w:w="0" w:type="dxa"/>
          <w:right w:w="0" w:type="dxa"/>
        </w:tblCellMar>
      </w:tblPr>
      <w:tblGrid>
        <w:gridCol w:w="1246"/>
        <w:gridCol w:w="109"/>
        <w:gridCol w:w="1261"/>
        <w:gridCol w:w="109"/>
        <w:gridCol w:w="130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91210" cy="175260"/>
                      <wp:effectExtent l="0" t="0" r="0" b="0"/>
                      <wp:wrapNone/>
                      <wp:docPr id="80" name="Frame7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800735" cy="175260"/>
                      <wp:effectExtent l="0" t="0" r="0" b="0"/>
                      <wp:wrapNone/>
                      <wp:docPr id="82" name="Frame8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29310" cy="175260"/>
                      <wp:effectExtent l="0" t="0" r="0" b="0"/>
                      <wp:wrapNone/>
                      <wp:docPr id="84" name="Frame8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7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 2026</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 2025</w:t>
            </w:r>
          </w:p>
        </w:tc>
      </w:tr>
      <w:tr>
        <w:trPr/>
        <w:tc>
          <w:tcPr>
            <w:tcW w:w="12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r>
      <w:tr>
        <w:trPr/>
        <w:tc>
          <w:tcPr>
            <w:tcW w:w="12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RSUs</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92,980</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211,910</w:t>
            </w:r>
          </w:p>
        </w:tc>
      </w:tr>
      <w:tr>
        <w:trPr/>
        <w:tc>
          <w:tcPr>
            <w:tcW w:w="12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PSUs</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160,772</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167,438</w:t>
            </w:r>
          </w:p>
        </w:tc>
      </w:tr>
      <w:tr>
        <w:trPr/>
        <w:tc>
          <w:tcPr>
            <w:tcW w:w="12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ESPP shares</w:t>
            </w:r>
          </w:p>
        </w:tc>
        <w:tc>
          <w:tcPr>
            <w:tcW w:w="109"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c>
          <w:tcPr>
            <w:tcW w:w="109" w:type="dxa"/>
            <w:tcBorders/>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15,756</w:t>
            </w:r>
          </w:p>
        </w:tc>
      </w:tr>
      <w:tr>
        <w:trPr/>
        <w:tc>
          <w:tcPr>
            <w:tcW w:w="12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268,007</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405,864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Goodwill, Tradename and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tests for goodwill impairment at the reporting unit level on the first day of the fourth quarter of each year and between annual tests if significant indicators exist that would suggest the Company's goodwill and intangible assets could potentially be impaired. The Company monitors macroeconomic conditions, industry, competitive environment conditions, overall financial performance, reporting unit specific events and market considerations, among others, for events which could trigger the need for an interim impairment analysis.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performed a qualitative assessment of its goodwill, tradename and intangible assets as of March 29, 2026 and determined that no events or changes in circumstances were identified that would indicate potential impairment related to the goodwill, tradename, and intangible assets recorded during the thirteen weeks ended March 29,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shd w:fill="FFFFFF" w:val="clear"/>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July 2025, FASB issued ASU 2025-05, Financial Instruments—Credit Losses (Topic 326): </w:t>
      </w:r>
      <w:r>
        <w:rPr>
          <w:rFonts w:ascii="Times New Roman;Times;serif" w:hAnsi="Times New Roman;Times;serif"/>
          <w:i/>
          <w:sz w:val="20"/>
          <w:shd w:fill="FFFFFF" w:val="clear"/>
        </w:rPr>
        <w:t>Measurement of Credit Losses for Accounts Receivable and Contract Assets</w:t>
      </w:r>
      <w:r>
        <w:rPr>
          <w:rFonts w:ascii="Times New Roman;Times;serif" w:hAnsi="Times New Roman;Times;serif"/>
          <w:sz w:val="20"/>
          <w:shd w:fill="FFFFFF" w:val="clear"/>
        </w:rPr>
        <w:t>, which provides all entities with practical expedient of developing reasonable and supportable forecasts as part of estimating expected credit losses, that assumes that current conditions as of the balance sheet date do not change for the remaining life of the asset. ASU 2025-05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this guidance for fiscal year 2026, and it did not have a material impact on our condensed consolidated financial statements or related disclosures.</w:t>
      </w:r>
      <w:r>
        <w:rPr>
          <w:rFonts w:ascii="Times New Roman;Times;serif" w:hAnsi="Times New Roman;Times;serif"/>
          <w:sz w:val="20"/>
        </w:rPr>
        <w:t xml:space="preserve"> </w:t>
      </w:r>
      <w:r>
        <w:rPr>
          <w:rFonts w:ascii="Times New Roman;Times;serif" w:hAnsi="Times New Roman;Times;serif"/>
          <w:sz w:val="20"/>
          <w:shd w:fill="FFFFFF" w:val="clear"/>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In November 2024, the FASB issued ASU 2024-03, </w:t>
      </w:r>
      <w:r>
        <w:rPr>
          <w:rFonts w:ascii="Times New Roman;Times;serif" w:hAnsi="Times New Roman;Times;serif"/>
          <w:i/>
          <w:sz w:val="20"/>
          <w:shd w:fill="FFFFFF" w:val="clear"/>
        </w:rPr>
        <w:t>Income Statement—Reporting Comprehensive Income—Expense Disaggregation Disclosures (Subtopic 220-40)</w:t>
      </w:r>
      <w:r>
        <w:rPr>
          <w:rFonts w:ascii="Times New Roman;Times;serif" w:hAnsi="Times New Roman;Times;serif"/>
          <w:sz w:val="20"/>
          <w:shd w:fill="FFFFFF" w:val="clear"/>
        </w:rPr>
        <w:t>, to disclose specific information about certain income statement expense line items in the notes to its financial statements for interim and annual reporting periods. In January 2025, the FASB issued ASU No. 2025-01, </w:t>
      </w:r>
      <w:r>
        <w:rPr>
          <w:rFonts w:ascii="Times New Roman;Times;serif" w:hAnsi="Times New Roman;Times;serif"/>
          <w:i/>
          <w:sz w:val="20"/>
          <w:shd w:fill="FFFFFF" w:val="clear"/>
        </w:rPr>
        <w:t>Income Statement—Reporting Comprehensive Income—Expense Disaggregation Disclosures (Subtopic 220-40): Clarifying the Effective Date</w:t>
      </w:r>
      <w:r>
        <w:rPr>
          <w:rFonts w:ascii="Times New Roman;Times;serif" w:hAnsi="Times New Roman;Times;serif"/>
          <w:sz w:val="20"/>
          <w:shd w:fill="FFFFFF" w:val="clear"/>
        </w:rPr>
        <w:t>, to clarify that ASU 2024-03 is effective for annual reporting periods beginning after December 15, 2026, and interim periods within annual reporting periods beginning after December 15, 2027. Early adoption of ASU 2024-03 is permitted. We are currently evaluating this pronouncement to determine its impact on our condensed consolidated financial statements and related disclosures</w:t>
      </w:r>
      <w:r>
        <w:rPr>
          <w:rFonts w:ascii="Times New Roman;Times;serif" w:hAnsi="Times New Roman;Times;serif"/>
          <w:sz w:val="20"/>
        </w:rPr>
        <w:t xml:space="preserve">. </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September 2025, FASB issued ASU 2025-06, </w:t>
      </w:r>
      <w:r>
        <w:rPr>
          <w:rFonts w:ascii="Times New Roman;Times;serif" w:hAnsi="Times New Roman;Times;serif"/>
          <w:i/>
          <w:sz w:val="20"/>
        </w:rPr>
        <w:t>Intangibles—Goodwill and Other—Internal Use Software (Topic 350-40): Targeted Improvements to the Accounting for Internal-Use Software, </w:t>
      </w:r>
      <w:r>
        <w:rPr>
          <w:rFonts w:ascii="Times New Roman;Times;serif" w:hAnsi="Times New Roman;Times;serif"/>
          <w:sz w:val="20"/>
        </w:rPr>
        <w:t>to amend certain aspects of the accounting for and disclosure of software costs under ASC 350-40. ASU 2025-06 is effective for all entities for annual reporting periods beginning after December 15, 2027 (and interim reporting periods within those annual reporting periods). Early adoption is permitted in both interim and annual reporting periods in which financial statements have not yet been issued or made available for issuance. We are currently evaluating this pronouncement to determine its impact on our condensed consolidated financial statements and related disclosures.</w:t>
      </w:r>
    </w:p>
    <w:p>
      <w:pPr>
        <w:pStyle w:val="TextBody"/>
        <w:shd w:fill="FFFFFF" w:val="clear"/>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2025,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annual periods beginning after December 15, 2027, including interim periods within</w:t>
      </w:r>
      <w:r>
        <w:rPr>
          <w:rFonts w:ascii="Times New Roman;Times;serif" w:hAnsi="Times New Roman;Times;serif"/>
          <w:sz w:val="20"/>
          <w:shd w:fill="FFFFFF" w:val="clear"/>
        </w:rPr>
        <w:t xml:space="preserve"> those fiscal years, with early adoption permitted. </w:t>
      </w:r>
      <w:r>
        <w:rPr>
          <w:rFonts w:ascii="Times New Roman;Times;serif" w:hAnsi="Times New Roman;Times;serif"/>
          <w:sz w:val="20"/>
        </w:rPr>
        <w:t>We are currently evaluating this pronouncement to determine its impact on our condensed consolidated financial statements and related disclosures</w:t>
      </w:r>
      <w:r>
        <w:rPr>
          <w:rFonts w:ascii="Times New Roman;Times;serif" w:hAnsi="Times New Roman;Times;serif"/>
          <w:sz w:val="20"/>
          <w:shd w:fill="FFFFFF" w:val="clea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2025, FASB issued ASU 2025-12, </w:t>
      </w:r>
      <w:r>
        <w:rPr>
          <w:rFonts w:ascii="Times New Roman;Times;serif" w:hAnsi="Times New Roman;Times;serif"/>
          <w:i/>
          <w:sz w:val="20"/>
        </w:rPr>
        <w:t>Codification Improvements</w:t>
      </w:r>
      <w:r>
        <w:rPr>
          <w:rFonts w:ascii="Times New Roman;Times;serif" w:hAnsi="Times New Roman;Times;serif"/>
          <w:sz w:val="20"/>
        </w:rPr>
        <w:t> </w:t>
      </w:r>
      <w:r>
        <w:rPr>
          <w:rFonts w:ascii="Times New Roman;Times;serif" w:hAnsi="Times New Roman;Times;serif"/>
          <w:sz w:val="20"/>
          <w:shd w:fill="FFFFFF" w:val="clear"/>
        </w:rPr>
        <w:t>as part of its standing project to correct, clarify, and make narrow improvements to U.S. GAAP across a broad range of topics.</w:t>
      </w:r>
      <w:r>
        <w:rPr>
          <w:rFonts w:ascii="Times New Roman;Times;serif" w:hAnsi="Times New Roman;Times;serif"/>
          <w:sz w:val="20"/>
        </w:rPr>
        <w:t xml:space="preserve"> This guidance is effective for annual reporting periods beginning after December 15, 2026, and interim periods within those annual reporting periods. Early adoption is permitted. We are currently evaluating this pronouncement to determine its impact on our condensed consolidated financial statements and related disclosures.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Fair Value Measurements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Company’s financial instruments consist of cash and cash equivalents, accounts payable, accrued expenses, other current liabilities and borrowings under the 2025 Credit Agreement. As of March 29, 2026 and March 30, 2025, the carrying values of cash and cash equivalents, accounts payable, accrued expenses and other current liabilities approximate fair value due to their short-term maturities.</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Borrowings under the 2025 Credit Agreement bear interest at a rate equal to the 30-day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rate plus </w:t>
      </w:r>
      <w:r>
        <w:rPr>
          <w:rFonts w:ascii="Times New Roman;Times;serif" w:hAnsi="Times New Roman;Times;serif"/>
          <w:sz w:val="20"/>
        </w:rPr>
        <w:t>3.95%</w:t>
      </w:r>
      <w:r>
        <w:rPr>
          <w:rFonts w:ascii="Times New Roman;Times;serif" w:hAnsi="Times New Roman;Times;serif"/>
          <w:sz w:val="20"/>
          <w:shd w:fill="FFFFFF" w:val="clear"/>
        </w:rPr>
        <w:t> and is secured by a first-priority security interest in and lien upon all tangible and intangible personal property of the Borrowers, now owned or acquired in the future. Because the interest rate is variable and reset based on SOFR with a market-based margin, the fair value of amounts outstanding under the 2025 Credit Agreement approximates carrying value. </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Company performs the annual goodwill, tradename and intangible assets impairment assessment on the first day of the fourth quarter of each fiscal year. During the Company’s most recent annual impairment assessment for fiscal year 2025, </w:t>
      </w:r>
      <w:r>
        <w:rPr>
          <w:rFonts w:ascii="Times New Roman;Times;serif" w:hAnsi="Times New Roman;Times;serif"/>
          <w:sz w:val="20"/>
        </w:rPr>
        <w:t>the Company determined that no events or changes in circumstances were identified that would indicate potential impairment related to the goodwill, tradename, and intangible assets recorded during the fifty-two weeks ended December 28, 2025.</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does not have any financial instruments that were determined to be Level 3. There were no transfers in or out of Level 1, Level 2, or Level 3 assets or liabilities.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63" w:name="Tc_dm8f_nPk10CMGRq6yEZIZg_8_7"/>
      <w:bookmarkStart w:id="664" w:name="Tc_2IDDKAw_T0-43A836ZnlTA_8_4"/>
      <w:bookmarkStart w:id="665" w:name="Tc_tilOz9fYcEOcwmKb3tDpJg_8_0"/>
      <w:bookmarkStart w:id="666" w:name="Tc_cznJjF3opEmX4nD6beSqlg_7_0"/>
      <w:bookmarkStart w:id="667" w:name="Tc_4KFfTqst40GdAQu1-7Z6NA_6_0"/>
      <w:bookmarkStart w:id="668" w:name="Tc_Qzpjl3XJCkKV5v5V6Y0EGA_5_2"/>
      <w:bookmarkStart w:id="669" w:name="Tc_XXZ9Y7AU4EyphMEJDFxhQA_5_0"/>
      <w:bookmarkStart w:id="670" w:name="Tc_r7bxJMxtXEmoR1itBLHCVg_4_2"/>
      <w:bookmarkStart w:id="671" w:name="Tc_37g3r4VuLki6rt-V5OHHVQ_4_0"/>
      <w:bookmarkStart w:id="672" w:name="Tc_V6DqwERokUeiYLa05fVA2g_3_7"/>
      <w:bookmarkStart w:id="673" w:name="Tc_yczCeNequ0Sm4bKEi8zMxw_3_4"/>
      <w:bookmarkStart w:id="674" w:name="Tc_2ejJWhyCW0qPZY5nhfzF0Q_3_2"/>
      <w:bookmarkStart w:id="675" w:name="Tc_r6NG4UdoUk6lehBHQPqOdg_3_0"/>
      <w:bookmarkStart w:id="676" w:name="Tc_z8i4loZHt0mEkfmwr50PBA_2_7"/>
      <w:bookmarkStart w:id="677" w:name="Tc_ViIoY7VblEaE8P426rJjaA_2_4"/>
      <w:bookmarkStart w:id="678" w:name="Tc_Xrz8sqkZ_0yk2tc3ZsbgbA_2_2"/>
      <w:bookmarkStart w:id="679" w:name="Tc_O3qq5t35dEKod6qqtwn7ow_1_7"/>
      <w:bookmarkStart w:id="680" w:name="Tc_Ekjkj0lzpES6WTWcUY1rjQ_1_4"/>
      <w:bookmarkStart w:id="681" w:name="Tc_lIuKFjbBmU29jx-l2pS1Eg_1_2"/>
      <w:bookmarkStart w:id="682" w:name="_4783ab0d_9cbd_42c1_a325_d295bf15ac19"/>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Times New Roman;Times;serif" w:hAnsi="Times New Roman;Times;serif"/>
          <w:b/>
          <w:i w:val="false"/>
          <w:caps w:val="false"/>
          <w:smallCaps w:val="false"/>
          <w:sz w:val="20"/>
        </w:rPr>
        <w:t>4.</w:t>
      </w:r>
      <w:r>
        <w:rPr>
          <w:rFonts w:ascii="Times New Roman;Times;serif" w:hAnsi="Times New Roman;Times;serif"/>
          <w:b/>
          <w:sz w:val="20"/>
        </w:rPr>
        <w:t>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 (in thousands):</w:t>
      </w:r>
    </w:p>
    <w:p>
      <w:pPr>
        <w:pStyle w:val="TextBody"/>
        <w:bidi w:val="0"/>
        <w:spacing w:before="0" w:after="240"/>
        <w:ind w:left="0" w:right="0" w:firstLine="360"/>
        <w:jc w:val="both"/>
        <w:rPr/>
      </w:pPr>
      <w:r>
        <w:rPr/>
        <w:t>​</w:t>
      </w:r>
    </w:p>
    <w:tbl>
      <w:tblPr>
        <w:tblW w:w="8932" w:type="dxa"/>
        <w:jc w:val="left"/>
        <w:tblInd w:w="0" w:type="dxa"/>
        <w:tblLayout w:type="fixed"/>
        <w:tblCellMar>
          <w:top w:w="0" w:type="dxa"/>
          <w:left w:w="0" w:type="dxa"/>
          <w:bottom w:w="0" w:type="dxa"/>
          <w:right w:w="0" w:type="dxa"/>
        </w:tblCellMar>
      </w:tblPr>
      <w:tblGrid>
        <w:gridCol w:w="4111"/>
        <w:gridCol w:w="346"/>
        <w:gridCol w:w="1741"/>
        <w:gridCol w:w="346"/>
        <w:gridCol w:w="211"/>
        <w:gridCol w:w="691"/>
        <w:gridCol w:w="346"/>
        <w:gridCol w:w="254"/>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610485" cy="175260"/>
                      <wp:effectExtent l="0" t="0" r="0" b="0"/>
                      <wp:wrapNone/>
                      <wp:docPr id="85" name="Frame8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105535" cy="175260"/>
                      <wp:effectExtent l="0" t="0" r="0" b="0"/>
                      <wp:wrapNone/>
                      <wp:docPr id="87" name="Frame8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38785" cy="175260"/>
                      <wp:effectExtent l="0" t="0" r="0" b="0"/>
                      <wp:wrapNone/>
                      <wp:docPr id="90" name="Frame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61290" cy="175260"/>
                      <wp:effectExtent l="0" t="0" r="0" b="0"/>
                      <wp:wrapNone/>
                      <wp:docPr id="92" name="Frame91"/>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62610" cy="175260"/>
                      <wp:effectExtent l="0" t="0" r="0" b="0"/>
                      <wp:wrapNone/>
                      <wp:docPr id="93" name="Frame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8,914</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(6,844)</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2,311</w:t>
            </w:r>
          </w:p>
        </w:tc>
      </w:tr>
    </w:tbl>
    <w:p>
      <w:pPr>
        <w:pStyle w:val="TextBody"/>
        <w:bidi w:val="0"/>
        <w:spacing w:before="0" w:after="0"/>
        <w:ind w:left="0" w:right="0" w:hanging="0"/>
        <w:jc w:val="left"/>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of property and equipment was $0.7 million and $0.8 million, for the thirteen weeks ended March 29, 2026 and March 30,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net consists of capitalized internal-use software development, which is amortized over a three-year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683" w:name="Tc_1ddZxtzmyUWXFHJ0IXsy_g_8_5"/>
      <w:bookmarkStart w:id="684" w:name="Tc_6uTGHhtf6ku019mWmZCmyQ_8_2"/>
      <w:bookmarkStart w:id="685" w:name="Tc_AOdSo8d2H0GNa319UHQrdA_8_0"/>
      <w:bookmarkStart w:id="686" w:name="Tc_hyf3ZaKtAUybjMzB6sWUfw_7_0"/>
      <w:bookmarkStart w:id="687" w:name="Tc__Tzcg3KDZ06rXN_Bx94qvg_6_0"/>
      <w:bookmarkStart w:id="688" w:name="Tc_-NvhgtGliE6_Cj9feyGN3A_5_0"/>
      <w:bookmarkStart w:id="689" w:name="Tc_K8-RgKGDO0ubLIVGHP8_Rg_4_0"/>
      <w:bookmarkStart w:id="690" w:name="Tc_th24jYSTwUipWbu5hHQNOQ_3_5"/>
      <w:bookmarkStart w:id="691" w:name="Tc_vnMQQEGcjk-e8OGBVPErAw_3_2"/>
      <w:bookmarkStart w:id="692" w:name="Tc_PDJctuk1S0WbOMy7AbV5Ww_3_0"/>
      <w:bookmarkStart w:id="693" w:name="Tc_AeKfG0A-BUeVDoZhUHJajg_2_5"/>
      <w:bookmarkStart w:id="694" w:name="Tc_DUJTA00kL0mK9GGEwtcE3A_2_2"/>
      <w:bookmarkStart w:id="695" w:name="Tc_pEmTtgY0dU-kQD-ZWWCA5g_1_5"/>
      <w:bookmarkStart w:id="696" w:name="Tc_tI4hbPlyYkChDA9TNEElmQ_1_2"/>
      <w:bookmarkStart w:id="697" w:name="_460b0449_a0d3_4593_8467_82a82ef1c094"/>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Pr>
          <w:rFonts w:ascii="Times New Roman;Times;serif" w:hAnsi="Times New Roman;Times;serif"/>
          <w:sz w:val="20"/>
        </w:rPr>
        <w:t>The gross carrying amount of capitalized software was $17.4 million and $17.0 million as of March 29, 2026 and December 28, 2025, respectively, and accumulated amortization was $14.8 million and $14.3 million, respectively. Intangible asset amortization expense was $0.5 million for each of the thirteen weeks ended March 29, 2026 and March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29, 2026, estimated future amortization expense related to capitalized software is expected to be approximately $1.1 million in the remaining fiscal 2026, $1.0 million in fiscal 2027, $0.4 million in fiscal 2028, and $0.1 million in fiscal 2029.</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Expenses and Other Current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firstLine="360"/>
        <w:jc w:val="both"/>
        <w:rPr/>
      </w:pPr>
      <w:r>
        <w:rPr/>
        <w:t>​</w:t>
      </w:r>
    </w:p>
    <w:tbl>
      <w:tblPr>
        <w:tblW w:w="6308" w:type="dxa"/>
        <w:jc w:val="left"/>
        <w:tblInd w:w="0" w:type="dxa"/>
        <w:tblLayout w:type="fixed"/>
        <w:tblCellMar>
          <w:top w:w="0" w:type="dxa"/>
          <w:left w:w="0" w:type="dxa"/>
          <w:bottom w:w="0" w:type="dxa"/>
          <w:right w:w="0" w:type="dxa"/>
        </w:tblCellMar>
      </w:tblPr>
      <w:tblGrid>
        <w:gridCol w:w="3826"/>
        <w:gridCol w:w="346"/>
        <w:gridCol w:w="211"/>
        <w:gridCol w:w="676"/>
        <w:gridCol w:w="109"/>
        <w:gridCol w:w="242"/>
        <w:gridCol w:w="898"/>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429510" cy="175260"/>
                      <wp:effectExtent l="0" t="0" r="0" b="0"/>
                      <wp:wrapNone/>
                      <wp:docPr id="94" name="Frame93"/>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9260" cy="175260"/>
                      <wp:effectExtent l="0" t="0" r="0" b="0"/>
                      <wp:wrapNone/>
                      <wp:docPr id="97" name="Frame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3670" cy="175260"/>
                      <wp:effectExtent l="0" t="0" r="0" b="0"/>
                      <wp:wrapNone/>
                      <wp:docPr id="99" name="Frame9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70230" cy="175260"/>
                      <wp:effectExtent l="0" t="0" r="0" b="0"/>
                      <wp:wrapNone/>
                      <wp:docPr id="100" name="Frame9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compensation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13,384</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freight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2,658</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28,744</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17,411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Debt</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Credit Facility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15, 2021, the Company entered into the prior credit agreement with Bank of America (the “Prior Credit Agreement”) for a revolving facility that provided for borrowings up to $50.0 million with a maturity date of November 15, 2024. The Prior Credit Agreement was amended subsequently by five amendments which modified a number of terms, including extending the maturity date to August 22, 2025, reducing and ultimately prohibiting further borrowings, revising the applicable interest rates, revising or providing limited waivers of compliance with certain financial covenants, and adding covenants related to achieving a refinancing transaction.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August 14, 2025, the Company and its subsidiaries (collectively, the “Borrowers”) entered into the 2025 Credit Agreement for an asset-based revolving credit facility with a $20.0 million commitment, a $5.0 million uncommitted accordion and a $1.0 million sublimit for letters of credit. The amount that the Borrowers may borrow under the 2025 Credit Agreement is based on a borrowing base calculated based on advance rates for various assets serving as collateral for the 2025 Credit Agreement. Borrowings under the 2025 Credit Agreement bear interest at a rate equal to the 30-day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rPr>
        <w:t>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for minimum excess availability under the 2025 Credit Agreement. It also requires the Company to maintain lockbox accounts and cash management arrangements under the control of the Administrative Agent, who has full dominion and control over each Collection Account and all Deposit Accounts (except Excluded Accounts). Outstanding borrowings are classified as current liabilities, however, the 2025 Credit Agreement does not mature until August 14, 2028. On October 28, 2025, the Company entered into an amendment to the 2025 Credit Agreement, which included some clarifying and non-material changes to certain terms in the 2025 Credit Agreement.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initial funding of the 2025 Credit Agreement occurred on August 14, 2025, and the proceeds were used in part to repay approximately $6.0 million outstanding under the </w:t>
      </w:r>
      <w:r>
        <w:rPr>
          <w:rFonts w:ascii="Times New Roman;Times;serif" w:hAnsi="Times New Roman;Times;serif"/>
          <w:sz w:val="20"/>
          <w:shd w:fill="FFFFFF" w:val="clear"/>
        </w:rPr>
        <w:t>Prior Credit Agreement</w:t>
      </w:r>
      <w:r>
        <w:rPr>
          <w:rFonts w:ascii="Times New Roman;Times;serif" w:hAnsi="Times New Roman;Times;serif"/>
          <w:sz w:val="20"/>
        </w:rPr>
        <w:t xml:space="preserve">. In connection with entering into the 2025 Credit Agreement and the repayment in full of all outstanding obligations under the Prior Credit Agreement, </w:t>
      </w:r>
      <w:r>
        <w:rPr>
          <w:rFonts w:ascii="Times New Roman;Times;serif" w:hAnsi="Times New Roman;Times;serif"/>
          <w:sz w:val="20"/>
          <w:shd w:fill="FFFFFF" w:val="clear"/>
        </w:rPr>
        <w:t>the Prior Credit Agreement</w:t>
      </w:r>
      <w:r>
        <w:rPr>
          <w:rFonts w:ascii="Times New Roman;Times;serif" w:hAnsi="Times New Roman;Times;serif"/>
          <w:sz w:val="20"/>
        </w:rPr>
        <w:t xml:space="preserve"> and the related forbearance agreement and amendments with Bank of America, were terminated.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March 29, 2026, the outstanding borrowing under the 2025 Credit Agreement was $13.3 million in addition to a $0.3 million letter of credit outstanding. After giving effect to the excess availability covenant and the outstanding letter of credit, the unused availability was $2.4 million. During the thirteen weeks ended March 29, 2026, the Company borrowed $60.7 million and repaid $61.8 million under the 2025 Credit Agreement and borrowings had a weighted average interest rate of 10.1% inclusive of amortization of debt issuance cost.       </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Debt Discounts and Issuance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Debt discounts and issuance costs are deferred and amortized over the life of the related loan. The associated expense is included in interest expense in the condensed consolidated statements of operations and comprehensive loss. Debt issuance costs related to the 2025 Credit Agreement are included in prepaids and other current assets in the condensed consolidated balance sheets. As of March 29, 2026 and December 28, 2025, unamortized debt issuance costs recorded within prepaids and other current assets were $0.5 million and $0.6 million related to the 2025 Credit Agreement, respectively.</w:t>
      </w:r>
    </w:p>
    <w:p>
      <w:pPr>
        <w:pStyle w:val="TextBody"/>
        <w:bidi w:val="0"/>
        <w:spacing w:before="0" w:after="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primarily leases its distribution facilities, corporate offices and retail stores under operating lease agreements expiring on various dates through January 2029, most of which contain options to extend. In addition to payment of base rent, the Company is also required to pay property taxes, insurance, and common area maintenance expenses. The Company records lease expense on a straight-line basis over the term of the lease. </w:t>
      </w:r>
      <w:r>
        <w:rPr>
          <w:rFonts w:ascii="Times New Roman;Times;serif" w:hAnsi="Times New Roman;Times;serif"/>
          <w:sz w:val="20"/>
          <w:shd w:fill="FFFFFF" w:val="clear"/>
        </w:rPr>
        <w:t>The Company’s corporate headquarters are located in a leased facility in Chico, California, which lease will terminate on May 31, 2026. In early 2026, the Company entered into a lease agreement for a new facility in Chico, California, which will become our new corporate headquarters, effective May 15, 2026.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also leases equipment under finance lease agreements expiring on various dates through April 2029. During the thirteen weeks ended March 29, 2026, the Company executed a renewal to extend the lease term of certain finance leases related to equipment by 1.2 years. The extension was not previously considered reasonably certain and was accounted for as a lease modification in the first quarter of 2026. As a result, the Company remeasured the associated lease liabilities using an updated incremental borrowing rate of 5.91%. In addition the lease liabilities were remeasured with a corresponding adjustment to the right-of-use asset of $1.1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 early 2025, the Company consolidated two of its distribution facilities by moving operations from its former distribution facility in Chico, California to its existing distribution facility in Ontario, California. During the thirteen weeks ended March 30, 2025, the Company modified the terms and discount rate of two of its operating leases. As a result of the modification, the Company derecognized the related right-of-use asset and lease liability of $3.1 million and $3.2 million, respectively. The modification resulted in the recognition of a gain of $0.1 million.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698" w:name="Tc_ZRGdGbGpAUuSlBSad0BxPg_12_8"/>
      <w:bookmarkStart w:id="699" w:name="Tc_tihoAYCBYkuZJnDlXOJ1bA_12_2"/>
      <w:bookmarkStart w:id="700" w:name="Tc_ugJROBq4BEKjoRjCRiuNkA_10_0"/>
      <w:bookmarkStart w:id="701" w:name="Tc_3XbdJ3HBEkCAJHGPVoJRQg_9_0"/>
      <w:bookmarkStart w:id="702" w:name="Tc_apLBgR2qE0yR-UJxmepg0g_8_0"/>
      <w:bookmarkStart w:id="703" w:name="Tc_msszAyRgY06Hq5XRwxWt5Q_7_9"/>
      <w:bookmarkStart w:id="704" w:name="Tc_CAZ-lqp6JU2EvgvI73d4ZQ_7_6"/>
      <w:bookmarkStart w:id="705" w:name="Tc_A_l_4eaO8EmW-ixqULwI_g_7_3"/>
      <w:bookmarkStart w:id="706" w:name="Tc_6SvoE7MN7ESrckB29Vg_7w_7_0"/>
      <w:bookmarkStart w:id="707" w:name="Tc_4sdSzv_NYk-ILoqvOyHuLg_6_9"/>
      <w:bookmarkStart w:id="708" w:name="Tc_OemsEor2k0qOd7EMf2QYTA_6_6"/>
      <w:bookmarkStart w:id="709" w:name="Tc_QBtmcPcovkWPwXwS0fx2tg_6_3"/>
      <w:bookmarkStart w:id="710" w:name="Tc_w7JMQVixCEm_YKLyhTSCqQ_6_0"/>
      <w:bookmarkStart w:id="711" w:name="Tc_GJ5qG9o2eEGpiCP7qhf3lA_5_3"/>
      <w:bookmarkStart w:id="712" w:name="Tc_r5lqL7f7-0qHyLm58vW9bw_5_0"/>
      <w:bookmarkStart w:id="713" w:name="Tc_SwXKPp0gUUG7IuvtZS3N5A_4_0"/>
      <w:bookmarkStart w:id="714" w:name="Tc_BWtxAB-sjkGdBypGpFxkQw_3_0"/>
      <w:bookmarkStart w:id="715" w:name="Tc_l1I0v3T7F0ChOoznHPO4ww_2_8"/>
      <w:bookmarkStart w:id="716" w:name="Tc_nq_cOrE_UUGsXo8QvKpLAQ_2_5"/>
      <w:bookmarkStart w:id="717" w:name="Tc_oQiJLB9JGEqgAyqeivISLg_2_2"/>
      <w:bookmarkStart w:id="718" w:name="Tc_kNyZ1p_K-EeK9YZ_O1ESSA_2_0"/>
      <w:bookmarkStart w:id="719" w:name="Tc_NV3Lpdgx8Ui9LdfMspcvkQ_1_8"/>
      <w:bookmarkStart w:id="720" w:name="Tc_kllyTeO8NUmrDWSg9OXbVg_1_5"/>
      <w:bookmarkStart w:id="721" w:name="Tc_uF1c6XsiVkWzsJVn9_uI9g_1_3"/>
      <w:bookmarkStart w:id="722" w:name="Tc_zYAnQ_eGckeR_MPgV3SElw_1_0"/>
      <w:bookmarkStart w:id="723" w:name="_748cb571_f8bc_4f39_b7a3_beaebdfb2a8e"/>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Pr>
          <w:rFonts w:ascii="Times New Roman;Times;serif" w:hAnsi="Times New Roman;Times;serif"/>
          <w:sz w:val="20"/>
        </w:rPr>
        <w:t xml:space="preserve">As of March 29, 2026, the future minimum lease payments for the Company’s operating and finance leases for each of the fiscal years were as follows (in thousands): </w:t>
      </w:r>
    </w:p>
    <w:p>
      <w:pPr>
        <w:pStyle w:val="TextBody"/>
        <w:bidi w:val="0"/>
        <w:spacing w:before="0" w:after="0"/>
        <w:ind w:left="0" w:right="0" w:firstLine="360"/>
        <w:jc w:val="both"/>
        <w:rPr/>
      </w:pPr>
      <w:r>
        <w:rPr/>
        <w:t>​</w:t>
      </w:r>
    </w:p>
    <w:tbl>
      <w:tblPr>
        <w:tblW w:w="7694" w:type="dxa"/>
        <w:jc w:val="left"/>
        <w:tblInd w:w="0" w:type="dxa"/>
        <w:tblLayout w:type="fixed"/>
        <w:tblCellMar>
          <w:top w:w="0" w:type="dxa"/>
          <w:left w:w="0" w:type="dxa"/>
          <w:bottom w:w="0" w:type="dxa"/>
          <w:right w:w="0" w:type="dxa"/>
        </w:tblCellMar>
      </w:tblPr>
      <w:tblGrid>
        <w:gridCol w:w="2986"/>
        <w:gridCol w:w="346"/>
        <w:gridCol w:w="211"/>
        <w:gridCol w:w="1591"/>
        <w:gridCol w:w="109"/>
        <w:gridCol w:w="326"/>
        <w:gridCol w:w="1069"/>
        <w:gridCol w:w="109"/>
        <w:gridCol w:w="211"/>
        <w:gridCol w:w="73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896110" cy="175260"/>
                      <wp:effectExtent l="0" t="0" r="0" b="0"/>
                      <wp:wrapNone/>
                      <wp:docPr id="101" name="Frame100"/>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010285" cy="175260"/>
                      <wp:effectExtent l="0" t="0" r="0" b="0"/>
                      <wp:wrapNone/>
                      <wp:docPr id="104" name="Frame103"/>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78815" cy="175260"/>
                      <wp:effectExtent l="0" t="0" r="0" b="0"/>
                      <wp:wrapNone/>
                      <wp:docPr id="107" name="Frame106"/>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67360" cy="175260"/>
                      <wp:effectExtent l="0" t="0" r="0" b="0"/>
                      <wp:wrapNone/>
                      <wp:docPr id="110" name="Frame10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Finance Leases</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2026 remaining 9 months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5,756</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5,666</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6,159</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15,957</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17,432</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adjustment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16,206</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lease liabilities, current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(5,762)</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9,011</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9,220</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Litigation and Other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condensed consolidated financial statements. As of March 29, 2026, the Company was not aware of any currently pending legal matters or claims, individually or in the aggregate, that are expected to have a material adverse impact on its condensed consolidated financial statements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also maintains director and officer insurance, which may cover certain liabilities arising from its obligation to indemnify the Company’s directors and officers. To date, the Company has not incurred any material costs and has not accrued any liabilities in the condensed consolidated financial statements as a result of these provisions.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Stockholders’ Equity (Deficit)</w:t>
      </w:r>
      <w:r>
        <w:rPr>
          <w:rFonts w:ascii="Times New Roman;Times;serif" w:hAnsi="Times New Roman;Times;serif"/>
          <w:b/>
          <w:color w:val="EE0000"/>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Common Stock </w:t>
      </w:r>
    </w:p>
    <w:p>
      <w:pPr>
        <w:pStyle w:val="TextBody"/>
        <w:bidi w:val="0"/>
        <w:spacing w:before="280" w:after="0"/>
        <w:ind w:left="0" w:right="0" w:firstLine="360"/>
        <w:jc w:val="both"/>
        <w:rPr>
          <w:rFonts w:ascii="Times New Roman;Times;serif" w:hAnsi="Times New Roman;Times;serif"/>
          <w:sz w:val="20"/>
        </w:rPr>
      </w:pPr>
      <w:r>
        <w:rPr>
          <w:rFonts w:ascii="Times New Roman;Times;serif" w:hAnsi="Times New Roman;Times;serif"/>
          <w:sz w:val="20"/>
        </w:rPr>
        <w:t>Pursuant to the Company’s amended and restated certificate of incorporation, the Company is authorized to issue 250,000,000 shares of common stock having a par value of $0.001 per share. Holders of common stock are entitled to one vote per share on all matters to be voted upon by the stockholders of the Company. Subject to the preferences that may be applicable to any outstanding share</w:t>
      </w:r>
      <w:r>
        <w:rPr>
          <w:rFonts w:ascii="Times New Roman;Times;serif" w:hAnsi="Times New Roman;Times;serif"/>
          <w:sz w:val="20"/>
          <w:shd w:fill="FFFFFF" w:val="clear"/>
        </w:rPr>
        <w:t xml:space="preserve"> of preferred stock, the holders of common stock are entitled to receive dividends, if any, as may be declared by the Board of Directors. No dividends have been declared to date. As of March 29, 2026, </w:t>
      </w:r>
      <w:r>
        <w:rPr>
          <w:rFonts w:ascii="Times New Roman;Times;serif" w:hAnsi="Times New Roman;Times;serif"/>
          <w:sz w:val="20"/>
        </w:rPr>
        <w:t xml:space="preserve">the Company has reserved 10,760 shares of common </w:t>
      </w:r>
      <w:r>
        <w:rPr>
          <w:rFonts w:ascii="Times New Roman;Times;serif" w:hAnsi="Times New Roman;Times;serif"/>
          <w:sz w:val="20"/>
          <w:shd w:fill="FFFFFF" w:val="clear"/>
        </w:rPr>
        <w:t>stock for issuance upon the exercise of stock options, and 345,679 shares of common stock available for future issuance under the Lulu’s Fashion Lounge Holdings, Inc. Omnibus Equity Plan (the “Omnibus Equity Plan”), and</w:t>
      </w:r>
      <w:r>
        <w:rPr>
          <w:rFonts w:ascii="Times New Roman;Times;serif" w:hAnsi="Times New Roman;Times;serif"/>
          <w:sz w:val="20"/>
        </w:rPr>
        <w:t xml:space="preserve"> 68,857 </w:t>
      </w:r>
      <w:r>
        <w:rPr>
          <w:rFonts w:ascii="Times New Roman;Times;serif" w:hAnsi="Times New Roman;Times;serif"/>
          <w:sz w:val="20"/>
          <w:shd w:fill="FFFFFF" w:val="clear"/>
        </w:rPr>
        <w:t>shares of common stock available for future issuance under the 2021 Employee Stock Purchase Plan (the “ESPP”), as adjusted on a retroactive basis for the Reverse Stock Split. Refer to "Reverse Stock Split" within this Note 8, </w:t>
      </w:r>
      <w:r>
        <w:rPr>
          <w:rFonts w:ascii="Times New Roman;Times;serif" w:hAnsi="Times New Roman;Times;serif"/>
          <w:i/>
          <w:sz w:val="20"/>
          <w:shd w:fill="FFFFFF" w:val="clear"/>
        </w:rPr>
        <w:t>Stockholders’ Equity (Deficit)</w:t>
      </w:r>
      <w:r>
        <w:rPr>
          <w:rFonts w:ascii="Times New Roman;Times;serif" w:hAnsi="Times New Roman;Times;serif"/>
          <w:sz w:val="20"/>
          <w:shd w:fill="FFFFFF" w:val="clear"/>
        </w:rPr>
        <w:t> for additional details. Both equity plans are further described below.</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March 29, 2026 and December 28, 2025, no shares of preferred stock were issued and outstanding</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Omnibus Equity Plan and Employee Stock Purchase Plan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Company’s Omnibus Equity Plan, incentive awards may be granted to employees, directors, and consultants of the Company. The Company initially reserved 247,933 shares of common stock, for future issuance under the Omnibus Equity Plan, including any shares subject to awards under the</w:t>
      </w:r>
      <w:r>
        <w:rPr>
          <w:rFonts w:ascii="Times New Roman;Times;serif" w:hAnsi="Times New Roman;Times;serif"/>
          <w:sz w:val="20"/>
          <w:shd w:fill="FFFFFF" w:val="clear"/>
        </w:rPr>
        <w:t xml:space="preserve"> 2021 Equity Incentive Plan (the “2021 Equity Plan”)</w:t>
      </w:r>
      <w:r>
        <w:rPr>
          <w:rFonts w:ascii="Times New Roman;Times;serif" w:hAnsi="Times New Roman;Times;serif"/>
          <w:sz w:val="20"/>
        </w:rPr>
        <w:t xml:space="preserve"> that are forfeited or lapse unexercised. The number of shares reserved for issuance under the Omnibus Equity Plan automatically increases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w:t>
      </w:r>
      <w:r>
        <w:rPr>
          <w:rFonts w:ascii="Times New Roman;Times;serif" w:hAnsi="Times New Roman;Times;serif"/>
          <w:sz w:val="20"/>
          <w:shd w:fill="FFFFFF" w:val="clear"/>
        </w:rPr>
        <w:t>The Company has registered shares issuable under the Omnibus Equity Plan pursuant to various Registration Statements on Form S-8.</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ESPP, the Company initially reserved 49,587 shares of common stock, for future issuance. The number of shares of common stock reserved for issuance automatically increases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The Company has registered shares issuable under </w:t>
      </w:r>
      <w:r>
        <w:rPr>
          <w:rFonts w:ascii="Times New Roman;Times;serif" w:hAnsi="Times New Roman;Times;serif"/>
          <w:sz w:val="20"/>
          <w:shd w:fill="FFFFFF" w:val="clear"/>
        </w:rPr>
        <w:t>the ESPP pursuant to various Registration Statements on Form S-8.</w:t>
      </w:r>
    </w:p>
    <w:p>
      <w:pPr>
        <w:pStyle w:val="TextBody"/>
        <w:shd w:fill="FFFFFF" w:val="clear"/>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firstLine="360"/>
        <w:jc w:val="both"/>
        <w:rPr>
          <w:rFonts w:ascii="Times New Roman;Times;serif" w:hAnsi="Times New Roman;Times;serif"/>
          <w:sz w:val="20"/>
        </w:rPr>
      </w:pPr>
      <w:bookmarkStart w:id="724" w:name="Tc_zMj3tY7NtkmuPdwNdmz5Kw_5_3"/>
      <w:bookmarkStart w:id="725" w:name="Tc_ZuApWaw-ak2DeHrKD9OxtA_5_2"/>
      <w:bookmarkStart w:id="726" w:name="Tc_HqVNhdQiSE6VEz5s9QU6AA_5_0"/>
      <w:bookmarkStart w:id="727" w:name="Tc_Jfiu8ufIhkii2cjgLOLYUg_4_3"/>
      <w:bookmarkStart w:id="728" w:name="Tc_weB8KeH400-3Dc-UFyrL4g_4_0"/>
      <w:bookmarkStart w:id="729" w:name="Tc_BYV4Akd2K0G3c1n3E5XAQQ_3_4"/>
      <w:bookmarkStart w:id="730" w:name="Tc_koT9Tl5chUCarXY4i5ss0Q_3_3"/>
      <w:bookmarkStart w:id="731" w:name="Tc_Mwr_Rj8m2USScPrCewEAAQ_3_0"/>
      <w:bookmarkStart w:id="732" w:name="Tc_sjpr4RjoVkiznkcZEPZNXg_2_4"/>
      <w:bookmarkStart w:id="733" w:name="Tc_XS9ydQN1oEmDmFSi4oOHBQ_2_3"/>
      <w:bookmarkStart w:id="734" w:name="Tc_Rq1MnpMz5EaxUGQxRCBRLg_2_0"/>
      <w:bookmarkStart w:id="735" w:name="Tc_Lce5YNjzF0-N9r4lWrmTdw_1_3"/>
      <w:bookmarkStart w:id="736" w:name="Tc_Ki2W_vf-Ek2OMQvZDioAGQ_1_0"/>
      <w:bookmarkEnd w:id="724"/>
      <w:bookmarkEnd w:id="725"/>
      <w:bookmarkEnd w:id="726"/>
      <w:bookmarkEnd w:id="727"/>
      <w:bookmarkEnd w:id="728"/>
      <w:bookmarkEnd w:id="729"/>
      <w:bookmarkEnd w:id="730"/>
      <w:bookmarkEnd w:id="731"/>
      <w:bookmarkEnd w:id="732"/>
      <w:bookmarkEnd w:id="733"/>
      <w:bookmarkEnd w:id="734"/>
      <w:bookmarkEnd w:id="735"/>
      <w:bookmarkEnd w:id="736"/>
      <w:r>
        <w:rPr>
          <w:rFonts w:ascii="Times New Roman;Times;serif" w:hAnsi="Times New Roman;Times;serif"/>
          <w:sz w:val="20"/>
        </w:rPr>
        <w:t>As of March 29, 2026, the Company had 345,679 shares and 68,857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rates at which awards vest and the other terms and conditions of the awards granted under the Omnibus Equity Plan. The Compensation Committee may or may not issue the full number of shares that are reserved for issuance.  </w:t>
      </w:r>
    </w:p>
    <w:p>
      <w:pPr>
        <w:pStyle w:val="TextBody"/>
        <w:shd w:fill="FFFFFF" w:val="clear"/>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recognizes equity-based compensation expense related to shares issued pursuant to the ESPP on a graded vesting approach over each offering period. For the thirteen weeks ended</w:t>
      </w:r>
      <w:r>
        <w:rPr>
          <w:rFonts w:ascii="Times New Roman;Times;serif" w:hAnsi="Times New Roman;Times;serif"/>
          <w:sz w:val="20"/>
          <w:shd w:fill="FFFFFF" w:val="clear"/>
        </w:rPr>
        <w:t xml:space="preserve"> March 29, 2026, and March 30, 2025, equity-based compensation expense related to our ESPP was immaterial. During the thirteen weeks ended March 29, 2026 and March 30, 2025, the Company issued 5,822 shares and 3,951 shares, respectively, pursuant to the ESPP six-month purchase periods ended February 25, 2026 and February 25, 2025, respectively</w:t>
      </w:r>
      <w:r>
        <w:rPr>
          <w:rFonts w:ascii="Times New Roman;Times;serif" w:hAnsi="Times New Roman;Times;serif"/>
          <w:sz w:val="20"/>
        </w:rPr>
        <w:t>.</w:t>
      </w:r>
      <w:r>
        <w:rPr>
          <w:rFonts w:ascii="Times New Roman;Times;serif" w:hAnsi="Times New Roman;Times;serif"/>
          <w:sz w:val="20"/>
          <w:shd w:fill="FFFFFF" w:val="clear"/>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used the Black-Scholes model to estimate the fair value of the purchase rights under the ESPP. For the thirteen weeks ended March 29, 2026, the Company utilized the following assumptions:</w:t>
      </w:r>
    </w:p>
    <w:p>
      <w:pPr>
        <w:pStyle w:val="TextBody"/>
        <w:bidi w:val="0"/>
        <w:spacing w:before="0" w:after="0"/>
        <w:ind w:left="0" w:right="0" w:hanging="0"/>
        <w:jc w:val="both"/>
        <w:rPr/>
      </w:pPr>
      <w:r>
        <w:rPr/>
        <w:t>​</w:t>
      </w:r>
    </w:p>
    <w:tbl>
      <w:tblPr>
        <w:tblW w:w="7268" w:type="dxa"/>
        <w:jc w:val="left"/>
        <w:tblInd w:w="0" w:type="dxa"/>
        <w:tblLayout w:type="fixed"/>
        <w:tblCellMar>
          <w:top w:w="0" w:type="dxa"/>
          <w:left w:w="0" w:type="dxa"/>
          <w:bottom w:w="0" w:type="dxa"/>
          <w:right w:w="0" w:type="dxa"/>
        </w:tblCellMar>
      </w:tblPr>
      <w:tblGrid>
        <w:gridCol w:w="5131"/>
        <w:gridCol w:w="109"/>
        <w:gridCol w:w="211"/>
        <w:gridCol w:w="1501"/>
        <w:gridCol w:w="316"/>
      </w:tblGrid>
      <w:tr>
        <w:trPr/>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258185" cy="175260"/>
                      <wp:effectExtent l="0" t="0" r="0" b="0"/>
                      <wp:wrapNone/>
                      <wp:docPr id="111" name="Frame110"/>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953135" cy="175260"/>
                      <wp:effectExtent l="0" t="0" r="0" b="0"/>
                      <wp:wrapNone/>
                      <wp:docPr id="114" name="Frame11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0660" cy="175260"/>
                      <wp:effectExtent l="0" t="0" r="0" b="0"/>
                      <wp:wrapNone/>
                      <wp:docPr id="115" name="Frame11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 to 1.00</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102.85 to 117.46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 to 4.06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fair value per share of ESPP awards granted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0.86 to 2.01</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shd w:fill="FFFFFF" w:val="clear"/>
        <w:bidi w:val="0"/>
        <w:spacing w:before="0" w:after="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Equity-based compensation expense is included in general and administrative expenses in the condensed consolidated statements of operations and comprehensive loss.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737" w:name="Tc_5WO0GSv3SUiwgIDphL_xKg_11_10"/>
      <w:bookmarkStart w:id="738" w:name="Tc_PzSIAMhiQE2lYXpCz5M07A_11_9"/>
      <w:bookmarkStart w:id="739" w:name="Tc_Er9wbqNky0-qc0gzQMDb7w_11_4"/>
      <w:bookmarkStart w:id="740" w:name="Tc_joyxE7l8-UC_PetjjkO5tA_11_0"/>
      <w:bookmarkStart w:id="741" w:name="Tc_o4zG8owj60a08FRqWm2t1w_10_10"/>
      <w:bookmarkStart w:id="742" w:name="Tc_mqxcSZShsUicWZdGNUhLtw_10_9"/>
      <w:bookmarkStart w:id="743" w:name="Tc_9TQ18NdHHUyNeXTaaO3mVA_10_4"/>
      <w:bookmarkStart w:id="744" w:name="Tc_bpIWva2V00SVJi0ObRFtsQ_10_0"/>
      <w:bookmarkStart w:id="745" w:name="Tc_B-v-VD42lU2YhfS-p7vPcA_9_4"/>
      <w:bookmarkStart w:id="746" w:name="Tc_WAJp0p5IE0KiTyFt60CQvg_9_0"/>
      <w:bookmarkStart w:id="747" w:name="Tc_42jgOgEJT0O6LGKN2Il6NA_8_7"/>
      <w:bookmarkStart w:id="748" w:name="Tc_B_M-qVQvn0msfVTkKmIOpg_8_5"/>
      <w:bookmarkStart w:id="749" w:name="Tc_IP6ANUmEtUevVFQQKAbbPg_8_2"/>
      <w:bookmarkStart w:id="750" w:name="Tc_9bWYk4UyDEueu4svP9QglQ_8_0"/>
      <w:bookmarkStart w:id="751" w:name="Tc_3GCjPtz-HkmSv7tIY94qjQ_7_7"/>
      <w:bookmarkStart w:id="752" w:name="Tc_4uqcu1ObbEikiJBFKFIrFQ_7_5"/>
      <w:bookmarkStart w:id="753" w:name="Tc_2UW5pDaWsU6AiHCkHegnOg_7_2"/>
      <w:bookmarkStart w:id="754" w:name="Tc_IbQ6qCL1wkO9LGpWji6BrA_7_0"/>
      <w:bookmarkStart w:id="755" w:name="Tc_EoE4KW5kvUKh0h_9uHZw2w_6_4"/>
      <w:bookmarkStart w:id="756" w:name="Tc_nAw6waemfEG0LTwAPiu1lA_6_0"/>
      <w:bookmarkStart w:id="757" w:name="Tc_LZ86j4sq6EyQObfQtSDpKg_5_9"/>
      <w:bookmarkStart w:id="758" w:name="Tc_MKOyOIRNh0iSnkHQ2grGoQ_5_7"/>
      <w:bookmarkStart w:id="759" w:name="Tc_6OSWFuga9km3LozxeHtlRQ_5_4"/>
      <w:bookmarkStart w:id="760" w:name="Tc_YC2ipXGpYU-l8u3wUDy1hQ_5_2"/>
      <w:bookmarkStart w:id="761" w:name="Tc_Zi8XUxEAHEGNEXsbZOXVoQ_4_9"/>
      <w:bookmarkStart w:id="762" w:name="Tc_dn0L6j5CXkaZUDeXk3F2bg_4_7"/>
      <w:bookmarkStart w:id="763" w:name="Tc_UGjp--EBKE6DD3xyBn19DA_4_4"/>
      <w:bookmarkStart w:id="764" w:name="Tc_iAgCS0QpDUOyCR9sfaGgLA_4_2"/>
      <w:bookmarkStart w:id="765" w:name="Tc_5561fkPuQkCTShRxaTHFjw_3_9"/>
      <w:bookmarkStart w:id="766" w:name="Tc_BH-v8Yer6kysP6w8awtnCQ_3_7"/>
      <w:bookmarkStart w:id="767" w:name="Tc_3oSAvD-KYUW0GYgZdemJcQ_3_4"/>
      <w:bookmarkStart w:id="768" w:name="Tc_L1i2qQN-Tk-PhM-7ob-Xvg_2_7"/>
      <w:bookmarkStart w:id="769" w:name="Tc_z7XzSF6x-UOLaLjqyB39wQ_2_4"/>
      <w:bookmarkStart w:id="770" w:name="Tc_exyvbIQ2IkC4BEUZyCrVHA_1_7"/>
      <w:bookmarkStart w:id="771" w:name="Tc_zhZ3628Ivkek0gtol2mnNw_1_4"/>
      <w:bookmarkStart w:id="772" w:name="_d87b9053_b183_4a57_8e12_061bafe0b814"/>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Times New Roman;Times;serif" w:hAnsi="Times New Roman;Times;serif"/>
          <w:b/>
          <w:i/>
          <w:sz w:val="20"/>
          <w:shd w:fill="FFFFFF" w:val="clear"/>
        </w:rPr>
        <w:t>2024 Stock</w:t>
      </w:r>
      <w:r>
        <w:rPr>
          <w:rFonts w:ascii="Times New Roman;Times;serif" w:hAnsi="Times New Roman;Times;serif"/>
          <w:sz w:val="20"/>
        </w:rPr>
        <w:t xml:space="preserve"> </w:t>
      </w:r>
      <w:r>
        <w:rPr>
          <w:rFonts w:ascii="Times New Roman;Times;serif" w:hAnsi="Times New Roman;Times;serif"/>
          <w:b/>
          <w:i/>
          <w:sz w:val="20"/>
        </w:rPr>
        <w:t>Repurchase Program</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On May 8, 2024, the Company announced that its Board of Directors authorized a stock repurchase program allowing the Company to repurchase up to an aggregate amount of $2.5 million of its shares of common stock (the "2024 Repurchase Program"). During the thirteen weeks ended March 29, 2026, no shares were repurchased pursuant to the Company’s 2024 Repurchase Program.</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29, 2026, $1.1 million remained available under the 2024 Repurchase Program authorization. </w:t>
      </w:r>
      <w:r>
        <w:rPr>
          <w:rFonts w:ascii="Times New Roman;Times;serif" w:hAnsi="Times New Roman;Times;serif"/>
          <w:sz w:val="20"/>
          <w:shd w:fill="FFFFFF" w:val="clear"/>
        </w:rPr>
        <w:t xml:space="preserve">The actual timing, number, and value of shares repurchased in the future will be determined by the Company in its discretion and will depend on a number of factors, </w:t>
      </w:r>
      <w:r>
        <w:rPr>
          <w:rFonts w:ascii="Times New Roman;Times;serif" w:hAnsi="Times New Roman;Times;serif"/>
          <w:sz w:val="20"/>
        </w:rPr>
        <w:t>including market conditions, applicable legal requirements, our capital needs, and whether there is a better alternative use of capital. The 2024 Repurchase Program does not require the Company to purchase a minimum number of shares, and may be suspended, modified or discontinued at any time without prior notice.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11, 2025, the Company’s Board of Directors approved a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-for-15 reverse stock split (the “Reverse Stock Split”) of the Company’s common stock, par value $0.001 per share. On June 26, 2025, the Company filed a Certificate of Amendment to the Company’s amended and restated certificate of incorporation with the Secretary of State of the State of Delaware to effect the Reverse Stock Split. As a result, each stockholder of record on June 26, 2025 received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common stock for every fifteen shares held on the record date. No fractional shares were issued as a result of the Reverse Stock Split. Stockholders who otherwise would have been entitled to receive fractional shares because they held a number of shares of common stock not evenly divisible by the Reverse Stock Split ratio, received such number of shares of common stock rounded up to the nearest whole number. All share, equity award, and per share amounts presented herein have been retroactively adjusted to reflect this Reverse Stock Split, as applicable. The Reverse Stock Split was effective for purposes of trading on the Nasdaq Capital Market as of the opening of business on July 7,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2021 Equity Plan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During April 2021, the Company’s Board of Directors adopted the 2021 Equity Plan. The 2021 Equity Plan provided for the issuance of incentive stock options, restricted stock, restricted stock units and other equity-based and cash-based awards to the Company’s employees, directors, and consultants. The maximum aggregate number of shares reserved for issuance under the 2021 Equity Plan was 61,667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shd w:fill="FFFFFF" w:val="clear"/>
        </w:rPr>
        <w:t>A summary of stock option activity,</w:t>
      </w:r>
      <w:r>
        <w:rPr>
          <w:rFonts w:ascii="Times New Roman;Times;serif" w:hAnsi="Times New Roman;Times;serif"/>
          <w:sz w:val="20"/>
        </w:rPr>
        <w:t xml:space="preserve"> </w:t>
      </w:r>
      <w:r>
        <w:rPr>
          <w:rFonts w:ascii="Times New Roman;Times;serif" w:hAnsi="Times New Roman;Times;serif"/>
          <w:sz w:val="20"/>
          <w:shd w:fill="FFFFFF" w:val="clear"/>
        </w:rPr>
        <w:t>is as follows (in thousands, except per share amounts and years):</w:t>
      </w:r>
    </w:p>
    <w:tbl>
      <w:tblPr>
        <w:tblW w:w="9325" w:type="dxa"/>
        <w:jc w:val="left"/>
        <w:tblInd w:w="0" w:type="dxa"/>
        <w:tblLayout w:type="fixed"/>
        <w:tblCellMar>
          <w:top w:w="0" w:type="dxa"/>
          <w:left w:w="0" w:type="dxa"/>
          <w:bottom w:w="0" w:type="dxa"/>
          <w:right w:w="0" w:type="dxa"/>
        </w:tblCellMar>
      </w:tblPr>
      <w:tblGrid>
        <w:gridCol w:w="4141"/>
        <w:gridCol w:w="346"/>
        <w:gridCol w:w="1006"/>
        <w:gridCol w:w="346"/>
        <w:gridCol w:w="211"/>
        <w:gridCol w:w="676"/>
        <w:gridCol w:w="346"/>
        <w:gridCol w:w="991"/>
        <w:gridCol w:w="346"/>
        <w:gridCol w:w="291"/>
        <w:gridCol w:w="625"/>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629535" cy="175260"/>
                      <wp:effectExtent l="0" t="0" r="0" b="0"/>
                      <wp:wrapNone/>
                      <wp:docPr id="116" name="Frame115"/>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38810" cy="175260"/>
                      <wp:effectExtent l="0" t="0" r="0" b="0"/>
                      <wp:wrapNone/>
                      <wp:docPr id="118" name="Frame11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260" cy="175260"/>
                      <wp:effectExtent l="0" t="0" r="0" b="0"/>
                      <wp:wrapNone/>
                      <wp:docPr id="121"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29285" cy="175260"/>
                      <wp:effectExtent l="0" t="0" r="0" b="0"/>
                      <wp:wrapNone/>
                      <wp:docPr id="123" name="Frame12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84785" cy="175260"/>
                      <wp:effectExtent l="0" t="0" r="0" b="0"/>
                      <wp:wrapNone/>
                      <wp:docPr id="125" name="Frame124"/>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96875" cy="175260"/>
                      <wp:effectExtent l="0" t="0" r="0" b="0"/>
                      <wp:wrapNone/>
                      <wp:docPr id="126" name="Frame125"/>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291"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291"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center"/>
              <w:rPr/>
            </w:pPr>
            <w:r>
              <w:rPr/>
              <w:t>  ​ ​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28, 2025</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March 29, 2026</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March 29, 2026</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as of March 29, 2026</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773" w:name="Tc_20HvDbH3PE2-XH49B0sxIg_8_4"/>
      <w:bookmarkStart w:id="774" w:name="Tc_l2JFjKqLmkigNONR2OFTWQ_8_0"/>
      <w:bookmarkStart w:id="775" w:name="Tc__ev9ZyEUFE6CkrEcvk8cLQ_7_5"/>
      <w:bookmarkStart w:id="776" w:name="Tc_ywq1_vU0P0OdrM_pvgB9lw_7_2"/>
      <w:bookmarkStart w:id="777" w:name="Tc_T-wN0xZK3Uy1FNGyHmNUwA_7_0"/>
      <w:bookmarkStart w:id="778" w:name="Tc_K_mVDrjBRkKRj3YOLNnUkg_6_5"/>
      <w:bookmarkStart w:id="779" w:name="Tc_ACXPElBP7kWaN4aRFxV4Fw_6_2"/>
      <w:bookmarkStart w:id="780" w:name="Tc_9jjsj8f4xUy6IqMBs4bz5Q_6_0"/>
      <w:bookmarkStart w:id="781" w:name="Tc_W8JsW2aPU0qPoYasrsfTXQ_5_5"/>
      <w:bookmarkStart w:id="782" w:name="Tc_1ul7RM1wlEyUg6A9qcg2Lw_5_2"/>
      <w:bookmarkStart w:id="783" w:name="Tc_m3gpMNA_Rki7Q5T87ibBbA_5_0"/>
      <w:bookmarkStart w:id="784" w:name="Tc_2q-2AINDFkSV7vi7GJj8jA_4_4"/>
      <w:bookmarkStart w:id="785" w:name="Tc_naY6F2RBoE6IVgFS-ovkvw_4_0"/>
      <w:bookmarkStart w:id="786" w:name="Tc_sb8xNJ1rike9XyPAxS2zLw_3_4"/>
      <w:bookmarkStart w:id="787" w:name="Tc_ypSJuDUVkE6Kc83B3K8-fQ_3_2"/>
      <w:bookmarkStart w:id="788" w:name="Tc_T29BLAkJk0iqvJ6sDm2gew_2_4"/>
      <w:bookmarkStart w:id="789" w:name="Tc_-Z_Zr6MgpUeq6hp5C3iuVQ_2_2"/>
      <w:bookmarkStart w:id="790" w:name="Tc_HDHe9Bo3Ck-742Y7OOAPWA_1_4"/>
      <w:bookmarkStart w:id="791" w:name="Tc_dBaVFqdvIE6CfLoXnOyakQ_8_4"/>
      <w:bookmarkStart w:id="792" w:name="Tc_gEOSOfawRU-seki67pW6ww_8_0"/>
      <w:bookmarkStart w:id="793" w:name="Tc_Hq1Aiy6ZtU-ySoP9-fedLA_7_0"/>
      <w:bookmarkStart w:id="794" w:name="Tc_HONssO5Tm0GjboB024e2Tw_6_0"/>
      <w:bookmarkStart w:id="795" w:name="Tc_4oUhPNo4OkeTZnTZetrn-g_5_0"/>
      <w:bookmarkStart w:id="796" w:name="Tc_DtD0CmR5fE-QleKmG1eB2w_4_4"/>
      <w:bookmarkStart w:id="797" w:name="Tc_mDCo0zgjJUyVoJ2e260S5g_4_0"/>
      <w:bookmarkStart w:id="798" w:name="Tc_DMEqMkCxUkGc72QOh0vU1Q_3_4"/>
      <w:bookmarkStart w:id="799" w:name="Tc_3c61T3o1AEKA2OtgYg6Qyg_3_2"/>
      <w:bookmarkStart w:id="800" w:name="Tc_LAXXjPxRKUyMeeajlejzNw_2_4"/>
      <w:bookmarkStart w:id="801" w:name="Tc_KtSxgVoTbUCZxgw8X-dmTQ_2_2"/>
      <w:bookmarkStart w:id="802" w:name="Tc_Y1N5Z58Ue0GaFoULrCoWnA_1_4"/>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sz w:val="20"/>
          <w:shd w:fill="FFFFFF" w:val="clear"/>
        </w:rPr>
        <w:t xml:space="preserve">The Company had no equity-based compensation expense or unrecognized compensation cost related to stock options during the thirteen weeks ended </w:t>
      </w:r>
      <w:r>
        <w:rPr>
          <w:rFonts w:ascii="Times New Roman;Times;serif" w:hAnsi="Times New Roman;Times;serif"/>
          <w:sz w:val="20"/>
        </w:rPr>
        <w:t>March 29, 2026 and March 30, 2025.</w:t>
      </w:r>
      <w:r>
        <w:rPr>
          <w:rFonts w:ascii="Times New Roman;Times;serif" w:hAnsi="Times New Roman;Times;serif"/>
          <w:sz w:val="20"/>
          <w:shd w:fill="FFFFFF" w:val="clear"/>
        </w:rPr>
        <w:t xml:space="preserve"> </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Restricted Stock Units (“RSUs”) </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equity-based compensation expense of $0.6 million and $1.2 million during the thirteen weeks ended March 29, 2026 and March 30, 2025, respectively, related to RSUs awards granted to employees and directors during the period and prior periods. As of March 29, 2026, the unrecognized equity-based compensation expense is $2.2 million and will be recognized over a weighted-average period of 0.58 years.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 forward of unvested RSUs during the thirteen weeks ended March 29, 2026:</w:t>
      </w:r>
    </w:p>
    <w:p>
      <w:pPr>
        <w:pStyle w:val="TextBody"/>
        <w:bidi w:val="0"/>
        <w:spacing w:before="0" w:after="240"/>
        <w:ind w:left="0" w:right="0" w:firstLine="360"/>
        <w:jc w:val="both"/>
        <w:rPr>
          <w:shd w:fill="FFFFFF" w:val="clear"/>
        </w:rPr>
      </w:pPr>
      <w:r>
        <w:rPr>
          <w:shd w:fill="FFFFFF" w:val="clear"/>
        </w:rPr>
        <w:t>​</w:t>
      </w:r>
    </w:p>
    <w:tbl>
      <w:tblPr>
        <w:tblW w:w="4930" w:type="dxa"/>
        <w:jc w:val="left"/>
        <w:tblInd w:w="0" w:type="dxa"/>
        <w:tblLayout w:type="fixed"/>
        <w:tblCellMar>
          <w:top w:w="0" w:type="dxa"/>
          <w:left w:w="0" w:type="dxa"/>
          <w:bottom w:w="0" w:type="dxa"/>
          <w:right w:w="0" w:type="dxa"/>
        </w:tblCellMar>
      </w:tblPr>
      <w:tblGrid>
        <w:gridCol w:w="2596"/>
        <w:gridCol w:w="109"/>
        <w:gridCol w:w="796"/>
        <w:gridCol w:w="109"/>
        <w:gridCol w:w="335"/>
        <w:gridCol w:w="98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648460" cy="175260"/>
                      <wp:effectExtent l="0" t="0" r="0" b="0"/>
                      <wp:wrapNone/>
                      <wp:docPr id="127" name="Frame12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05460" cy="175260"/>
                      <wp:effectExtent l="0" t="0" r="0" b="0"/>
                      <wp:wrapNone/>
                      <wp:docPr id="129" name="Frame1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2725" cy="175260"/>
                      <wp:effectExtent l="0" t="0" r="0" b="0"/>
                      <wp:wrapNone/>
                      <wp:docPr id="131" name="Frame13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25475" cy="175260"/>
                      <wp:effectExtent l="0" t="0" r="0" b="0"/>
                      <wp:wrapNone/>
                      <wp:docPr id="132" name="Frame131"/>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28, 2025</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107,137</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34,837</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(45,146)</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109"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(3,848)</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32.45</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29, 2026</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92,980</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Stock Units (“PSUs”)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Company recognized equity-based compensation expense of $0.1 million and $0.3 million during the thirteen weeks ended March 29, 2026, and  March 30, 2025, respectively, related to the PSUs</w:t>
      </w:r>
      <w:r>
        <w:rPr>
          <w:rFonts w:ascii="Times New Roman;Times;serif" w:hAnsi="Times New Roman;Times;serif"/>
          <w:sz w:val="20"/>
        </w:rPr>
        <w:t xml:space="preserve"> granted to officers during the prior periods</w:t>
      </w:r>
      <w:r>
        <w:rPr>
          <w:rFonts w:ascii="Times New Roman;Times;serif" w:hAnsi="Times New Roman;Times;serif"/>
          <w:sz w:val="20"/>
          <w:shd w:fill="FFFFFF" w:val="clear"/>
        </w:rPr>
        <w:t>. As of March 29, 2026, the unrecognized equity-based compensation expense is $48.5 thousand for the financial milestones that were considered probable of achievement, which will be recognized over a weighted-average period of 2.27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roll forward of unvested PSUs during the thirteen weeks ended March 29, 2026:</w:t>
      </w:r>
    </w:p>
    <w:p>
      <w:pPr>
        <w:pStyle w:val="TextBody"/>
        <w:bidi w:val="0"/>
        <w:spacing w:before="0" w:after="0"/>
        <w:ind w:left="0" w:right="0" w:hanging="0"/>
        <w:jc w:val="left"/>
        <w:rPr/>
      </w:pPr>
      <w:r>
        <w:rPr/>
        <w:t>​</w:t>
      </w:r>
    </w:p>
    <w:tbl>
      <w:tblPr>
        <w:tblW w:w="4915" w:type="dxa"/>
        <w:jc w:val="left"/>
        <w:tblInd w:w="0" w:type="dxa"/>
        <w:tblLayout w:type="fixed"/>
        <w:tblCellMar>
          <w:top w:w="0" w:type="dxa"/>
          <w:left w:w="0" w:type="dxa"/>
          <w:bottom w:w="0" w:type="dxa"/>
          <w:right w:w="0" w:type="dxa"/>
        </w:tblCellMar>
      </w:tblPr>
      <w:tblGrid>
        <w:gridCol w:w="2596"/>
        <w:gridCol w:w="109"/>
        <w:gridCol w:w="781"/>
        <w:gridCol w:w="109"/>
        <w:gridCol w:w="335"/>
        <w:gridCol w:w="98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648460" cy="175260"/>
                      <wp:effectExtent l="0" t="0" r="0" b="0"/>
                      <wp:wrapNone/>
                      <wp:docPr id="133" name="Frame13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5935" cy="175260"/>
                      <wp:effectExtent l="0" t="0" r="0" b="0"/>
                      <wp:wrapNone/>
                      <wp:docPr id="135"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2725" cy="175260"/>
                      <wp:effectExtent l="0" t="0" r="0" b="0"/>
                      <wp:wrapNone/>
                      <wp:docPr id="137" name="Frame13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25475" cy="175260"/>
                      <wp:effectExtent l="0" t="0" r="0" b="0"/>
                      <wp:wrapNone/>
                      <wp:docPr id="138" name="Frame137"/>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PSUs</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28, 2025</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160,772</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33.59</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granted</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vested</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forfeited</w:t>
            </w:r>
          </w:p>
        </w:tc>
        <w:tc>
          <w:tcPr>
            <w:tcW w:w="109"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29, 2026</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160,772</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33.59</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03" w:name="_Hlk180477403"/>
      <w:bookmarkStart w:id="804" w:name="Tc_oKvrcIIK5Eq3EdQocJ3f6g_6_7"/>
      <w:bookmarkStart w:id="805" w:name="Tc_71-JdUeVWUGamZkNLNnXEw_6_4"/>
      <w:bookmarkStart w:id="806" w:name="Tc_fA11f7AxI0yjIIYxsrcU6Q_6_0"/>
      <w:bookmarkStart w:id="807" w:name="Tc_woQnm9BZBkq9B9ciKTsjGQ_5_0"/>
      <w:bookmarkStart w:id="808" w:name="Tc_8F3ZusN3Y02dFLYFh9_vGQ_4_5"/>
      <w:bookmarkStart w:id="809" w:name="Tc_iu8yCSFv_kiKXQOv-ea4_w_4_2"/>
      <w:bookmarkStart w:id="810" w:name="Tc_kBKzrxEDqk2iWqAzyO-FBQ_4_0"/>
      <w:bookmarkStart w:id="811" w:name="Tc_w8TutaPE60qJ3NFOFuFPVQ_3_5"/>
      <w:bookmarkStart w:id="812" w:name="Tc_VMo-mM2910OaHD4XZaioig_3_2"/>
      <w:bookmarkStart w:id="813" w:name="Tc_VUXqc6Kd6kytvl-xpI1aeQ_2_5"/>
      <w:bookmarkStart w:id="814" w:name="Tc_4YJtpiHJp0WJX2PrgWqXZw_2_2"/>
      <w:bookmarkStart w:id="815" w:name="Tc_6Ift4OmoR06S0oaRivM63A_1_2"/>
      <w:bookmarkStart w:id="816" w:name="_3d95aeb4_8976_44c5_9501_78b82425d041"/>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Pr>
          <w:rFonts w:ascii="Times New Roman;Times;serif" w:hAnsi="Times New Roman;Times;serif"/>
          <w:b/>
          <w:i w:val="false"/>
          <w:caps w:val="false"/>
          <w:smallCaps w:val="false"/>
          <w:sz w:val="20"/>
        </w:rPr>
        <w:t>9.</w:t>
      </w:r>
      <w:r>
        <w:rPr>
          <w:rFonts w:ascii="Times New Roman;Times;serif" w:hAnsi="Times New Roman;Times;serif"/>
          <w:b/>
          <w:sz w:val="20"/>
        </w:rPr>
        <w:t>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Company’s loss before income taxes is from the United States. The following table presents the components of the income tax benefit (provision) for income taxes (in thousands):</w:t>
      </w:r>
    </w:p>
    <w:p>
      <w:pPr>
        <w:pStyle w:val="TextBody"/>
        <w:bidi w:val="0"/>
        <w:spacing w:before="0" w:after="0"/>
        <w:ind w:left="0" w:right="0" w:hanging="0"/>
        <w:jc w:val="left"/>
        <w:rPr>
          <w:shd w:fill="FFFF00" w:val="clear"/>
        </w:rPr>
      </w:pPr>
      <w:r>
        <w:rPr>
          <w:shd w:fill="FFFF00" w:val="clear"/>
        </w:rPr>
        <w:t>​</w:t>
      </w:r>
    </w:p>
    <w:tbl>
      <w:tblPr>
        <w:tblW w:w="6803" w:type="dxa"/>
        <w:jc w:val="left"/>
        <w:tblInd w:w="0" w:type="dxa"/>
        <w:tblLayout w:type="fixed"/>
        <w:tblCellMar>
          <w:top w:w="0" w:type="dxa"/>
          <w:left w:w="0" w:type="dxa"/>
          <w:bottom w:w="0" w:type="dxa"/>
          <w:right w:w="0" w:type="dxa"/>
        </w:tblCellMar>
      </w:tblPr>
      <w:tblGrid>
        <w:gridCol w:w="3991"/>
        <w:gridCol w:w="346"/>
        <w:gridCol w:w="211"/>
        <w:gridCol w:w="691"/>
        <w:gridCol w:w="346"/>
        <w:gridCol w:w="211"/>
        <w:gridCol w:w="691"/>
        <w:gridCol w:w="31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534285" cy="175260"/>
                      <wp:effectExtent l="0" t="0" r="0" b="0"/>
                      <wp:wrapNone/>
                      <wp:docPr id="139" name="Frame138"/>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8785" cy="175260"/>
                      <wp:effectExtent l="0" t="0" r="0" b="0"/>
                      <wp:wrapNone/>
                      <wp:docPr id="142" name="Frame1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8785" cy="175260"/>
                      <wp:effectExtent l="0" t="0" r="0" b="0"/>
                      <wp:wrapNone/>
                      <wp:docPr id="145" name="Frame1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0660" cy="175260"/>
                      <wp:effectExtent l="0" t="0" r="0" b="0"/>
                      <wp:wrapNone/>
                      <wp:docPr id="146" name="Frame1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316"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benefit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1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benefit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However, for fiscal 2025, due to the uncertain and evolving impacts related to tariffs, the Company believed that using the year-to-date actual operating result was more reasonable. As such, beginning with the thirteen weeks ended March 30, 2025, the Company’s tax benefit for interim periods was determined using a discrete effective tax rate method, as allowed by ASC Topic 740-270, Income Taxes, Interim Reporting.</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fiscal 2026, the Company was able to provide a reasonable annual forecast. As such, beginning with the thirteen weeks ended March 29, 2026, the Company's tax provision for the interim period was determined using an estimated annual effective tax rate method, as the primary method for ASC Topic 740-270, Income Tax, Interim Reporting.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the thirteen weeks ended March 29, 2026 and March 30, 2025, the Company's effective tax rate differed from the federal income tax rate of 21% primarily due to the establishment or adjustment of a valuation allowance against its deferred taxes, as the Company could not provide sufficient positive evidence that the deferred tax assets (“DTAs”) will be more-likely-than-not realized in the future. </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regularly assesses the realizability of DTAs and records a valuation allowance to reduce the DTAs to the amount that is more likely than not to be realized. In assessing the realizability of our DTAs,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maintained a valuation allowance of $16.7 million as of December 28, 2025 and maintained the same position as of March 29,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Related Party Transactions</w:t>
      </w:r>
    </w:p>
    <w:p>
      <w:pPr>
        <w:pStyle w:val="TextBody"/>
        <w:bidi w:val="0"/>
        <w:spacing w:lineRule="auto" w:line="328" w:before="120" w:after="120"/>
        <w:ind w:left="0" w:right="0" w:hanging="0"/>
        <w:jc w:val="left"/>
        <w:rPr>
          <w:rFonts w:ascii="Times New Roman;Times;serif" w:hAnsi="Times New Roman;Times;serif"/>
          <w:b/>
          <w:i/>
          <w:sz w:val="20"/>
        </w:rPr>
      </w:pPr>
      <w:r>
        <w:rPr>
          <w:rFonts w:ascii="Times New Roman;Times;serif" w:hAnsi="Times New Roman;Times;serif"/>
          <w:b/>
          <w:i/>
          <w:sz w:val="20"/>
        </w:rPr>
        <w:t>Significant Shareholder Relationships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bookmarkStart w:id="817" w:name="Tc_acZMvWB1-kCoxlvtJXKspw_15_4"/>
      <w:bookmarkStart w:id="818" w:name="Tc_Rht9IXbuLEmgSoDdOZDGaw_15_1"/>
      <w:bookmarkStart w:id="819" w:name="Tc_e6NTXsbRK06V7579nU_4OQ_15_0"/>
      <w:bookmarkStart w:id="820" w:name="Tc_SFD9haFpmkigHaRubNv3CQ_14_0"/>
      <w:bookmarkStart w:id="821" w:name="Tc_r0TRUhR-SUqflsQ5H8TAaQ_13_0"/>
      <w:bookmarkStart w:id="822" w:name="Tc_aMNO7wtyNkSGQ2NnhrkRFg_12_0"/>
      <w:bookmarkStart w:id="823" w:name="Tc_FcRB1z8pm0CYrkeDcCEWUw_11_0"/>
      <w:bookmarkStart w:id="824" w:name="Tc_uWkaFwOhzEqbWFgRBLhuvQ_10_0"/>
      <w:bookmarkStart w:id="825" w:name="Tc_rbCXAZxrw06zDJRsU2ZYEg_9_0"/>
      <w:bookmarkStart w:id="826" w:name="Tc_9ypn1BKDmEOuMn6p3b8f1w_8_0"/>
      <w:bookmarkStart w:id="827" w:name="Tc_GTmaTMYjX0O3lUAOiaIoVw_7_0"/>
      <w:bookmarkStart w:id="828" w:name="Tc_dfPyttlbqUqc7glyVehaxQ_6_0"/>
      <w:bookmarkStart w:id="829" w:name="Tc_bXwK3KKrqkqaR0dnGxCfyQ_5_4"/>
      <w:bookmarkStart w:id="830" w:name="Tc_JDFUrxdl_0a-8h2QzMZxKg_5_1"/>
      <w:bookmarkStart w:id="831" w:name="Tc_iuBdw-tpTUa4L5XFc3KqBg_5_0"/>
      <w:bookmarkStart w:id="832" w:name="Tc_N5zk92g_g0iMdO18g5GfFQ_3_4"/>
      <w:bookmarkStart w:id="833" w:name="Tc_vugNGZnpr0-F0qeuZCL_gA_3_1"/>
      <w:bookmarkStart w:id="834" w:name="Tc_AMGHbHx44UC4av14fFO9kQ_2_4"/>
      <w:bookmarkStart w:id="835" w:name="Tc_SLFDAMkX4Eu2eafenkHeHg_2_1"/>
      <w:bookmarkStart w:id="836" w:name="Tc_nLQ2ONdy2U-wSJzK33Iq8Q_1_1"/>
      <w:bookmarkStart w:id="837" w:name="_96c89278_d65b_4db8_9209_4ace4600faca"/>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r>
        <w:rPr>
          <w:rFonts w:ascii="Times New Roman;Times;serif" w:hAnsi="Times New Roman;Times;serif"/>
          <w:b/>
          <w:i w:val="false"/>
          <w:caps w:val="false"/>
          <w:smallCaps w:val="false"/>
          <w:sz w:val="20"/>
        </w:rPr>
        <w:t>11.</w:t>
      </w:r>
      <w:r>
        <w:rPr>
          <w:rFonts w:ascii="Times New Roman;Times;serif" w:hAnsi="Times New Roman;Times;serif"/>
          <w:b/>
          <w:sz w:val="20"/>
        </w:rPr>
        <w:t>Segment Reporting</w:t>
      </w:r>
    </w:p>
    <w:p>
      <w:pPr>
        <w:pStyle w:val="TextBody"/>
        <w:bidi w:val="0"/>
        <w:spacing w:before="0" w:after="18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Company identifies operating segments based on whether the Company’s Chief Executive Officer, who is the Chief Operating Decision Maker (“CODM”), regularly reviews operating results of particular components of the Company’s activities and allocates resources and assesses performance based on those results.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Company has </w:t>
      </w:r>
      <w:r>
        <w:rPr>
          <w:rFonts w:ascii="Times New Roman;Times;serif" w:hAnsi="Times New Roman;Times;serif"/>
          <w:sz w:val="20"/>
        </w:rPr>
        <w:t>one</w:t>
      </w:r>
      <w:r>
        <w:rPr>
          <w:rFonts w:ascii="Times New Roman;Times;serif" w:hAnsi="Times New Roman;Times;serif"/>
          <w:sz w:val="20"/>
          <w:shd w:fill="FFFFFF" w:val="clear"/>
        </w:rPr>
        <w:t> reportable segment related to the sale of merchandise directly to end customers. Neither sales to wholesale customers nor international customers are greater than 10% of total revenue, and therefore, neither requires separate disclosure as a reportable segment.</w:t>
      </w:r>
      <w:r>
        <w:rPr>
          <w:rFonts w:ascii="Times New Roman;Times;serif" w:hAnsi="Times New Roman;Times;serif"/>
          <w:sz w:val="20"/>
        </w:rPr>
        <w:t xml:space="preserve"> All long-lived assets are located in the United States and substantially all revenue is attributable to customers based in the United States.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measurement of segment assets is reported on the condensed consolidated balance sheet as total condensed consolidated assets. All assets, liabilities, cash flows, revenue and expenses are reported in the Company’s one reportable segment. When evaluating the Company’s financial performance and making strategic decisions, the CODM focuses their review of expenses incurred by the nature of those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table below is a summary of the segment profit or loss, including significant segment expenses (in thousands):</w:t>
      </w:r>
    </w:p>
    <w:p>
      <w:pPr>
        <w:pStyle w:val="TextBody"/>
        <w:bidi w:val="0"/>
        <w:spacing w:before="0" w:after="0"/>
        <w:ind w:left="0" w:right="0" w:hanging="0"/>
        <w:jc w:val="both"/>
        <w:rPr>
          <w:shd w:fill="FFFF00" w:val="clear"/>
        </w:rPr>
      </w:pPr>
      <w:r>
        <w:rPr>
          <w:shd w:fill="FFFF00" w:val="clear"/>
        </w:rPr>
        <w:t>​</w:t>
      </w:r>
    </w:p>
    <w:tbl>
      <w:tblPr>
        <w:tblW w:w="7896" w:type="dxa"/>
        <w:jc w:val="left"/>
        <w:tblInd w:w="0" w:type="dxa"/>
        <w:tblLayout w:type="fixed"/>
        <w:tblCellMar>
          <w:top w:w="0" w:type="dxa"/>
          <w:left w:w="0" w:type="dxa"/>
          <w:bottom w:w="0" w:type="dxa"/>
          <w:right w:w="0" w:type="dxa"/>
        </w:tblCellMar>
      </w:tblPr>
      <w:tblGrid>
        <w:gridCol w:w="5701"/>
        <w:gridCol w:w="211"/>
        <w:gridCol w:w="691"/>
        <w:gridCol w:w="346"/>
        <w:gridCol w:w="211"/>
        <w:gridCol w:w="7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0135" cy="175260"/>
                      <wp:effectExtent l="0" t="0" r="0" b="0"/>
                      <wp:wrapNone/>
                      <wp:docPr id="147" name="Frame146"/>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8785" cy="175260"/>
                      <wp:effectExtent l="0" t="0" r="0" b="0"/>
                      <wp:wrapNone/>
                      <wp:docPr id="149" name="Frame1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67360" cy="175260"/>
                      <wp:effectExtent l="0" t="0" r="0" b="0"/>
                      <wp:wrapNone/>
                      <wp:docPr id="152" name="Frame15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1"/>
              <w:ind w:left="0" w:right="0" w:hanging="0"/>
              <w:jc w:val="righ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5701" w:type="dxa"/>
            <w:tcBorders/>
            <w:vAlign w:val="center"/>
          </w:tcPr>
          <w:p>
            <w:pPr>
              <w:pStyle w:val="TableContents"/>
              <w:bidi w:val="0"/>
              <w:spacing w:before="0" w:after="1"/>
              <w:ind w:left="0" w:right="0" w:hanging="0"/>
              <w:jc w:val="righ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30,</w:t>
            </w:r>
          </w:p>
        </w:tc>
      </w:tr>
      <w:tr>
        <w:trPr/>
        <w:tc>
          <w:tcPr>
            <w:tcW w:w="5701" w:type="dxa"/>
            <w:tcBorders/>
            <w:vAlign w:val="center"/>
          </w:tcPr>
          <w:p>
            <w:pPr>
              <w:pStyle w:val="TableContents"/>
              <w:bidi w:val="0"/>
              <w:spacing w:before="0" w:after="1"/>
              <w:ind w:left="0" w:right="0" w:hanging="0"/>
              <w:jc w:val="righ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0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57,531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64,155</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38,314</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expenses (excluding equity-based compensation expense)</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11,794</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 expense</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Advertising expenses</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12,009</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 costs (1)</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7,395</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(2)</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net loss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(7,998)</w:t>
            </w:r>
          </w:p>
        </w:tc>
      </w:tr>
    </w:tbl>
    <w:p>
      <w:pPr>
        <w:pStyle w:val="TextBody"/>
        <w:bidi w:val="0"/>
        <w:spacing w:before="0" w:after="240"/>
        <w:ind w:left="36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Other net costs include professional services fees, other selling costs, other general and administrative costs, technology and software costs, facilities costs, interest income, non-operating income and expenses, and other immaterial expenses that do not align with the separately presented expense </w:t>
            </w:r>
            <w:r>
              <w:rPr>
                <w:rFonts w:ascii="Times New Roman;Times;serif" w:hAnsi="Times New Roman;Times;serif"/>
                <w:b w:val="false"/>
                <w:i w:val="false"/>
                <w:caps w:val="false"/>
                <w:smallCaps w:val="false"/>
                <w:sz w:val="20"/>
                <w:shd w:fill="FFFFFF" w:val="clear"/>
              </w:rPr>
              <w:t>categories.</w:t>
            </w:r>
          </w:p>
        </w:tc>
      </w:tr>
    </w:tbl>
    <w:p>
      <w:pPr>
        <w:pStyle w:val="TextBody"/>
        <w:bidi w:val="0"/>
        <w:spacing w:before="0" w:after="240"/>
        <w:ind w:left="1080" w:right="0" w:hanging="0"/>
        <w:jc w:val="both"/>
        <w:rPr/>
      </w:pPr>
      <w:r>
        <w:rPr/>
        <w:t>​</w:t>
      </w:r>
    </w:p>
    <w:tbl>
      <w:tblPr>
        <w:tblW w:w="7971" w:type="dxa"/>
        <w:jc w:val="left"/>
        <w:tblInd w:w="0" w:type="dxa"/>
        <w:tblLayout w:type="fixed"/>
        <w:tblCellMar>
          <w:top w:w="28" w:type="dxa"/>
          <w:left w:w="28" w:type="dxa"/>
          <w:bottom w:w="28" w:type="dxa"/>
          <w:right w:w="28" w:type="dxa"/>
        </w:tblCellMar>
      </w:tblPr>
      <w:tblGrid>
        <w:gridCol w:w="124"/>
        <w:gridCol w:w="331"/>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Excludes depreciation expense related to distribution facilities recorded in cost of revenue.</w:t>
            </w:r>
          </w:p>
        </w:tc>
      </w:tr>
    </w:tbl>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Subsequent Events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Company has evaluated subsequent events through the date the financial statements were issued, and there were no material events that occurred that would require recognition or disclosure in the consolidated financial statements.</w:t>
      </w:r>
      <w:r>
        <w:rPr>
          <w:rFonts w:ascii="Times New Roman;Times;serif" w:hAnsi="Times New Roman;Times;serif"/>
          <w:color w:val="EE0000"/>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38" w:name="Item2ManagementsDiscussionandAnalysisofF"/>
      <w:bookmarkStart w:id="839" w:name="_00947685_3629_49fd_9406_728851aa98bd"/>
      <w:bookmarkEnd w:id="838"/>
      <w:bookmarkEnd w:id="839"/>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December 28, 2025, filed with the Securities and Exchange Commission (“SEC”) on March 30, 2026 (the “2025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in our 2025 10-K.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Lulu’s Fashion Lounge Holdings, Inc., a Delaware Corporation (“Lulus”, “we”, “our”, or the “Company”) is a women’s clothing brand offering modern, feminine styles at accessible prices for every occasion. Our goal is to make every customer feel their most confident and beautiful for the moments that matter most. Lulus primarily serves a large, diverse community of Gen Z and Millennial women, who typically meet us in their 20s and stay with us through their 30s and beyond. We use direct customer feedback and insights to refine product offerings and elevate the customer experience. Lulus’ world-class personal stylists, bridal concierge, and customer care team provide thoughtful, personalized service to shoppers around the world</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Corporate Headquarters Lease</w:t>
      </w:r>
    </w:p>
    <w:p>
      <w:pPr>
        <w:pStyle w:val="TextBody"/>
        <w:pBdr/>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Our corporate headquarters are located in a leased facility in Chico, California, which lease will terminate on May 31, 2026. In early 2026, the Company entered into a lease agreement for a new facility in Chico, California, which will become our new corporate headquarters, effective May 15, 2026.</w:t>
      </w:r>
    </w:p>
    <w:p>
      <w:pPr>
        <w:pStyle w:val="TextBody"/>
        <w:shd w:fill="FFFFFF" w:val="clear"/>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Impact of Macroeconomic Trends on Business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Changing macroeconomic factors, including inflation, interest rates, tariffs or bans, world events, wars and domestic and international conflicts, existing and future laws, regulations and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r>
        <w:rPr>
          <w:rFonts w:ascii="Times New Roman;Times;serif" w:hAnsi="Times New Roman;Times;serif"/>
          <w:sz w:val="20"/>
        </w:rPr>
        <w:t xml:space="preserve">. </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cash available under the Loan and Security Agreement with White Oak Commercial Finance, LLC (the “2025 Credit Agreement”). We believe the cash on hand, cash provided by operations and cash available under 2025 Credit Agreement will enable us to meet our obligations for at least the next 12 months. For further information on the 2025 Credit Agreement, see Note 5, </w:t>
      </w:r>
      <w:r>
        <w:rPr>
          <w:rFonts w:ascii="Times New Roman;Times;serif" w:hAnsi="Times New Roman;Times;serif"/>
          <w:i/>
          <w:sz w:val="20"/>
        </w:rPr>
        <w:t>Debt</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and Financial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and analyze operating and financial data to assess the performance of our business and optimize resource allocation. The following table sets forth our key performance indicators for the periods presented (in thousands, except for percentages) and Average Order Value (defined below).</w:t>
      </w:r>
    </w:p>
    <w:tbl>
      <w:tblPr>
        <w:tblW w:w="5809" w:type="dxa"/>
        <w:jc w:val="left"/>
        <w:tblInd w:w="0" w:type="dxa"/>
        <w:tblLayout w:type="fixed"/>
        <w:tblCellMar>
          <w:top w:w="0" w:type="dxa"/>
          <w:left w:w="0" w:type="dxa"/>
          <w:bottom w:w="0" w:type="dxa"/>
          <w:right w:w="0" w:type="dxa"/>
        </w:tblCellMar>
      </w:tblPr>
      <w:tblGrid>
        <w:gridCol w:w="2746"/>
        <w:gridCol w:w="346"/>
        <w:gridCol w:w="211"/>
        <w:gridCol w:w="691"/>
        <w:gridCol w:w="361"/>
        <w:gridCol w:w="146"/>
        <w:gridCol w:w="211"/>
        <w:gridCol w:w="691"/>
        <w:gridCol w:w="40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743710" cy="175260"/>
                      <wp:effectExtent l="0" t="0" r="0" b="0"/>
                      <wp:wrapNone/>
                      <wp:docPr id="153" name="Frame152"/>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146" w:type="dxa"/>
            <w:tcBorders/>
            <w:vAlign w:val="center"/>
          </w:tcPr>
          <w:p>
            <w:pPr>
              <w:pStyle w:val="TableContents"/>
              <w:bidi w:val="0"/>
              <w:spacing w:before="0" w:after="0"/>
              <w:ind w:left="0" w:right="0" w:hanging="0"/>
              <w:jc w:val="left"/>
              <w:rPr/>
            </w:pPr>
            <w:r>
              <w:rPr/>
              <w:t>​</w:t>
            </w:r>
          </w:p>
        </w:tc>
        <w:tc>
          <w:tcPr>
            <w:tcW w:w="130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w:t>
            </w:r>
          </w:p>
        </w:tc>
        <w:tc>
          <w:tcPr>
            <w:tcW w:w="13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406" w:type="dxa"/>
            <w:tcBorders/>
            <w:vAlign w:val="center"/>
          </w:tcPr>
          <w:p>
            <w:pPr>
              <w:pStyle w:val="TableContents"/>
              <w:bidi w:val="0"/>
              <w:spacing w:before="0" w:after="0"/>
              <w:ind w:left="0" w:right="0" w:hanging="0"/>
              <w:jc w:val="lef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Active Customers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c>
          <w:tcPr>
            <w:tcW w:w="361" w:type="dxa"/>
            <w:tcBorders/>
            <w:shd w:fill="CCEEFF" w:val="clear"/>
            <w:vAlign w:val="center"/>
          </w:tcPr>
          <w:p>
            <w:pPr>
              <w:pStyle w:val="TableContents"/>
              <w:bidi w:val="0"/>
              <w:spacing w:before="0" w:after="0"/>
              <w:ind w:left="0" w:right="0" w:hanging="0"/>
              <w:jc w:val="left"/>
              <w:rPr/>
            </w:pPr>
            <w:r>
              <w:rPr/>
              <w:t>  ​ ​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c>
          <w:tcPr>
            <w:tcW w:w="406" w:type="dxa"/>
            <w:tcBorders/>
            <w:shd w:fill="CCEEFF" w:val="clear"/>
            <w:vAlign w:val="center"/>
          </w:tcPr>
          <w:p>
            <w:pPr>
              <w:pStyle w:val="TableContents"/>
              <w:bidi w:val="0"/>
              <w:spacing w:before="0" w:after="0"/>
              <w:ind w:left="0" w:right="0" w:hanging="0"/>
              <w:jc w:val="left"/>
              <w:rPr/>
            </w:pPr>
            <w:r>
              <w:rPr/>
              <w:t>  ​ ​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Order Value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88"/>
        <w:gridCol w:w="9793"/>
      </w:tblGrid>
      <w:tr>
        <w:trPr/>
        <w:tc>
          <w:tcPr>
            <w:tcW w:w="1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7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a reconciliation of net loss and net loss margin to non-GAAP Adjusted EBITDA and Adjusted EBITDA Margin for the thirteen weeks ended March 29, 2026 and March 30, 2025, and why we consider non-GAAP financial measures useful, see “Management’s Discussion and Analysis of Financial Condition and Results of Operations—Non-GAAP Financial Measures.”</w:t>
            </w:r>
          </w:p>
        </w:tc>
      </w:tr>
    </w:tbl>
    <w:p>
      <w:pPr>
        <w:pStyle w:val="TextBody"/>
        <w:pBdr/>
        <w:bidi w:val="0"/>
        <w:spacing w:before="0" w:after="0"/>
        <w:ind w:left="0" w:right="0" w:hanging="369"/>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Active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Average Order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Average Order Value (“AOV”) as the sum of the total gross sales before returns across our platform in a given period, plus shipping revenue, less discounts and markdowns, divided by the Total Orders Placed (as defined below) in that period. AOV reflects the average basket size of our customers. AOV may fluctuate as we continue investing in the development and introduction of new Lulus’ merchandise and as a result of our promotional discount activity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Orders Placed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Total Orders Placed, together with AOV, is an indicator of the net revenue we expect to generate in a particular period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0"/>
        <w:ind w:left="0" w:right="0" w:firstLine="432"/>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We report our financial results in accordance with generally accepted accounting principles in the U.S. (“GAAP”). However, management believes that certain non-GAAP financial measures provide investors with additional useful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Adjusted EBITDA and Adjusted EBITDA Margin </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Adjusted EBITDA is a non-GAAP financial measure that we calculate as net income (loss) before interest expense, income taxes or benefit, depreciation and amortization adjusted to exclude the effects of equity-based compensation expense and other non-routine expenses. Adjusted EBITDA is a key measure used by management to evaluate our operating performance, generate future operating plans and make strategic decisions regarding the allocation of capital. In particular, the exclusion of certain expenses in calculating Adjusted EBITDA facilitates operating performance comparisons on a period-to-period basis and, in the case of exclusion of the impact of equity-based compensation, excludes items that we do not consider to be indicative of our core operating performance. We believe that Adjusted EBITDA and Adjusted EBITDA Margin provide useful information to investors and others in understanding and evaluating our operating results and in comparing operating results across periods.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supplement our audited consolidated financial statements which are prepared in accordance with GAAP, we use “Adjusted EBITDA” and “Adjusted EBITDA Margin” (collectively referred to as “Adjusted EBITDA”)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interest expense, or the cash requirements necessary to service interest or principal payments on our debt;</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tax expense or the cash requirements to pay our taxes;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 does not reflect certain non-routine expenses that may represent a reduction in cash available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 excludes equity-based compensation which has been, and will continue to be for the foreseeable future, a significant recurring expense in our business and an important part of our compensation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Although depreciation and amortization are non-cash charges, the assets being depreciated and amortized will often have to be replaced in the future and such measures do not reflect any cash requirements for such replacements;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such measures differently than we do, limiting their usefulness as comparative measures.</w:t>
            </w:r>
          </w:p>
        </w:tc>
      </w:tr>
    </w:tbl>
    <w:p>
      <w:pPr>
        <w:pStyle w:val="TextBody"/>
        <w:bidi w:val="0"/>
        <w:spacing w:before="0" w:after="0"/>
        <w:ind w:left="0" w:right="0" w:firstLine="432"/>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equity-based compensation and goodwill impairment. It is reasonable to expect that some of these items will occur in future periods. However, we believe these adjustments are appropriate because the amounts recognized can vary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reconciliation for Adjusted EBITDA and Adjusted EBITDA Margin:</w:t>
      </w:r>
    </w:p>
    <w:tbl>
      <w:tblPr>
        <w:tblW w:w="6060" w:type="dxa"/>
        <w:jc w:val="left"/>
        <w:tblInd w:w="0" w:type="dxa"/>
        <w:tblLayout w:type="fixed"/>
        <w:tblCellMar>
          <w:top w:w="0" w:type="dxa"/>
          <w:left w:w="0" w:type="dxa"/>
          <w:bottom w:w="0" w:type="dxa"/>
          <w:right w:w="0" w:type="dxa"/>
        </w:tblCellMar>
      </w:tblPr>
      <w:tblGrid>
        <w:gridCol w:w="3361"/>
        <w:gridCol w:w="109"/>
        <w:gridCol w:w="211"/>
        <w:gridCol w:w="691"/>
        <w:gridCol w:w="271"/>
        <w:gridCol w:w="109"/>
        <w:gridCol w:w="211"/>
        <w:gridCol w:w="691"/>
        <w:gridCol w:w="40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34235" cy="175260"/>
                      <wp:effectExtent l="0" t="0" r="0" b="0"/>
                      <wp:wrapNone/>
                      <wp:docPr id="155" name="Frame154"/>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8785" cy="175260"/>
                      <wp:effectExtent l="0" t="0" r="0" b="0"/>
                      <wp:wrapNone/>
                      <wp:docPr id="158" name="Frame1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72085" cy="175260"/>
                      <wp:effectExtent l="0" t="0" r="0" b="0"/>
                      <wp:wrapNone/>
                      <wp:docPr id="159" name="Frame15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8785" cy="175260"/>
                      <wp:effectExtent l="0" t="0" r="0" b="0"/>
                      <wp:wrapNone/>
                      <wp:docPr id="162" name="Frame1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57810" cy="175260"/>
                      <wp:effectExtent l="0" t="0" r="0" b="0"/>
                      <wp:wrapNone/>
                      <wp:docPr id="163" name="Frame16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9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109" w:type="dxa"/>
            <w:tcBorders/>
            <w:vAlign w:val="center"/>
          </w:tcPr>
          <w:p>
            <w:pPr>
              <w:pStyle w:val="TableContents"/>
              <w:bidi w:val="0"/>
              <w:spacing w:before="0" w:after="0"/>
              <w:ind w:left="0" w:right="0" w:hanging="0"/>
              <w:jc w:val="left"/>
              <w:rPr/>
            </w:pPr>
            <w:r>
              <w:rPr/>
              <w:t>​</w:t>
            </w:r>
          </w:p>
        </w:tc>
        <w:tc>
          <w:tcPr>
            <w:tcW w:w="130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3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60"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9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406" w:type="dxa"/>
            <w:tcBorders/>
            <w:shd w:fill="CCEEFF" w:val="clear"/>
            <w:vAlign w:val="center"/>
          </w:tcPr>
          <w:p>
            <w:pPr>
              <w:pStyle w:val="TableContents"/>
              <w:bidi w:val="0"/>
              <w:spacing w:before="0" w:after="0"/>
              <w:ind w:left="0" w:right="0" w:hanging="0"/>
              <w:jc w:val="left"/>
              <w:rPr/>
            </w:pPr>
            <w:r>
              <w:rPr/>
              <w:t>  ​ ​ ​</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c>
          <w:tcPr>
            <w:tcW w:w="406"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406"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 expense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non-routine expense (2)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margin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8"/>
        <w:gridCol w:w="9793"/>
      </w:tblGrid>
      <w:tr>
        <w:trPr/>
        <w:tc>
          <w:tcPr>
            <w:tcW w:w="124" w:type="dxa"/>
            <w:tcBorders/>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thirteen weeks ended March 29, 2026 include equity-based compensation expense for performance stock units (“PSUs”) granted during prior periods and restricted stock units (“RSUs”) granted during the period and prior periods. </w:t>
            </w:r>
            <w:r>
              <w:rPr>
                <w:rFonts w:ascii="Times New Roman;Times;serif" w:hAnsi="Times New Roman;Times;serif"/>
                <w:b w:val="false"/>
                <w:i w:val="false"/>
                <w:caps w:val="false"/>
                <w:smallCaps w:val="false"/>
                <w:sz w:val="20"/>
                <w:shd w:fill="FFFFFF" w:val="clear"/>
              </w:rPr>
              <w:t xml:space="preserve">The thirteen weeks ended March 30, 2025 include equity-based compensation expense for PSUs and RSUs granted during the period and prior periods. </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03"/>
        <w:gridCol w:w="9778"/>
      </w:tblGrid>
      <w:tr>
        <w:trPr/>
        <w:tc>
          <w:tcPr>
            <w:tcW w:w="124" w:type="dxa"/>
            <w:tcBorders/>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thirteen weeks ended March 29, 2026 </w:t>
            </w:r>
            <w:r>
              <w:rPr>
                <w:rFonts w:ascii="Times New Roman;Times;serif" w:hAnsi="Times New Roman;Times;serif"/>
                <w:b w:val="false"/>
                <w:i w:val="false"/>
                <w:caps w:val="false"/>
                <w:smallCaps w:val="false"/>
                <w:sz w:val="20"/>
                <w:shd w:fill="FFFFFF" w:val="clear"/>
              </w:rPr>
              <w:t>include placement fees paid to Business Talent Group, LLC for Ms. Crane’s employment as permanent Chief Financial Officer</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and unrelated severance expenses.</w:t>
            </w:r>
          </w:p>
        </w:tc>
      </w:tr>
    </w:tbl>
    <w:p>
      <w:pPr>
        <w:pStyle w:val="TextBody"/>
        <w:bidi w:val="0"/>
        <w:spacing w:before="0" w:after="0"/>
        <w:ind w:left="0" w:right="0" w:hanging="0"/>
        <w:jc w:val="left"/>
        <w:rPr>
          <w:color w:val="EE0000"/>
        </w:rPr>
      </w:pPr>
      <w:r>
        <w:rPr>
          <w:color w:val="EE0000"/>
        </w:rPr>
        <w:t>​</w:t>
      </w:r>
    </w:p>
    <w:p>
      <w:pPr>
        <w:pStyle w:val="TextBody"/>
        <w:bidi w:val="0"/>
        <w:spacing w:before="0" w:after="0"/>
        <w:ind w:left="0" w:right="0" w:hanging="0"/>
        <w:jc w:val="left"/>
        <w:rPr>
          <w:color w:val="EE0000"/>
        </w:rPr>
      </w:pPr>
      <w:r>
        <w:rPr>
          <w:color w:val="EE0000"/>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Free Cash Flow</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Free Cash Flow is a non-GAAP financial measure that we calculate as net cash provided by operating activities less cash used for capitalized software development costs and purchases of property and equipment. We view Free Cash Flow as an important indicator of our liquidity because it measures the amount of cash we generate</w:t>
      </w:r>
      <w:r>
        <w:rPr>
          <w:rFonts w:ascii="Times New Roman;Times;serif" w:hAnsi="Times New Roman;Times;serif"/>
          <w:sz w:val="20"/>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reconciliation to non-GAAP Free Cash Flow from net cash provided by operating activities for the thirteen weeks ended March 29, 2026 and March 30, 2025 is as follows:</w:t>
      </w:r>
    </w:p>
    <w:tbl>
      <w:tblPr>
        <w:tblW w:w="6249" w:type="dxa"/>
        <w:jc w:val="left"/>
        <w:tblInd w:w="0" w:type="dxa"/>
        <w:tblLayout w:type="fixed"/>
        <w:tblCellMar>
          <w:top w:w="0" w:type="dxa"/>
          <w:left w:w="0" w:type="dxa"/>
          <w:bottom w:w="0" w:type="dxa"/>
          <w:right w:w="0" w:type="dxa"/>
        </w:tblCellMar>
      </w:tblPr>
      <w:tblGrid>
        <w:gridCol w:w="3466"/>
        <w:gridCol w:w="109"/>
        <w:gridCol w:w="340"/>
        <w:gridCol w:w="920"/>
        <w:gridCol w:w="109"/>
        <w:gridCol w:w="310"/>
        <w:gridCol w:w="995"/>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200910" cy="175260"/>
                      <wp:effectExtent l="0" t="0" r="0" b="0"/>
                      <wp:wrapNone/>
                      <wp:docPr id="164" name="Frame16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5900" cy="175260"/>
                      <wp:effectExtent l="0" t="0" r="0" b="0"/>
                      <wp:wrapNone/>
                      <wp:docPr id="166" name="Frame165"/>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84200" cy="175260"/>
                      <wp:effectExtent l="0" t="0" r="0" b="0"/>
                      <wp:wrapNone/>
                      <wp:docPr id="167" name="Frame166"/>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96850" cy="175260"/>
                      <wp:effectExtent l="0" t="0" r="0" b="0"/>
                      <wp:wrapNone/>
                      <wp:docPr id="169" name="Frame16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31825" cy="175260"/>
                      <wp:effectExtent l="0" t="0" r="0" b="0"/>
                      <wp:wrapNone/>
                      <wp:docPr id="170" name="Frame169"/>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 2026</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 2025</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8,322</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development costs</w:t>
            </w:r>
          </w:p>
        </w:tc>
        <w:tc>
          <w:tcPr>
            <w:tcW w:w="109"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109"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109"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c>
          <w:tcPr>
            <w:tcW w:w="109" w:type="dxa"/>
            <w:tcBorders/>
            <w:vAlign w:val="center"/>
          </w:tcPr>
          <w:p>
            <w:pPr>
              <w:pStyle w:val="TableContents"/>
              <w:bidi w:val="0"/>
              <w:spacing w:before="0" w:after="0"/>
              <w:ind w:left="0" w:right="0" w:hanging="0"/>
              <w:jc w:val="righ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7,755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financial condition and results of operations have been, and will continue to be, affected by a number of factors that present significant opportunities for us but also pose risks and challenges, including what is discussed below. See Part I, Item 1A, “Risk Factors” in our 2025 10-K</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Acquisition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Retention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w:t>
      </w:r>
      <w:r>
        <w:rPr>
          <w:rFonts w:ascii="Times New Roman;Times;serif" w:hAnsi="Times New Roman;Times;serif"/>
          <w:sz w:val="20"/>
        </w:rPr>
        <w:t>. During the trailing 12 months ended March 29, 2026, we served 2.3 million Active Customers compared to 2.6 million for the trailing 12 months ended March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We will continue to adjust our inventory purchases to align with the current needs of the business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Our Operations and Infrastructure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will continue to invest in our operations and infrastructure to facilitate further operational efficiencies and growth of our business, while managing expenses to align with our net revenue expectations and goals to return to profitability. We will continue to carefully evaluate any new investments or capital spending initiatives as we believe that a disciplined approach to capital spending will enable us to generate positive returns on our investments over the long term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generally determine to have occurred upon shipment</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 and Gross Profit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pStyle w:val="TextBody"/>
        <w:shd w:fill="FFFFFF" w:val="clear"/>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our Gross Margin may fluctuate from period to period depending on the interplay of these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fixed and variable labor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and amortization, rent and other occupancy expenses. General and administrative expenses are primarily driven by headcount related costs required to support our business and meet our obligations as a public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shd w:fill="FFFFFF" w:val="clear"/>
        </w:rPr>
        <w:t>Interest Expense</w:t>
      </w:r>
      <w:r>
        <w:rPr>
          <w:rFonts w:ascii="Times New Roman;Times;serif" w:hAnsi="Times New Roman;Times;serif"/>
          <w:b/>
          <w:i/>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Interest expense consists of interest expense related to the prior credit agreement with Bank of America (the “Prior Credit Agreement”) and the 2025 Credit Agreement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bookmarkStart w:id="840" w:name="_Hlk180477594"/>
      <w:bookmarkStart w:id="841" w:name="_Hlk180477505"/>
      <w:bookmarkEnd w:id="840"/>
      <w:bookmarkEnd w:id="841"/>
      <w:r>
        <w:rPr>
          <w:rFonts w:ascii="Times New Roman;Times;serif" w:hAnsi="Times New Roman;Times;serif"/>
          <w:b/>
          <w:i/>
          <w:sz w:val="20"/>
        </w:rPr>
        <w:t>Benefit (Provision) for Income Taxes</w:t>
      </w:r>
    </w:p>
    <w:p>
      <w:pPr>
        <w:pStyle w:val="TextBody"/>
        <w:bidi w:val="0"/>
        <w:spacing w:before="28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benefit (provision) for income taxes represents federal, state, and local income taxes. The effective rate differs from the statutory rate primarily due to non-deductible equity-based compensation expenses, non-deductible officer compensation, valuation allowance and state taxes.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 xml:space="preserve">regularly assess the realizability of deferred tax assets (“DTAs”) and record a valuation allowance to reduce the DTAs to the amount that is more likely than not to be realized. In assessing the realizability of our DTAs, we weigh all available positive and negative evidence. </w:t>
      </w:r>
      <w:r>
        <w:rPr>
          <w:rFonts w:ascii="Times New Roman;Times;serif" w:hAnsi="Times New Roman;Times;serif"/>
          <w:sz w:val="20"/>
        </w:rPr>
        <w:t>This evidence includes, but is not limited to, historical earnings, scheduled reversal of taxable temporary differences, tax planning strategies and projected future taxable income. Due to the weight of objectively verifiable negative evidence, we maintained a valuation allowance as of December 28, 2025 of $16.7 million and continued to maintain the same position as of March 29,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following tables set forth our condensed consolidated results of operations for the periods presented and as a percentage of net revenue</w:t>
      </w:r>
      <w:r>
        <w:rPr>
          <w:rFonts w:ascii="Times New Roman;Times;serif" w:hAnsi="Times New Roman;Times;serif"/>
          <w:sz w:val="20"/>
        </w:rPr>
        <w:t>:</w:t>
      </w:r>
    </w:p>
    <w:tbl>
      <w:tblPr>
        <w:tblW w:w="6475" w:type="dxa"/>
        <w:jc w:val="left"/>
        <w:tblInd w:w="0" w:type="dxa"/>
        <w:tblLayout w:type="fixed"/>
        <w:tblCellMar>
          <w:top w:w="0" w:type="dxa"/>
          <w:left w:w="0" w:type="dxa"/>
          <w:bottom w:w="0" w:type="dxa"/>
          <w:right w:w="0" w:type="dxa"/>
        </w:tblCellMar>
      </w:tblPr>
      <w:tblGrid>
        <w:gridCol w:w="3991"/>
        <w:gridCol w:w="346"/>
        <w:gridCol w:w="301"/>
        <w:gridCol w:w="691"/>
        <w:gridCol w:w="109"/>
        <w:gridCol w:w="301"/>
        <w:gridCol w:w="73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534285" cy="175260"/>
                      <wp:effectExtent l="0" t="0" r="0" b="0"/>
                      <wp:wrapNone/>
                      <wp:docPr id="171" name="Frame170"/>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91135" cy="175260"/>
                      <wp:effectExtent l="0" t="0" r="0" b="0"/>
                      <wp:wrapNone/>
                      <wp:docPr id="173" name="Frame17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38785" cy="175260"/>
                      <wp:effectExtent l="0" t="0" r="0" b="0"/>
                      <wp:wrapNone/>
                      <wp:docPr id="174" name="Frame1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91135" cy="175260"/>
                      <wp:effectExtent l="0" t="0" r="0" b="0"/>
                      <wp:wrapNone/>
                      <wp:docPr id="176" name="Frame17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67360" cy="175260"/>
                      <wp:effectExtent l="0" t="0" r="0" b="0"/>
                      <wp:wrapNone/>
                      <wp:docPr id="177" name="Frame17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57,531</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64,155</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31,583</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38,314</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25,948</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25,841</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14,037</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15,458</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18,044</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(8,118)</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benefit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(3,897)</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(8,072)</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w:t>
            </w:r>
          </w:p>
        </w:tc>
      </w:tr>
    </w:tbl>
    <w:p>
      <w:pPr>
        <w:pStyle w:val="TextBody"/>
        <w:bidi w:val="0"/>
        <w:spacing w:before="0" w:after="0"/>
        <w:ind w:left="0" w:right="0" w:hanging="0"/>
        <w:jc w:val="left"/>
        <w:rPr/>
      </w:pPr>
      <w:r>
        <w:rPr/>
        <w:t>​</w:t>
      </w:r>
    </w:p>
    <w:tbl>
      <w:tblPr>
        <w:tblW w:w="6438" w:type="dxa"/>
        <w:jc w:val="left"/>
        <w:tblInd w:w="0" w:type="dxa"/>
        <w:tblLayout w:type="fixed"/>
        <w:tblCellMar>
          <w:top w:w="0" w:type="dxa"/>
          <w:left w:w="0" w:type="dxa"/>
          <w:bottom w:w="0" w:type="dxa"/>
          <w:right w:w="0" w:type="dxa"/>
        </w:tblCellMar>
      </w:tblPr>
      <w:tblGrid>
        <w:gridCol w:w="3991"/>
        <w:gridCol w:w="346"/>
        <w:gridCol w:w="469"/>
        <w:gridCol w:w="386"/>
        <w:gridCol w:w="346"/>
        <w:gridCol w:w="475"/>
        <w:gridCol w:w="425"/>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534285" cy="175260"/>
                      <wp:effectExtent l="0" t="0" r="0" b="0"/>
                      <wp:wrapNone/>
                      <wp:docPr id="178" name="Frame177"/>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97815" cy="175260"/>
                      <wp:effectExtent l="0" t="0" r="0" b="0"/>
                      <wp:wrapNone/>
                      <wp:docPr id="180" name="Frame179"/>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45110" cy="175260"/>
                      <wp:effectExtent l="0" t="0" r="0" b="0"/>
                      <wp:wrapNone/>
                      <wp:docPr id="181" name="Frame18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01625" cy="175260"/>
                      <wp:effectExtent l="0" t="0" r="0" b="0"/>
                      <wp:wrapNone/>
                      <wp:docPr id="183" name="Frame182"/>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69875" cy="175260"/>
                      <wp:effectExtent l="0" t="0" r="0" b="0"/>
                      <wp:wrapNone/>
                      <wp:docPr id="184" name="Frame183"/>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8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25" w:type="dxa"/>
            <w:tcBorders/>
            <w:vAlign w:val="center"/>
          </w:tcPr>
          <w:p>
            <w:pPr>
              <w:pStyle w:val="TableContents"/>
              <w:bidi w:val="0"/>
              <w:spacing w:before="0" w:after="0"/>
              <w:ind w:left="0" w:right="0" w:hanging="0"/>
              <w:jc w:val="left"/>
              <w:rPr/>
            </w:pPr>
            <w:r>
              <w:rPr/>
              <w:t>  ​ ​ ​</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25"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25"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25"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25"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25"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25"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benefit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25"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25"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4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Thirteen Weeks Ended March 29, 2026 and March 30, 2025</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Net revenue decreased in the thirteen weeks ended March 29, 2026 by $6.6 million, or 10%, compared to the same period of the prior year, primarily due to a 15% decrease in Total Orders Placed partially offset by the impact of higher AOV and an increase in wholesale revenue.</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Cost of revenue decreased in the thirteen weeks ended March 29, 2026 by $6.7 million, or 18% compared to the same period of the prior year, primarily driven by reduced sales volume in addition to freight cost savings due to improved shipping rates.</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Gross Profit</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Gross profit increased slightly in the thirteen weeks ended March 29, 2026 by $0.1 million, or 0.4% compared to the same period of the prior year even though revenues declined by 10%, reflecting the improvement in gross margins to 45%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versus 40% in the prior year from a mix shift to higher margin products combined with freight cost savings due to improved shipping rates.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0"/>
        <w:ind w:left="360" w:right="0" w:hanging="0"/>
        <w:jc w:val="left"/>
        <w:rPr/>
      </w:pPr>
      <w:r>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Selling and marketing expenses, which are correlated to sales, decreased in the thirteen weeks ended March 29, 2026 by $1.9 million, or 12%, compared to the same period of the prior year, primarily due to lower online marketing costs of $1.7 million and merchant processing fees of $0.2 million.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General and administrative expenses decreased in the thirteen weeks ended March 29, 2026 by $2.6 million or 14%, compared to the same period of the prior year. The decrease was primarily due to a $1.0 million decrease in variable labor and benefits associated with lower sales volume and enhanced productivity realized from our distribution center consolidation efforts, a $0.8 million decrease in equity-based compensation expense, a $0.4 million decrease in fixed labor and benefits costs driven by reduced fixed headcount, and a $0.4 million decrease in other general and administrative expenses.</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Interest expense decreased in the thirteen weeks ended March 29, 2026, by $0.2 million, or 32%, compared to the same period of the prior year. Interest expense in the prior year included $0.2 million in fees related to amendments to our Prior Credit Agreement. Excluding the impact of these non-recurring fees, interest expense increased modestly primarily due to higher average borrowings and higher interest rate. </w:t>
      </w:r>
    </w:p>
    <w:p>
      <w:pPr>
        <w:pStyle w:val="TextBody"/>
        <w:bidi w:val="0"/>
        <w:spacing w:before="0" w:after="240"/>
        <w:ind w:left="360" w:right="0" w:hanging="0"/>
        <w:jc w:val="left"/>
        <w:rPr>
          <w:rFonts w:ascii="Times New Roman;Times;serif" w:hAnsi="Times New Roman;Times;serif"/>
          <w:i/>
          <w:sz w:val="20"/>
        </w:rPr>
      </w:pPr>
      <w:bookmarkStart w:id="842" w:name="_Hlk180477734"/>
      <w:bookmarkEnd w:id="842"/>
      <w:r>
        <w:rPr>
          <w:rFonts w:ascii="Times New Roman;Times;serif" w:hAnsi="Times New Roman;Times;serif"/>
          <w:i/>
          <w:sz w:val="20"/>
        </w:rPr>
        <w:t xml:space="preserve">Income Tax Benefit (Provision) </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Income tax provision in the thirteen weeks ended March 29, 2026 increased by $0.3 million to a provision of $0.2 million, compared to a benefit of $0.1 million in the thirteen weeks ended March 30, 2025. The increase was primarily due to state income taxes and deferred taxes relating to the annual tax amortization expense on certain indefinite-lived intangible assets.  </w:t>
      </w:r>
    </w:p>
    <w:p>
      <w:pPr>
        <w:pStyle w:val="TextBody"/>
        <w:bidi w:val="0"/>
        <w:spacing w:before="0" w:after="0"/>
        <w:ind w:left="0" w:right="0" w:hanging="0"/>
        <w:jc w:val="both"/>
        <w:rPr>
          <w:color w:val="212529"/>
          <w:shd w:fill="FFFF00" w:val="clear"/>
        </w:rPr>
      </w:pPr>
      <w:r>
        <w:rPr>
          <w:color w:val="212529"/>
          <w:shd w:fill="FFFF00" w:val="clea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Quarterly Trends and Seasonality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experience moderate seasonal fluctuations in aggregate sales volume during the year. Seasonality in our business does not follow that of traditional retailers, such as a typical concentration of revenue in the holiday quarter. Our net revenue is typically highest in the second and third quarters due to the increased demand for event dresses in the spring and summer. Net revenue is typically the lowest in the first and fourth quarters when event dresses are less in demand. The seasonality of our business has resulted in variability in our total net revenue quarter-to-quarter. We believe that this seasonality has affected and will continue to affect our results of operations.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While our quarterly gross profit generally fluctuates in line with our net revenue, it is also based on how we manage our inventory and merchandise mix and can be further affected by non-recurring, external factors, such as global pandemics or trade wars.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 costs and vary quarter to quarter due to changes in the number of seasonal workers to meet demand based on our seasonality.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Our primary sources of liquidity and capital resources are cash generated from operating activities and borrowings under our 2025 Credit Agreement</w:t>
      </w:r>
      <w:r>
        <w:rPr>
          <w:rFonts w:ascii="Times New Roman;Times;serif" w:hAnsi="Times New Roman;Times;serif"/>
          <w:sz w:val="20"/>
        </w:rPr>
        <w:t xml:space="preserve">. </w:t>
      </w:r>
      <w:r>
        <w:rPr>
          <w:rFonts w:ascii="Times New Roman;Times;serif" w:hAnsi="Times New Roman;Times;serif"/>
          <w:sz w:val="20"/>
          <w:shd w:fill="FFFFFF" w:val="clear"/>
        </w:rPr>
        <w:t>Our primary requirements for liquidity and capital are inventory purchases, payroll and general operating expenses, capital expenditures associated with our distribution facilities, capitalized software and debt service requirements</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Credit Facility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15, 2021, we entered into the Prior Credit Agreement with Bank of America (the “lender”) for a revolving facility that provided for borrowings up to $50.0 million with a maturity date of November 15, 2024. The Prior Credit Agreement was amended subsequently by five amendments which modified a number of terms, including extending the maturity date to August 22, 2025, reducing and ultimately prohibiting further borrowings, revising the applicable interest rates, revising or providing limited waivers of compliance with certain financial covenants, and adding covenants related to achieving a refinancing transaction. </w:t>
      </w:r>
    </w:p>
    <w:p>
      <w:pPr>
        <w:pStyle w:val="TextBody"/>
        <w:shd w:fill="FFFFFF" w:val="clear"/>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bookmarkStart w:id="843" w:name="_Hlk213788485"/>
      <w:bookmarkEnd w:id="843"/>
      <w:r>
        <w:rPr>
          <w:rFonts w:ascii="Times New Roman;Times;serif" w:hAnsi="Times New Roman;Times;serif"/>
          <w:sz w:val="20"/>
          <w:shd w:fill="FFFFFF" w:val="clear"/>
        </w:rPr>
        <w:t>On August 14, 2025, we entered into the 2025 Credit Agreement for an asset-based revolving credit facility with a $20.0 million commitment, a $5.0 million uncommitted accordion and a $1.0 million sublimit for letters of credit. The amount that the Borrowers may borrow under the 2025 Credit Agreement is based on a borrowing base calculated based on advance rates for various assets serving as collateral for the 2025 Credit Agreement. Borrowings under the 2025 Credit Agreement bear interest at a rate equal to the 30-day SOFR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for minimum excess availability under the 2025 Credit Agreement. It also requires us to maintain lockbox accounts and cash management arrangements under the control of t</w:t>
      </w:r>
      <w:r>
        <w:rPr>
          <w:rFonts w:ascii="Times New Roman;Times;serif" w:hAnsi="Times New Roman;Times;serif"/>
          <w:sz w:val="20"/>
        </w:rPr>
        <w:t>he Administrative Agent, who has full dominion and control over each Collection Account and all Deposit Accounts (except Excluded Accounts). Outstanding borrowings are classified as current liabilities, however, t</w:t>
      </w:r>
      <w:r>
        <w:rPr>
          <w:rFonts w:ascii="Times New Roman;Times;serif" w:hAnsi="Times New Roman;Times;serif"/>
          <w:sz w:val="20"/>
          <w:shd w:fill="FFFFFF" w:val="clear"/>
        </w:rPr>
        <w:t xml:space="preserve">he 2025 Credit Agreement does not mature until August 14, 2028. </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28, 2025, we </w:t>
      </w:r>
      <w:r>
        <w:rPr>
          <w:rFonts w:ascii="Times New Roman;Times;serif" w:hAnsi="Times New Roman;Times;serif"/>
          <w:sz w:val="20"/>
        </w:rPr>
        <w:t xml:space="preserve">entered into an amendment to the 2025 Credit Agreement, which clarified the terms related to the manner in which interest is calculated, provides us greater flexibility with respect to the location of our corporate headquarters and extends the amount of time to produce our borrowing base reports. </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initial funding of the 2025 Credit Agreement occurred on August 14, 2025, and the proceeds were used in part to repay approximately $6.0 million outstanding under the Prior Credit Agreement. In connection with entering into the 2025 Credit Agreement and the repayment in full of all outstanding obligations under the Prior Credit Agreement, the Prior Credit Agreement and the related forbearance agreement and amendments with Bank of America, were terminated.</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March 29, 2026, the outstanding borrowing under the 2025 Credit Agreement was $13.3 million in addition to a $0.3 million letter of credit outstanding. After giving effect to the excess availability covenant and the outstanding letter of credit, the unused availability was $2.4 million. During the thirteen weeks ended March 29, 2026, we borrowed $60.7 million and repaid $61.8 million under the 2025 Credit Agreement and borrowings had a weighted average interest rate of 10.1% inclusive of amortization of debt issuance cost.   </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Availability and Use of Cash</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As of March 29, 2026, we had cash and cash equivalents of $7.4 million. During the thirteen weeks ended March 29, 2026, we benefited from cost reduction and cash conservation measures, including headcount reductions, reduced inventory purchases, adjustments to marketing spend and other fixed, variable, and capital spend. 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our 2025 Credit Agreement. We believe the cash on hand, cash provided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operations and cash available under the 2025 Credit Agreement will enable us to meet our obligations for at least the next 12 months. For further information on the 2025 Credit Agreement, see Note 5, </w:t>
      </w:r>
      <w:r>
        <w:rPr>
          <w:rFonts w:ascii="Times New Roman;Times;serif" w:hAnsi="Times New Roman;Times;serif"/>
          <w:i/>
          <w:sz w:val="20"/>
          <w:shd w:fill="FFFFFF" w:val="clear"/>
        </w:rPr>
        <w:t>Debt</w:t>
      </w:r>
      <w:r>
        <w:rPr>
          <w:rFonts w:ascii="Times New Roman;Times;serif" w:hAnsi="Times New Roman;Times;serif"/>
          <w:sz w:val="20"/>
        </w:rPr>
        <w:t>. Actual results of operations will depend on numerous factors, many of which are beyond our control, as further discussed in Part I, Item 1A, “Risk Factors” included in our 2025 10-K.</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Repurchases Pursuant to the 2024 Repurchase Program</w:t>
      </w:r>
    </w:p>
    <w:p>
      <w:pPr>
        <w:pStyle w:val="TextBody"/>
        <w:shd w:fill="FFFFFF" w:val="clear"/>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May 8, 2024, we announced that our Board of Directors authorized a stock repurchase program to repurchase up to $2.5 million of our common stock (the “2024 Repurchase Program”). During the thirteen weeks ended March 29, 2026, no shares were repurchased pursuant to the Company’s 2024 Repurchase Program. As of March 29, 2026, there was $1.1 million available under the 2024 Repurchase Program authorization. </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actual timing, number, and value of shares repurchased in the future will be determined at our discretion and will continue to depend on a number of factors, including market conditions, applicable legal requirements, our capital needs, and whether there is a better alternative use of capital. Repurchases will continue to be funded from our existing cash and cash equivalents, or future cash flow. The 2024 Repurchase Program may be modified, suspended, or terminated at any time. For further information on the 2024 Repurchase Program, see Note 8, </w:t>
      </w:r>
      <w:r>
        <w:rPr>
          <w:rFonts w:ascii="Times New Roman;Times;serif" w:hAnsi="Times New Roman;Times;serif"/>
          <w:i/>
          <w:sz w:val="20"/>
          <w:shd w:fill="FFFFFF" w:val="clear"/>
        </w:rPr>
        <w:t>Stockholders’ Equity (Deficit)</w:t>
      </w:r>
      <w:r>
        <w:rPr>
          <w:rFonts w:ascii="Times New Roman;Times;serif" w:hAnsi="Times New Roman;Times;serif"/>
          <w:sz w:val="20"/>
          <w:shd w:fill="FFFFFF" w:val="clear"/>
        </w:rPr>
        <w:t xml:space="preserve">, of the accompanying notes to our consolidated financial statements included elsewhere </w:t>
      </w:r>
      <w:r>
        <w:rPr>
          <w:rFonts w:ascii="Times New Roman;Times;serif" w:hAnsi="Times New Roman;Times;serif"/>
          <w:sz w:val="20"/>
        </w:rPr>
        <w:t>in this Quarterly Report on Form 10-Q</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Cash Flow Analysis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6052" w:type="dxa"/>
        <w:jc w:val="left"/>
        <w:tblInd w:w="0" w:type="dxa"/>
        <w:tblLayout w:type="fixed"/>
        <w:tblCellMar>
          <w:top w:w="0" w:type="dxa"/>
          <w:left w:w="0" w:type="dxa"/>
          <w:bottom w:w="0" w:type="dxa"/>
          <w:right w:w="0" w:type="dxa"/>
        </w:tblCellMar>
      </w:tblPr>
      <w:tblGrid>
        <w:gridCol w:w="3511"/>
        <w:gridCol w:w="346"/>
        <w:gridCol w:w="211"/>
        <w:gridCol w:w="691"/>
        <w:gridCol w:w="346"/>
        <w:gridCol w:w="211"/>
        <w:gridCol w:w="73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229485" cy="175260"/>
                      <wp:effectExtent l="0" t="0" r="0" b="0"/>
                      <wp:wrapNone/>
                      <wp:docPr id="185" name="Frame184"/>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38785" cy="175260"/>
                      <wp:effectExtent l="0" t="0" r="0" b="0"/>
                      <wp:wrapNone/>
                      <wp:docPr id="188" name="Frame1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67360" cy="175260"/>
                      <wp:effectExtent l="0" t="0" r="0" b="0"/>
                      <wp:wrapNone/>
                      <wp:docPr id="191" name="Frame19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29,</w:t>
            </w:r>
          </w:p>
        </w:tc>
        <w:tc>
          <w:tcPr>
            <w:tcW w:w="34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5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8,322</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in cash and cash equivalents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4,156</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 xml:space="preserve">Operating Activities </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consists primarily of net loss and comprehensive loss adjusted for certain non-cash items, including depreciation, amortization, equity-based compensation, the effect of changes in working capital and other activities.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During the thirteen weeks ended March 29, 2026, net cash provided by operating activities was $6.9 million, which consisted of a net loss of $4.1 million, partially offset by non-cash charges of $3.0 million and a net change of $8.0 million in operating assets and liabilities. The non-cash charges were primarily comprised of $1.1 million of depreciation and amortization, $1.1 million of non-cash lease expense and $0.7 million of equity-based compensation expense. The net change in operating assets and liabilities was primarily driven by $16.7 million increase in accrued expenses and other current liabilities which was mostly from a $10.0 million increase in accrued inventory, a $5.5 million increase in returns reserve, and a $1.2 million increase in freight and marketing accruals. These increases were partially offset by a $4.6 million increase in accounts receivable pertaining to timing-related increase in higher credit card receivables, a $2.2 million increase in assets for recovery, and a $1.9 million net change in other operating assets and liabilities</w:t>
      </w:r>
      <w:r>
        <w:rPr>
          <w:rFonts w:ascii="Times New Roman;Times;serif" w:hAnsi="Times New Roman;Times;serif"/>
          <w:sz w:val="20"/>
        </w:rPr>
        <w:t xml:space="preserve">. </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During the thirteen weeks ended March 30, 2025, net cash provided by operating activities was $8.3 million, which consisted of a net loss of $8.0 million, partially offset by non-cash charges of $4.1 million and a net change of $12.2 million in operating assets and liabilities. The non-cash charges were primarily comprised of $1.5 million of equity-based compensation expense, $1.4 million of depreciation and amortization, and $1.3 million of non-cash lease expense. The net change in operating assets and liabilities was primarily driven by a $21.2 million increase in accrued expenses, mostly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from an increase of a $7.9 million in the return reserve, a $6.1 million increase in marketing accruals, a $4.9 million increase in inventory accruals, and a $1.1 million increase in stored value liabilities. These increases were partially offset by a $5.6 million increase in inventory and a $3.4 million increase in assets for recovery and net change in other operating assets and liabilities</w:t>
      </w:r>
      <w:r>
        <w:rPr>
          <w:rFonts w:ascii="Times New Roman;Times;serif" w:hAnsi="Times New Roman;Times;serif"/>
          <w:sz w:val="20"/>
        </w:rPr>
        <w:t>.</w:t>
      </w:r>
    </w:p>
    <w:p>
      <w:pPr>
        <w:pStyle w:val="TextBody"/>
        <w:bidi w:val="0"/>
        <w:spacing w:before="0" w:after="240"/>
        <w:ind w:left="36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0"/>
        <w:ind w:left="0" w:right="0" w:firstLine="360"/>
        <w:jc w:val="both"/>
        <w:rPr/>
      </w:pPr>
      <w:r>
        <w:rPr>
          <w:shd w:fill="FFFFFF" w:val="clear"/>
        </w:rPr>
        <w:t>​</w:t>
      </w:r>
      <w:r>
        <w:rPr>
          <w:rFonts w:ascii="Times New Roman;Times;serif" w:hAnsi="Times New Roman;Times;serif"/>
          <w:sz w:val="20"/>
          <w:shd w:fill="FFFFFF" w:val="clear"/>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 to period due to the timing of the expansion</w:t>
      </w:r>
      <w:r>
        <w:rPr>
          <w:rFonts w:ascii="Times New Roman;Times;serif" w:hAnsi="Times New Roman;Times;serif"/>
          <w:sz w:val="20"/>
        </w:rPr>
        <w:t> or contraction</w:t>
      </w:r>
      <w:r>
        <w:rPr>
          <w:rFonts w:ascii="Times New Roman;Times;serif" w:hAnsi="Times New Roman;Times;serif"/>
          <w:sz w:val="20"/>
          <w:shd w:fill="FFFFFF" w:val="clear"/>
        </w:rPr>
        <w:t> of our operations. We have no material commitments for capital expenditures</w:t>
      </w:r>
      <w:r>
        <w:rPr>
          <w:rFonts w:ascii="Times New Roman;Times;serif" w:hAnsi="Times New Roman;Times;serif"/>
          <w:sz w:val="20"/>
        </w:rPr>
        <w:t>. </w:t>
      </w:r>
    </w:p>
    <w:p>
      <w:pPr>
        <w:pStyle w:val="TextBody"/>
        <w:bidi w:val="0"/>
        <w:spacing w:before="0" w:after="0"/>
        <w:ind w:left="0" w:right="0" w:firstLine="360"/>
        <w:jc w:val="both"/>
        <w:rPr/>
      </w:pPr>
      <w:r>
        <w:rPr>
          <w:shd w:fill="FFFFFF" w:val="clear"/>
        </w:rPr>
        <w:t>​</w:t>
      </w:r>
      <w:r>
        <w:rPr/>
        <w:t> </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During the thirteen weeks ended March 29, 2026, net cash used in investing activities related to the purchase of capitalized software and property and equipment was $0.4 million, as compared to $0.6 million during the thirteen weeks ended March 30, 2025.</w:t>
      </w:r>
    </w:p>
    <w:p>
      <w:pPr>
        <w:pStyle w:val="TextBody"/>
        <w:bidi w:val="0"/>
        <w:spacing w:before="0" w:after="240"/>
        <w:ind w:left="36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firstLine="360"/>
        <w:jc w:val="both"/>
        <w:rPr/>
      </w:pPr>
      <w:r>
        <w:rPr>
          <w:shd w:fill="FFFFFF" w:val="clear"/>
        </w:rPr>
        <w:t>​</w:t>
      </w:r>
      <w:r>
        <w:rPr>
          <w:rFonts w:ascii="Times New Roman;Times;serif" w:hAnsi="Times New Roman;Times;serif"/>
          <w:sz w:val="20"/>
          <w:shd w:fill="FFFFFF" w:val="clear"/>
        </w:rPr>
        <w:t>Financing activities consist primarily of borrowings and repayments related to our revolving facility under our Prior Credit Agreement and 2025 Credit Agreement.</w:t>
      </w:r>
      <w:r>
        <w:rPr>
          <w:rFonts w:ascii="Times New Roman;Times;serif" w:hAnsi="Times New Roman;Times;serif"/>
          <w:sz w:val="20"/>
        </w:rPr>
        <w: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thirteen weeks ended March 29, 2026, cash used in financing activities was $1.7 million, primarily due to $61.8 million of repayments under our 2025 Credit Agreement, and $0.5 million of principal payments on finance lease obligations, partially offset by $60.7 million proceeds from borrowings under our 2025 Credit Agreement.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thirteen weeks ended March 30, 2025, cash used in financing activities was $3.6 million, primarily due to $3.0 million of repayments under our Prior Credit Agreement, $0.3 million of principal payments on finance lease obligations and $0.2 million used in the repurchase of our common stock.</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Other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shd w:fill="FFFFFF" w:val="clear"/>
        </w:rPr>
        <w:t>There have been no other material changes to our contractual obligations and commitments as disclosed in our 2025 10-K</w:t>
      </w:r>
      <w:r>
        <w:rPr>
          <w:rFonts w:ascii="Times New Roman;Times;serif" w:hAnsi="Times New Roman;Times;serif"/>
          <w:sz w:val="20"/>
          <w:shd w:fill="FFFFFF" w:val="clear"/>
        </w:rPr>
        <w:t xml:space="preserve">. </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financial statements and the related notes thereto included elsewhere in this Quarterly Report on Form 10-Q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critical accounting policies are described under the heading “Management’s Discussion and Analysis of Financial Condition and Results of Operations - Critical Accounting Policies and Estimates” in our 2025 10-K and the notes to the audited consolidated financial statements appearing elsewhere in our 2025 10-K. There have been no significant changes to our critical accounting policies and estimates as disclosed in our 2025 10-K.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See Note 2, </w:t>
      </w:r>
      <w:r>
        <w:rPr>
          <w:rFonts w:ascii="Times New Roman;Times;serif" w:hAnsi="Times New Roman;Times;serif"/>
          <w:i/>
          <w:sz w:val="20"/>
        </w:rPr>
        <w:t>Significant Accounting Policies - Recently Issued Accounting Pronouncements</w:t>
      </w:r>
      <w:r>
        <w:rPr>
          <w:rFonts w:ascii="Times New Roman;Times;serif" w:hAnsi="Times New Roman;Times;serif"/>
          <w:sz w:val="20"/>
        </w:rPr>
        <w:t xml:space="preserve">, in the Notes to the Condensed Consolidated Financial Statements included elsewhere in this Quarterly Report on Form 10-Q for more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about recent accounting pronouncements, the timing of their adoption, and our assessment, to the extent we have made one, of their potential impact on our financial position and our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Accounting Election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consolidated financial statements may not be comparable to companies that comply with new or revised accounting pronouncements as of public company effective dates</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44" w:name="Item3QuantitativeandQualitativeDisclosur"/>
      <w:bookmarkStart w:id="845" w:name="_bba94b05_5652_42b2_9207_888252fdea89"/>
      <w:bookmarkEnd w:id="844"/>
      <w:bookmarkEnd w:id="845"/>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has been no material change in our exposure to market risk from that discussed in our 2025 10-K.</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46" w:name="Item4ControlsandProcedures_489265"/>
      <w:bookmarkStart w:id="847" w:name="_659f0e9b_a22e_4dd6_a5c3_7fd063221d17"/>
      <w:bookmarkEnd w:id="846"/>
      <w:bookmarkEnd w:id="847"/>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management, with the participation of our Chief Executive Officer (principal executive officer) and Chief Financial Officer (principal financial officer and principal accounting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March 29, 2026, our disclosure controls and procedures were effective</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March 29,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848" w:name="PARTIIOTHERINFORMATION_807620"/>
      <w:bookmarkStart w:id="849" w:name="_3909b78a_4b78_43a2_94cd_38c47146e066"/>
      <w:bookmarkEnd w:id="848"/>
      <w:bookmarkEnd w:id="849"/>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850" w:name="Item1LegalProceedings_569580"/>
      <w:bookmarkEnd w:id="850"/>
      <w:r>
        <w:rPr>
          <w:rFonts w:ascii="Times New Roman;Times;serif" w:hAnsi="Times New Roman;Times;serif"/>
          <w:b/>
          <w:sz w:val="20"/>
        </w:rPr>
        <w:t>Item 1. Legal Proceedings.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r>
        <w:rPr>
          <w:rFonts w:ascii="Times New Roman;Times;serif" w:hAnsi="Times New Roman;Times;serif"/>
          <w:sz w:val="20"/>
        </w:rPr>
        <w:t xml:space="preserve">. </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51" w:name="Item1ARiskFactors_224374"/>
      <w:bookmarkStart w:id="852" w:name="_89e47018_1f96_4b5b_84bb_7c9921217a01"/>
      <w:bookmarkEnd w:id="851"/>
      <w:bookmarkEnd w:id="852"/>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bookmarkStart w:id="853" w:name="_Hlk181098108"/>
      <w:bookmarkEnd w:id="853"/>
      <w:r>
        <w:rPr>
          <w:rFonts w:ascii="Times New Roman;Times;serif" w:hAnsi="Times New Roman;Times;serif"/>
          <w:color w:val="212529"/>
          <w:sz w:val="20"/>
          <w:shd w:fill="FFFFFF" w:val="clear"/>
        </w:rPr>
        <w:t xml:space="preserve">For detailed information about certain risk factors that could materially affect our business, financial condition or future results see “Risk Factors” in Part I, Item 1A of our 2025 10-K. </w:t>
      </w:r>
      <w:r>
        <w:rPr>
          <w:rFonts w:ascii="Times New Roman;Times;serif" w:hAnsi="Times New Roman;Times;serif"/>
          <w:sz w:val="20"/>
          <w:shd w:fill="FFFFFF" w:val="clear"/>
        </w:rPr>
        <w:t>There have been no material changes to the risk factors previously disclosed in the 2025 10-K.</w:t>
      </w:r>
    </w:p>
    <w:p>
      <w:pPr>
        <w:pStyle w:val="TextBody"/>
        <w:bidi w:val="0"/>
        <w:spacing w:before="0" w:after="240"/>
        <w:ind w:left="0" w:right="0" w:hanging="0"/>
        <w:jc w:val="left"/>
        <w:rPr>
          <w:rFonts w:ascii="Times New Roman;Times;serif" w:hAnsi="Times New Roman;Times;serif"/>
          <w:b/>
          <w:sz w:val="20"/>
        </w:rPr>
      </w:pPr>
      <w:bookmarkStart w:id="854" w:name="Item2UnregisteredSalesofEquitySecurities"/>
      <w:bookmarkStart w:id="855" w:name="_1ecf1299_a4e9_4ac2_baf0_8919cddbe480"/>
      <w:bookmarkEnd w:id="854"/>
      <w:bookmarkEnd w:id="855"/>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On May 8, 2024, the Company announced that its Board of Directors authorized a stock repurchase program allowing the Company to repurchase up to an aggregate amount of $2.5 million of its shares of common stock (the "2024 Repurchase Program"). The 2024 Repurchase Program may be modified, suspended or terminated by the Company’s Board of Directors at any time. During the thirteen weeks ended March 29, 2026, no shares were repurchased pursuant to the Company’s 2024 Repurchase Program. As of March 29, 2026, $1.1 million remained available under the 2024 Repurchase Program authorization.</w:t>
      </w:r>
      <w:r>
        <w:rPr>
          <w:rFonts w:ascii="Times New Roman;Times;serif" w:hAnsi="Times New Roman;Times;serif"/>
          <w:sz w:val="20"/>
        </w:rPr>
        <w:t xml:space="preserve"> </w:t>
      </w:r>
    </w:p>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56" w:name="Item3DefaultsUponSeniorSecurities_546631"/>
      <w:bookmarkStart w:id="857" w:name="_c1f6bfab_db60_4816_9e06_facb8294b2c9"/>
      <w:bookmarkEnd w:id="856"/>
      <w:bookmarkEnd w:id="857"/>
      <w:r>
        <w:rPr>
          <w:rFonts w:ascii="Times New Roman;Times;serif" w:hAnsi="Times New Roman;Times;serif"/>
          <w:b/>
          <w:sz w:val="20"/>
        </w:rPr>
        <w:t>Item 3. Defaults Upon Senior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58" w:name="Item4MineSafetyDisclosures_84191"/>
      <w:bookmarkStart w:id="859" w:name="_6c428c10_6c5d_4d02_a9b0_97f378730944"/>
      <w:bookmarkEnd w:id="858"/>
      <w:bookmarkEnd w:id="859"/>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860" w:name="Item5OtherInformation_793305"/>
      <w:bookmarkStart w:id="861" w:name="_653b4b7d_a01c_41c9_a5ee_daa8fc8e057b"/>
      <w:bookmarkEnd w:id="860"/>
      <w:bookmarkEnd w:id="861"/>
      <w:r>
        <w:rPr>
          <w:rFonts w:ascii="Times New Roman;Times;serif" w:hAnsi="Times New Roman;Times;serif"/>
          <w:b/>
          <w:sz w:val="20"/>
        </w:rPr>
        <w:t xml:space="preserve">Item 5. Other Information.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Securities Trading Plans of Directors and Executive Officers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During the thirteen weeks ended March 29, 2026, none of the Company’s directors or officers adopted, modified, or terminated a “Rule 10b5-1 trading arrangement” or a “non-Rule 10b5-1 trading arrangement,” as such terms are defined under Item 408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2" w:name="Item6Exhibits_785378"/>
      <w:bookmarkStart w:id="863" w:name="_36592e03_b0f1_433e_ba6e_e9f850a7339f"/>
      <w:bookmarkEnd w:id="862"/>
      <w:bookmarkEnd w:id="863"/>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771"/>
        <w:gridCol w:w="286"/>
        <w:gridCol w:w="4221"/>
        <w:gridCol w:w="286"/>
        <w:gridCol w:w="526"/>
        <w:gridCol w:w="286"/>
        <w:gridCol w:w="726"/>
        <w:gridCol w:w="286"/>
        <w:gridCol w:w="676"/>
        <w:gridCol w:w="286"/>
        <w:gridCol w:w="181"/>
        <w:gridCol w:w="427"/>
        <w:gridCol w:w="55"/>
        <w:gridCol w:w="243"/>
        <w:gridCol w:w="577"/>
        <w:gridCol w:w="372"/>
      </w:tblGrid>
      <w:tr>
        <w:trPr/>
        <w:tc>
          <w:tcPr>
            <w:tcW w:w="771" w:type="dxa"/>
            <w:tcBorders>
              <w:bottom w:val="single" w:sz="2" w:space="0" w:color="000000"/>
            </w:tcBorders>
            <w:vAlign w:val="center"/>
          </w:tcPr>
          <w:p>
            <w:pPr>
              <w:pStyle w:val="TableHeading"/>
              <w:bidi w:val="0"/>
              <w:spacing w:before="0" w:after="0"/>
              <w:ind w:left="0" w:right="0" w:hanging="0"/>
              <w:jc w:val="left"/>
              <w:rPr/>
            </w:pPr>
            <w:r>
              <w:rPr/>
              <w:t>​</w:t>
            </w:r>
          </w:p>
        </w:tc>
        <w:tc>
          <w:tcPr>
            <w:tcW w:w="286" w:type="dxa"/>
            <w:tcBorders>
              <w:bottom w:val="single" w:sz="2" w:space="0" w:color="000000"/>
            </w:tcBorders>
            <w:vAlign w:val="center"/>
          </w:tcPr>
          <w:p>
            <w:pPr>
              <w:pStyle w:val="TableHeading"/>
              <w:bidi w:val="0"/>
              <w:spacing w:before="0" w:after="0"/>
              <w:ind w:left="0" w:right="0" w:hanging="0"/>
              <w:jc w:val="center"/>
              <w:rPr/>
            </w:pPr>
            <w:r>
              <w:rPr/>
              <w:t>​</w:t>
            </w:r>
          </w:p>
        </w:tc>
        <w:tc>
          <w:tcPr>
            <w:tcW w:w="4221" w:type="dxa"/>
            <w:tcBorders>
              <w:bottom w:val="single" w:sz="2" w:space="0" w:color="000000"/>
            </w:tcBorders>
            <w:vAlign w:val="center"/>
          </w:tcPr>
          <w:p>
            <w:pPr>
              <w:pStyle w:val="TableHeading"/>
              <w:bidi w:val="0"/>
              <w:spacing w:before="0" w:after="0"/>
              <w:ind w:left="0" w:right="0" w:hanging="0"/>
              <w:jc w:val="center"/>
              <w:rPr/>
            </w:pPr>
            <w:r>
              <w:rPr/>
              <w:t>​</w:t>
            </w:r>
          </w:p>
        </w:tc>
        <w:tc>
          <w:tcPr>
            <w:tcW w:w="286" w:type="dxa"/>
            <w:tcBorders>
              <w:bottom w:val="single" w:sz="2" w:space="0" w:color="000000"/>
            </w:tcBorders>
            <w:vAlign w:val="center"/>
          </w:tcPr>
          <w:p>
            <w:pPr>
              <w:pStyle w:val="TableHeading"/>
              <w:bidi w:val="0"/>
              <w:spacing w:before="0" w:after="0"/>
              <w:ind w:left="0" w:right="0" w:hanging="0"/>
              <w:jc w:val="center"/>
              <w:rPr/>
            </w:pPr>
            <w:r>
              <w:rPr/>
              <w:t>​</w:t>
            </w:r>
          </w:p>
        </w:tc>
        <w:tc>
          <w:tcPr>
            <w:tcW w:w="2967" w:type="dxa"/>
            <w:gridSpan w:val="7"/>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c>
        <w:tc>
          <w:tcPr>
            <w:tcW w:w="482" w:type="dxa"/>
            <w:gridSpan w:val="2"/>
            <w:tcBorders>
              <w:bottom w:val="single" w:sz="2" w:space="0" w:color="000000"/>
            </w:tcBorders>
            <w:vAlign w:val="center"/>
          </w:tcPr>
          <w:p>
            <w:pPr>
              <w:pStyle w:val="TableHeading"/>
              <w:bidi w:val="0"/>
              <w:spacing w:before="0" w:after="0"/>
              <w:ind w:left="0" w:right="0" w:hanging="0"/>
              <w:jc w:val="center"/>
              <w:rPr/>
            </w:pPr>
            <w:r>
              <w:rPr/>
              <w:t>​</w:t>
            </w:r>
          </w:p>
        </w:tc>
        <w:tc>
          <w:tcPr>
            <w:tcW w:w="820" w:type="dxa"/>
            <w:gridSpan w:val="2"/>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r>
          </w:p>
        </w:tc>
        <w:tc>
          <w:tcPr>
            <w:tcW w:w="372"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7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w:t>
            </w:r>
          </w:p>
        </w:tc>
        <w:tc>
          <w:tcPr>
            <w:tcW w:w="286" w:type="dxa"/>
            <w:tcBorders>
              <w:bottom w:val="single" w:sz="2" w:space="0" w:color="000000"/>
            </w:tcBorders>
            <w:vAlign w:val="center"/>
          </w:tcPr>
          <w:p>
            <w:pPr>
              <w:pStyle w:val="TableHeading"/>
              <w:bidi w:val="0"/>
              <w:spacing w:before="0" w:after="0"/>
              <w:ind w:left="0" w:right="0" w:hanging="0"/>
              <w:jc w:val="left"/>
              <w:rPr/>
            </w:pPr>
            <w:r>
              <w:rPr/>
              <w:t>  ​ ​</w:t>
            </w:r>
          </w:p>
        </w:tc>
        <w:tc>
          <w:tcPr>
            <w:tcW w:w="422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 Description</w:t>
            </w:r>
          </w:p>
        </w:tc>
        <w:tc>
          <w:tcPr>
            <w:tcW w:w="286" w:type="dxa"/>
            <w:tcBorders>
              <w:bottom w:val="single" w:sz="2" w:space="0" w:color="000000"/>
            </w:tcBorders>
            <w:vAlign w:val="center"/>
          </w:tcPr>
          <w:p>
            <w:pPr>
              <w:pStyle w:val="TableHeading"/>
              <w:bidi w:val="0"/>
              <w:spacing w:before="0" w:after="0"/>
              <w:ind w:left="0" w:right="0" w:hanging="0"/>
              <w:jc w:val="center"/>
              <w:rPr/>
            </w:pPr>
            <w:r>
              <w:rPr/>
              <w:t>  ​ ​</w:t>
            </w:r>
          </w:p>
        </w:tc>
        <w:tc>
          <w:tcPr>
            <w:tcW w:w="52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2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  ​ ​</w:t>
            </w:r>
          </w:p>
        </w:tc>
        <w:tc>
          <w:tcPr>
            <w:tcW w:w="72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2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  ​ ​</w:t>
            </w:r>
          </w:p>
        </w:tc>
        <w:tc>
          <w:tcPr>
            <w:tcW w:w="67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2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  ​ ​</w:t>
            </w:r>
          </w:p>
        </w:tc>
        <w:tc>
          <w:tcPr>
            <w:tcW w:w="608" w:type="dxa"/>
            <w:gridSpan w:val="2"/>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298" w:type="dxa"/>
            <w:gridSpan w:val="2"/>
            <w:tcBorders>
              <w:bottom w:val="single" w:sz="2" w:space="0" w:color="000000"/>
            </w:tcBorders>
            <w:vAlign w:val="center"/>
          </w:tcPr>
          <w:p>
            <w:pPr>
              <w:pStyle w:val="TableHeading"/>
              <w:bidi w:val="0"/>
              <w:spacing w:before="0" w:after="0"/>
              <w:ind w:left="0" w:right="0" w:hanging="0"/>
              <w:jc w:val="center"/>
              <w:rPr/>
            </w:pPr>
            <w:r>
              <w:rPr/>
              <w:t>  ​ ​</w:t>
            </w:r>
          </w:p>
        </w:tc>
        <w:tc>
          <w:tcPr>
            <w:tcW w:w="949" w:type="dxa"/>
            <w:gridSpan w:val="2"/>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Furnished</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Herewith</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28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221"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 No. 1 to Consulting Project Details No. 2 to the Master Consulting Services Agreement, dated January 22, 2026, between Lulu’s Fashion Lounge, LLC and Business Talent Group, LLC.</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8-K</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001-41059</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01/22/2026</w:t>
            </w:r>
          </w:p>
        </w:tc>
        <w:tc>
          <w:tcPr>
            <w:tcW w:w="298" w:type="dxa"/>
            <w:gridSpan w:val="2"/>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949" w:type="dxa"/>
            <w:gridSpan w:val="2"/>
            <w:tcBorders/>
            <w:tcMar>
              <w:bottom w:w="0" w:type="dxa"/>
            </w:tcMar>
            <w:vAlign w:val="center"/>
          </w:tcPr>
          <w:p>
            <w:pPr>
              <w:pStyle w:val="TableContents"/>
              <w:bidi w:val="0"/>
              <w:spacing w:before="0" w:after="0"/>
              <w:ind w:left="0" w:right="0" w:hanging="0"/>
              <w:jc w:val="center"/>
              <w:rPr/>
            </w:pPr>
            <w:r>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10.2</w:t>
            </w:r>
          </w:p>
        </w:tc>
        <w:tc>
          <w:tcPr>
            <w:tcW w:w="28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221"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Employment Agreement, dated as of February 4, 2026, among Lulu's Fashion Lounge Holdings, Inc., Lulu's Fashion Lounge, LLC and Heidi Crane.</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8-K</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001-41059</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02/05/2026</w:t>
            </w:r>
          </w:p>
        </w:tc>
        <w:tc>
          <w:tcPr>
            <w:tcW w:w="298" w:type="dxa"/>
            <w:gridSpan w:val="2"/>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949" w:type="dxa"/>
            <w:gridSpan w:val="2"/>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10.3</w:t>
            </w:r>
          </w:p>
        </w:tc>
        <w:tc>
          <w:tcPr>
            <w:tcW w:w="28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221"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18"/>
                </w:rPr>
                <w:t>First Amendment to Master Fulfillment System Acquisition &amp; Software License Agreement, dated as of March 1, 2026, between 6 River Systems, LLC and Lulu’s Fashion Lounge, LLC.+</w:t>
              </w:r>
            </w:hyperlink>
            <w:r>
              <w:rPr>
                <w:rFonts w:ascii="Times New Roman;Times;serif" w:hAnsi="Times New Roman;Times;serif"/>
                <w:sz w:val="18"/>
              </w:rPr>
              <w:t xml:space="preserve"> </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10-K</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001-41059</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10.30</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03/30/2026</w:t>
            </w:r>
          </w:p>
        </w:tc>
        <w:tc>
          <w:tcPr>
            <w:tcW w:w="298" w:type="dxa"/>
            <w:gridSpan w:val="2"/>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949" w:type="dxa"/>
            <w:gridSpan w:val="2"/>
            <w:tcBorders/>
            <w:tcMar>
              <w:bottom w:w="0" w:type="dxa"/>
            </w:tcMar>
            <w:vAlign w:val="center"/>
          </w:tcPr>
          <w:p>
            <w:pPr>
              <w:pStyle w:val="TableContents"/>
              <w:bidi w:val="0"/>
              <w:spacing w:before="0" w:after="0"/>
              <w:ind w:left="0" w:right="0" w:hanging="0"/>
              <w:jc w:val="center"/>
              <w:rPr/>
            </w:pPr>
            <w:r>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pPr>
            <w:hyperlink w:anchor="lvlu-20260329xex31d1.htm">
              <w:r>
                <w:rPr>
                  <w:rStyle w:val="InternetLink"/>
                  <w:rFonts w:ascii="Times New Roman;Times;serif" w:hAnsi="Times New Roman;Times;serif"/>
                  <w:b w:val="false"/>
                  <w:i w:val="false"/>
                  <w:caps w:val="false"/>
                  <w:smallCaps w:val="false"/>
                  <w:sz w:val="20"/>
                </w:rPr>
                <w:t>Certification of Chief Executive Officer pursuant to Rule 13a-14(a)/15d-14(a).</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pPr>
            <w:hyperlink w:anchor="lvlu-20260329xex31d2.htm">
              <w:r>
                <w:rPr>
                  <w:rStyle w:val="InternetLink"/>
                  <w:rFonts w:ascii="Times New Roman;Times;serif" w:hAnsi="Times New Roman;Times;serif"/>
                  <w:b w:val="false"/>
                  <w:i w:val="false"/>
                  <w:caps w:val="false"/>
                  <w:smallCaps w:val="false"/>
                  <w:sz w:val="20"/>
                </w:rPr>
                <w:t>Certification of Chief Financial Officer pursuant to Rule 13a-14(a)/15d-14(a).</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pPr>
            <w:hyperlink w:anchor="lvlu-20260329xex32d1.htm">
              <w:r>
                <w:rPr>
                  <w:rStyle w:val="InternetLink"/>
                  <w:rFonts w:ascii="Times New Roman;Times;serif" w:hAnsi="Times New Roman;Times;serif"/>
                  <w:b w:val="false"/>
                  <w:i w:val="false"/>
                  <w:caps w:val="false"/>
                  <w:smallCaps w:val="false"/>
                  <w:sz w:val="20"/>
                </w:rPr>
                <w:t>Certification of Chief Executive Officer pursuant to 18 U.S.C. Section 1350.</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pPr>
            <w:hyperlink w:anchor="lvlu-20260329xex32d2.htm">
              <w:r>
                <w:rPr>
                  <w:rStyle w:val="InternetLink"/>
                  <w:rFonts w:ascii="Times New Roman;Times;serif" w:hAnsi="Times New Roman;Times;serif"/>
                  <w:b w:val="false"/>
                  <w:i w:val="false"/>
                  <w:caps w:val="false"/>
                  <w:smallCaps w:val="false"/>
                  <w:sz w:val="20"/>
                </w:rPr>
                <w:t>Certification of Chief Financial Officer pursuant to 18 U.S.C. Section 1350.</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 - the instance document does not appear in the Interactive Data file because its XBRL tags are embedded within the Inline XBRL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(as formatted as Inline XBRL and contained in Exhibit 101)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08" w:type="dxa"/>
            <w:gridSpan w:val="2"/>
            <w:tcBorders/>
            <w:tcMar>
              <w:bottom w:w="0" w:type="dxa"/>
            </w:tcMar>
            <w:vAlign w:val="center"/>
          </w:tcPr>
          <w:p>
            <w:pPr>
              <w:pStyle w:val="TableContents"/>
              <w:bidi w:val="0"/>
              <w:spacing w:before="0" w:after="0"/>
              <w:ind w:left="0" w:right="0" w:hanging="0"/>
              <w:jc w:val="center"/>
              <w:rPr/>
            </w:pPr>
            <w:r>
              <w:rPr/>
              <w:t>​</w:t>
            </w:r>
          </w:p>
        </w:tc>
        <w:tc>
          <w:tcPr>
            <w:tcW w:w="298"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 Additionally, certain schedules and exhibits to this exhibit have been omitted pursuant to Item 601 of Regulation S-K. The Company hereby undertakes to furnish copies of any of the omitted schedules or exhibits to the SEC upon request by the SEC; provided that the Company may request confidential treatment pursuant to Rule 24b-2 of The Securities Exchange Act of 1934, as amended, for any schedules or exhibits so furnished.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64" w:name="SIGNATURES_813814"/>
      <w:bookmarkStart w:id="865" w:name="_87e1f74f_abda_4704_9084_d989796d049a"/>
      <w:bookmarkEnd w:id="864"/>
      <w:bookmarkEnd w:id="865"/>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269" w:type="dxa"/>
        <w:jc w:val="left"/>
        <w:tblInd w:w="0" w:type="dxa"/>
        <w:tblLayout w:type="fixed"/>
        <w:tblCellMar>
          <w:top w:w="0" w:type="dxa"/>
          <w:left w:w="0" w:type="dxa"/>
          <w:bottom w:w="0" w:type="dxa"/>
          <w:right w:w="0" w:type="dxa"/>
        </w:tblCellMar>
      </w:tblPr>
      <w:tblGrid>
        <w:gridCol w:w="1801"/>
        <w:gridCol w:w="146"/>
        <w:gridCol w:w="406"/>
        <w:gridCol w:w="391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92710" cy="29210"/>
                      <wp:effectExtent l="0" t="0" r="0" b="0"/>
                      <wp:wrapNone/>
                      <wp:docPr id="192" name="Frame19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57810" cy="29210"/>
                      <wp:effectExtent l="0" t="0" r="0" b="0"/>
                      <wp:wrapNone/>
                      <wp:docPr id="193" name="Frame192"/>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486660" cy="29210"/>
                      <wp:effectExtent l="0" t="0" r="0" b="0"/>
                      <wp:wrapNone/>
                      <wp:docPr id="194" name="Frame193"/>
                      <a:graphic xmlns:a="http://schemas.openxmlformats.org/drawingml/2006/main">
                        <a:graphicData uri="http://schemas.microsoft.com/office/word/2010/wordprocessingShape">
                          <wps:wsp>
                            <wps:cNvSpPr txBox="1"/>
                            <wps:spPr>
                              <a:xfrm>
                                <a:off x="0" y="0"/>
                                <a:ext cx="2486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18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8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8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Chief Executive Officer</w:t>
            </w:r>
            <w:r>
              <w:rPr>
                <w:rFonts w:ascii="Times New Roman;Times;serif" w:hAnsi="Times New Roman;Times;serif"/>
                <w:sz w:val="20"/>
              </w:rPr>
              <w:t xml:space="preserve"> </w:t>
            </w:r>
          </w:p>
        </w:tc>
      </w:tr>
      <w:tr>
        <w:trPr/>
        <w:tc>
          <w:tcPr>
            <w:tcW w:w="18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(Principal Executive Officer)</w:t>
            </w:r>
            <w:r>
              <w:rPr>
                <w:rFonts w:ascii="Times New Roman;Times;serif" w:hAnsi="Times New Roman;Times;serif"/>
                <w:sz w:val="20"/>
              </w:rPr>
              <w:t> </w:t>
            </w:r>
          </w:p>
        </w:tc>
      </w:tr>
      <w:tr>
        <w:trPr/>
        <w:tc>
          <w:tcPr>
            <w:tcW w:w="1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pPr>
            <w:r>
              <w:rPr/>
              <w:t>​</w:t>
            </w:r>
          </w:p>
        </w:tc>
      </w:tr>
      <w:tr>
        <w:trPr/>
        <w:tc>
          <w:tcPr>
            <w:tcW w:w="180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Date: May 13,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Heidi Crane</w:t>
            </w:r>
          </w:p>
        </w:tc>
      </w:tr>
      <w:tr>
        <w:trPr/>
        <w:tc>
          <w:tcPr>
            <w:tcW w:w="1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Heidi Crane</w:t>
            </w:r>
          </w:p>
        </w:tc>
      </w:tr>
      <w:tr>
        <w:trPr/>
        <w:tc>
          <w:tcPr>
            <w:tcW w:w="1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Chief Financial Officer </w:t>
            </w:r>
          </w:p>
        </w:tc>
      </w:tr>
      <w:tr>
        <w:trPr/>
        <w:tc>
          <w:tcPr>
            <w:tcW w:w="1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 </w:t>
            </w:r>
          </w:p>
        </w:tc>
      </w:tr>
      <w:tr>
        <w:trPr/>
        <w:tc>
          <w:tcPr>
            <w:tcW w:w="1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right"/>
        <w:rPr>
          <w:rFonts w:ascii="Times New Roman;Times;serif" w:hAnsi="Times New Roman;Times;serif"/>
          <w:b/>
          <w:sz w:val="20"/>
        </w:rPr>
      </w:pPr>
      <w:bookmarkStart w:id="866" w:name="lvlu-20260329xex31d1.htm"/>
      <w:bookmarkStart w:id="867" w:name="kslvlu20260329xex31d1"/>
      <w:bookmarkEnd w:id="866"/>
      <w:bookmarkEnd w:id="867"/>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Crystal Landsem,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762" w:type="dxa"/>
        <w:jc w:val="center"/>
        <w:tblInd w:w="0" w:type="dxa"/>
        <w:tblLayout w:type="fixed"/>
        <w:tblCellMar>
          <w:top w:w="0" w:type="dxa"/>
          <w:left w:w="0" w:type="dxa"/>
          <w:bottom w:w="0" w:type="dxa"/>
          <w:right w:w="0" w:type="dxa"/>
        </w:tblCellMar>
      </w:tblPr>
      <w:tblGrid>
        <w:gridCol w:w="1741"/>
        <w:gridCol w:w="109"/>
        <w:gridCol w:w="406"/>
        <w:gridCol w:w="250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105535" cy="175260"/>
                      <wp:effectExtent l="0" t="0" r="0" b="0"/>
                      <wp:wrapNone/>
                      <wp:docPr id="195" name="Frame19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591945" cy="175260"/>
                      <wp:effectExtent l="0" t="0" r="0" b="0"/>
                      <wp:wrapNone/>
                      <wp:docPr id="197" name="Frame196"/>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Chief Executive Officer </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68" w:name="lvlu-20260329xex31d2.htm"/>
      <w:bookmarkStart w:id="869" w:name="kslvlu20260329xex31d2"/>
      <w:bookmarkEnd w:id="868"/>
      <w:bookmarkEnd w:id="869"/>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Heidi Crane,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127" w:type="dxa"/>
        <w:jc w:val="left"/>
        <w:tblInd w:w="0" w:type="dxa"/>
        <w:tblLayout w:type="fixed"/>
        <w:tblCellMar>
          <w:top w:w="0" w:type="dxa"/>
          <w:left w:w="0" w:type="dxa"/>
          <w:bottom w:w="0" w:type="dxa"/>
          <w:right w:w="0" w:type="dxa"/>
        </w:tblCellMar>
      </w:tblPr>
      <w:tblGrid>
        <w:gridCol w:w="1741"/>
        <w:gridCol w:w="109"/>
        <w:gridCol w:w="406"/>
        <w:gridCol w:w="387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105535" cy="175260"/>
                      <wp:effectExtent l="0" t="0" r="0" b="0"/>
                      <wp:wrapNone/>
                      <wp:docPr id="198" name="Frame197"/>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458085" cy="175260"/>
                      <wp:effectExtent l="0" t="0" r="0" b="0"/>
                      <wp:wrapNone/>
                      <wp:docPr id="200" name="Frame199"/>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Heidi Crane</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Heidi Crane</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70" w:name="lvlu-20260329xex32d1.htm"/>
      <w:bookmarkStart w:id="871" w:name="kslvlu20260329xex32d1"/>
      <w:bookmarkEnd w:id="870"/>
      <w:bookmarkEnd w:id="871"/>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March 29, 2026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762" w:type="dxa"/>
        <w:jc w:val="center"/>
        <w:tblInd w:w="0" w:type="dxa"/>
        <w:tblLayout w:type="fixed"/>
        <w:tblCellMar>
          <w:top w:w="0" w:type="dxa"/>
          <w:left w:w="0" w:type="dxa"/>
          <w:bottom w:w="0" w:type="dxa"/>
          <w:right w:w="0" w:type="dxa"/>
        </w:tblCellMar>
      </w:tblPr>
      <w:tblGrid>
        <w:gridCol w:w="1741"/>
        <w:gridCol w:w="109"/>
        <w:gridCol w:w="406"/>
        <w:gridCol w:w="250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105535" cy="175260"/>
                      <wp:effectExtent l="0" t="0" r="0" b="0"/>
                      <wp:wrapNone/>
                      <wp:docPr id="201" name="Frame20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91945" cy="175260"/>
                      <wp:effectExtent l="0" t="0" r="0" b="0"/>
                      <wp:wrapNone/>
                      <wp:docPr id="203" name="Frame202"/>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Chief Executive Officer</w:t>
            </w:r>
            <w:r>
              <w:rPr>
                <w:rFonts w:ascii="Times New Roman;Times;serif" w:hAnsi="Times New Roman;Times;serif"/>
                <w:sz w:val="20"/>
              </w:rPr>
              <w:t xml:space="preserve"> </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72" w:name="lvlu-20260329xex32d2.htm"/>
      <w:bookmarkStart w:id="873" w:name="kslvlu20260329xex32d2"/>
      <w:bookmarkEnd w:id="872"/>
      <w:bookmarkEnd w:id="873"/>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March 29, 2026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127" w:type="dxa"/>
        <w:jc w:val="center"/>
        <w:tblInd w:w="0" w:type="dxa"/>
        <w:tblLayout w:type="fixed"/>
        <w:tblCellMar>
          <w:top w:w="0" w:type="dxa"/>
          <w:left w:w="0" w:type="dxa"/>
          <w:bottom w:w="0" w:type="dxa"/>
          <w:right w:w="0" w:type="dxa"/>
        </w:tblCellMar>
      </w:tblPr>
      <w:tblGrid>
        <w:gridCol w:w="1741"/>
        <w:gridCol w:w="109"/>
        <w:gridCol w:w="406"/>
        <w:gridCol w:w="387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105535" cy="175260"/>
                      <wp:effectExtent l="0" t="0" r="0" b="0"/>
                      <wp:wrapNone/>
                      <wp:docPr id="204" name="Frame20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458085" cy="175260"/>
                      <wp:effectExtent l="0" t="0" r="0" b="0"/>
                      <wp:wrapNone/>
                      <wp:docPr id="206" name="Frame205"/>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Heidi Crane</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Heidi Crane</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0201/000110465926005773/lvlu-20260122xex10d1.htm" TargetMode="External"/><Relationship Id="rId4" Type="http://schemas.openxmlformats.org/officeDocument/2006/relationships/hyperlink" Target="https://www.sec.gov/Archives/edgar/data/1780201/000110465926010874/tm265328d1_ex10-1.htm" TargetMode="External"/><Relationship Id="rId5" Type="http://schemas.openxmlformats.org/officeDocument/2006/relationships/hyperlink" Target="https://www.sec.gov/Archives/edgar/data/1780201/000110465926036884/lvlu-20251228xex10d30.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18736</Words>
  <Characters>105121</Characters>
  <CharactersWithSpaces>124629</CharactersWithSpaces>
  <Paragraphs>3657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