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tmb-20250629x10q.htm"/>
        <w:bookmarkStart w:id="1" w:name="kstmb20250629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32"/>
        </w:rPr>
      </w:pPr>
      <w:bookmarkStart w:id="2" w:name="_6509bd94_968c_452c_83db_988f6f93676c"/>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k0AxqkriJEmR5GU01yY9ZA_1_1"/>
      <w:bookmarkStart w:id="4" w:name="_3586bc08_409e_4c84_8a88_f77b88341fc0"/>
      <w:bookmarkStart w:id="5" w:name="Tc_k0AxqkriJEmR5GU01yY9ZA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29,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roPc6wW720WIUsPggwOHZw_1_1"/>
      <w:bookmarkStart w:id="8" w:name="_047cb49a_6ab8_464c_b721_f28d7010be9a"/>
      <w:bookmarkStart w:id="9" w:name="Tc_roPc6wW720WIUsPggwOHZw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g-YopylRnk2Rz3QwDHsahg_4_1"/>
      <w:bookmarkStart w:id="12" w:name="Tc_BB1xD-lZgU-5ZUhXOuCmjA_4_0"/>
      <w:bookmarkStart w:id="13" w:name="Tc_tYPjgDlEPU2stvUinTTmjw_3_0"/>
      <w:bookmarkStart w:id="14" w:name="Tc_abXBrcURBkGkjiWCtyhhTA_2_1"/>
      <w:bookmarkStart w:id="15" w:name="Tc_9XOiPP90dkCrOfxmKWQx5g_2_0"/>
      <w:bookmarkStart w:id="16" w:name="_2e8a7c68_cf3e_42ac_9fdd_aa4211875b32"/>
      <w:bookmarkStart w:id="17" w:name="Tc_g-YopylRnk2Rz3QwDHsahg_4_1"/>
      <w:bookmarkStart w:id="18" w:name="Tc_BB1xD-lZgU-5ZUhXOuCmjA_4_0"/>
      <w:bookmarkStart w:id="19" w:name="Tc_tYPjgDlEPU2stvUinTTmjw_3_0"/>
      <w:bookmarkStart w:id="20" w:name="Tc_abXBrcURBkGkjiWCtyhhTA_2_1"/>
      <w:bookmarkStart w:id="21" w:name="Tc_9XOiPP90dkCrOfxmKWQx5g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195 Humboldt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95928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GeEngGOIdEWbAuz6e6P1VQ_1_2"/>
      <w:bookmarkStart w:id="24" w:name="Tc_3GRNE0JHJUuRDpmzUbjzJA_0_2"/>
      <w:bookmarkStart w:id="25" w:name="Tc_evvPO2tsLkOPblPgYqYf5g_0_1"/>
      <w:bookmarkStart w:id="26" w:name="Tc_F1waOxjcYUKyGSuz5w3YcQ_0_0"/>
      <w:bookmarkStart w:id="27" w:name="_0b67aa34_c169_429a_9db4_f6b2e7cf4f7b"/>
      <w:bookmarkStart w:id="28" w:name="Tc_GeEngGOIdEWbAuz6e6P1VQ_1_2"/>
      <w:bookmarkStart w:id="29" w:name="Tc_3GRNE0JHJUuRDpmzUbjzJA_0_2"/>
      <w:bookmarkStart w:id="30" w:name="Tc_evvPO2tsLkOPblPgYqYf5g_0_1"/>
      <w:bookmarkStart w:id="31" w:name="Tc_F1waOxjcYUKyGSuz5w3YcQ_0_0"/>
      <w:bookmarkStart w:id="32" w:name="_0b67aa34_c169_429a_9db4_f6b2e7cf4f7b"/>
      <w:bookmarkEnd w:id="28"/>
      <w:bookmarkEnd w:id="29"/>
      <w:bookmarkEnd w:id="30"/>
      <w:bookmarkEnd w:id="31"/>
      <w:bookmarkEnd w:id="32"/>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 w:name="Tc_R_8LLbdDAUuXFlahCctFaQ_3_0"/>
      <w:bookmarkStart w:id="34" w:name="Tc_jKNdUvke102a6SLqAz3bGQ_2_3"/>
      <w:bookmarkStart w:id="35" w:name="Tc_CekONaLwO0iNs9_GJZAnTA_2_1"/>
      <w:bookmarkStart w:id="36" w:name="Tc_0rodpTVAZUCFK4sAyfg2Tw_1_4"/>
      <w:bookmarkStart w:id="37" w:name="Tc_USKjC5Hn30SCzt5EDE0VFQ_1_3"/>
      <w:bookmarkStart w:id="38" w:name="Tc_ct4rJSLplE2ge5712EpRIA_1_1"/>
      <w:bookmarkStart w:id="39" w:name="Tc_vXX-ZdYlb0uqbohuPHTfog_1_0"/>
      <w:bookmarkStart w:id="40" w:name="_802ff32d_6140_48ee_8c95_2d5393b7c353"/>
      <w:bookmarkStart w:id="41" w:name="Tc_R_8LLbdDAUuXFlahCctFaQ_3_0"/>
      <w:bookmarkStart w:id="42" w:name="Tc_jKNdUvke102a6SLqAz3bGQ_2_3"/>
      <w:bookmarkStart w:id="43" w:name="Tc_CekONaLwO0iNs9_GJZAnTA_2_1"/>
      <w:bookmarkStart w:id="44" w:name="Tc_0rodpTVAZUCFK4sAyfg2Tw_1_4"/>
      <w:bookmarkStart w:id="45" w:name="Tc_USKjC5Hn30SCzt5EDE0VFQ_1_3"/>
      <w:bookmarkStart w:id="46" w:name="Tc_ct4rJSLplE2ge5712EpRIA_1_1"/>
      <w:bookmarkStart w:id="47" w:name="Tc_vXX-ZdYlb0uqbohuPHTfog_1_0"/>
      <w:bookmarkStart w:id="48" w:name="_802ff32d_6140_48ee_8c95_2d5393b7c353"/>
      <w:bookmarkEnd w:id="41"/>
      <w:bookmarkEnd w:id="42"/>
      <w:bookmarkEnd w:id="43"/>
      <w:bookmarkEnd w:id="44"/>
      <w:bookmarkEnd w:id="45"/>
      <w:bookmarkEnd w:id="46"/>
      <w:bookmarkEnd w:id="47"/>
      <w:bookmarkEnd w:id="48"/>
    </w:p>
    <w:tbl>
      <w:tblPr>
        <w:tblW w:w="4905" w:type="dxa"/>
        <w:jc w:val="left"/>
        <w:tblInd w:w="0" w:type="dxa"/>
        <w:tblLayout w:type="fixed"/>
        <w:tblCellMar>
          <w:top w:w="0" w:type="dxa"/>
          <w:left w:w="0" w:type="dxa"/>
          <w:bottom w:w="0" w:type="dxa"/>
          <w:right w:w="0" w:type="dxa"/>
        </w:tblCellMar>
      </w:tblPr>
      <w:tblGrid>
        <w:gridCol w:w="2056"/>
        <w:gridCol w:w="31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August 8, 2025, there were 2,748,930 shares of the registrant’s common stock, par value $0.001, outstanding. The foregoing reflects the reverse stock split of the registrant’s common stock that became effective as of the opening of business on July 7, 2025.</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TOC"/>
      <w:bookmarkStart w:id="50" w:name="_9c2e33be_67e3_4036_ab1a_853f24f6faee"/>
      <w:bookmarkEnd w:id="49"/>
      <w:bookmarkEnd w:id="50"/>
      <w:r>
        <w:rPr>
          <w:rFonts w:ascii="Times New Roman;Times;serif" w:hAnsi="Times New Roman;Times;serif"/>
          <w:b/>
          <w:sz w:val="20"/>
        </w:rPr>
        <w:t>TABLE OF CONTENTS</w:t>
      </w:r>
    </w:p>
    <w:p>
      <w:pPr>
        <w:pStyle w:val="TextBody"/>
        <w:bidi w:val="0"/>
        <w:spacing w:before="0" w:after="0"/>
        <w:ind w:left="0" w:right="0" w:hanging="0"/>
        <w:jc w:val="right"/>
        <w:rPr/>
      </w:pPr>
      <w:r>
        <w:rPr/>
        <w:t>​</w:t>
      </w:r>
    </w:p>
    <w:tbl>
      <w:tblPr>
        <w:tblW w:w="8913" w:type="dxa"/>
        <w:jc w:val="left"/>
        <w:tblInd w:w="0" w:type="dxa"/>
        <w:tblLayout w:type="fixed"/>
        <w:tblCellMar>
          <w:top w:w="0" w:type="dxa"/>
          <w:left w:w="0" w:type="dxa"/>
          <w:bottom w:w="0" w:type="dxa"/>
          <w:right w:w="0" w:type="dxa"/>
        </w:tblCellMar>
      </w:tblPr>
      <w:tblGrid>
        <w:gridCol w:w="976"/>
        <w:gridCol w:w="7366"/>
        <w:gridCol w:w="571"/>
      </w:tblGrid>
      <w:tr>
        <w:trPr/>
        <w:tc>
          <w:tcPr>
            <w:tcW w:w="97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FINANCIAL INFORMATION</w:t>
              </w:r>
            </w:hyperlink>
          </w:p>
        </w:tc>
        <w:tc>
          <w:tcPr>
            <w:tcW w:w="5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0"/>
                </w:rPr>
                <w:t xml:space="preserve">Condensed Consolidated Balance Sheets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
              <w:r>
                <w:rPr>
                  <w:rStyle w:val="InternetLink"/>
                  <w:rFonts w:ascii="Times New Roman;Times;serif" w:hAnsi="Times New Roman;Times;serif"/>
                  <w:b w:val="false"/>
                  <w:i w:val="false"/>
                  <w:caps w:val="false"/>
                  <w:smallCaps w:val="false"/>
                  <w:sz w:val="20"/>
                </w:rPr>
                <w:t xml:space="preserve">Condensed Consolidated Statements of Operations and Comprehensive Loss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0"/>
                </w:rPr>
                <w:t xml:space="preserve">Condensed Consolidated Statements of Stockholders’ Equity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0"/>
                </w:rPr>
                <w:t>Notes to Condensed Consolidated Financial Statements</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76"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0"/>
                </w:rPr>
                <w:t>Signatures</w:t>
              </w:r>
            </w:hyperlink>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_8a990c73_cf45_4a54_9418_c751ad25da99"/>
      <w:bookmarkEnd w:id="51"/>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equity-based compensation expense,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29, 2024, </w:t>
      </w:r>
      <w:r>
        <w:rPr>
          <w:rFonts w:ascii="Times New Roman;Times;serif" w:hAnsi="Times New Roman;Times;serif"/>
          <w:sz w:val="20"/>
          <w:shd w:fill="FFFFFF" w:val="clear"/>
        </w:rPr>
        <w:t xml:space="preserve">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in our Quarterly Report on Form 10-Q for the quarter ended March 30, 2025,</w:t>
      </w:r>
      <w:r>
        <w:rPr>
          <w:rFonts w:ascii="Times New Roman;Times;serif" w:hAnsi="Times New Roman;Times;serif"/>
          <w:sz w:val="20"/>
        </w:rPr>
        <w:t xml:space="preserve"> </w:t>
      </w:r>
      <w:r>
        <w:rPr>
          <w:rFonts w:ascii="Times New Roman;Times;serif" w:hAnsi="Times New Roman;Times;serif"/>
          <w:sz w:val="20"/>
          <w:shd w:fill="FFFFFF" w:val="clear"/>
        </w:rPr>
        <w:t xml:space="preserve">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in this Quarterly Report on Form 10-Q for the quarter ended June 29, 2025, </w:t>
      </w:r>
      <w:r>
        <w:rPr>
          <w:rFonts w:ascii="Times New Roman;Times;serif" w:hAnsi="Times New Roman;Times;serif"/>
          <w:sz w:val="20"/>
        </w:rPr>
        <w:t>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2" w:name="_ad66dde8_afcc_470a_8381_b1a7d0dfb7c9"/>
      <w:bookmarkEnd w:id="52"/>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fiscal year is a “52-53 week” year ending on the Sunday closest in proximity to December 31, such that each quarterly period will be 13 weeks in length, except during a 53-week year when the fourth quarter will be 14 weeks. References herein to “fiscal 2025” and/or “2025” relate to the year ending December 28, 2025 and “fiscal 2024” and/or “2024” relate to the year ended December 29, 2024. The fiscal years ending December 28, 2025 and ended December 29, 2024 consist of 52-weeks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(generally accepted accounting principles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to Adjusted EBITDA and a reconciliation to non-GAAP Free Cash Flow from net cash provided by operating activities. Net loss is the most directly comparable financial measure to Adjusted EBITDA and net cash provided by operating activities is the most directly comparable financial measure to Free Cash Flow, required by, or presented in accordance with GAAP</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PARTIFINANCIALINFORMATION_735439"/>
      <w:bookmarkStart w:id="54" w:name="_cac67997_6839_423c_84ec_05194447e805"/>
      <w:bookmarkEnd w:id="53"/>
      <w:bookmarkEnd w:id="54"/>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5" w:name="Item1FinancialStatements_894553"/>
      <w:bookmarkEnd w:id="55"/>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56" w:name="CondensedConsolidatedBalanceSheets_47417"/>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L8Ii14pgEWiuD41cdJF4g_41_5"/>
      <w:bookmarkStart w:id="58" w:name="Tc_AG9J_NTRmEGzp7HQozXM-Q_41_2"/>
      <w:bookmarkStart w:id="59" w:name="Tc_pucgEgHthE2wtmlG9Q92hw_41_0"/>
      <w:bookmarkStart w:id="60" w:name="Tc_djXT2jKH10uSH3dEtaEpUg_40_0"/>
      <w:bookmarkStart w:id="61" w:name="Tc_68ZFvlfGH0WoZSiqt7Gk3Q_39_0"/>
      <w:bookmarkStart w:id="62" w:name="Tc_LqYXH1qV2UGly7PNnR1xFw_38_0"/>
      <w:bookmarkStart w:id="63" w:name="Tc_jjl71TdGkkCZdFgauaKYLw_37_0"/>
      <w:bookmarkStart w:id="64" w:name="Tc_sy50H_OfpkOny9b8XuxqqA_36_0"/>
      <w:bookmarkStart w:id="65" w:name="_5c34f0e9_0c5d_4ec0_bd65_b4c89893608d_3"/>
      <w:bookmarkStart w:id="66" w:name="_5c34f0e9_0c5d_4ec0_bd65_b4c89893608d_2"/>
      <w:bookmarkStart w:id="67" w:name="_5c34f0e9_0c5d_4ec0_bd65_b4c89893608d"/>
      <w:bookmarkStart w:id="68" w:name="Tc_WE2l2hyTQkCsh8AFCPBO9Q_35_0"/>
      <w:bookmarkStart w:id="69" w:name="Tc_uidUmYvvkE2Z6wiwIKl6xA_34_0"/>
      <w:bookmarkStart w:id="70" w:name="Tc_D6iU2JS5yUqSsr5pYnvaMg_32_0"/>
      <w:bookmarkStart w:id="71" w:name="Tc_CsPtGBwbWk6zZyYqlQTjrg_31_0"/>
      <w:bookmarkStart w:id="72" w:name="Tc_KYhbHD9QqUaeHtLpDmODww_30_0"/>
      <w:bookmarkStart w:id="73" w:name="Tc_Qz94xvNLUkKa6b6K9qyZLQ_29_0"/>
      <w:bookmarkStart w:id="74" w:name="Tc_vFLQnd4mF02VYJkx2AUG6Q_28_0"/>
      <w:bookmarkStart w:id="75" w:name="Tc_Yz6gt-XJwESuskGxWnTR9g_27_0"/>
      <w:bookmarkStart w:id="76" w:name="Tc_rqVMo8zSVUCkGOkSd-58Ig_26_0"/>
      <w:bookmarkStart w:id="77" w:name="Tc_TmF3ki3pTkOD1d4Z9M375w_25_0"/>
      <w:bookmarkStart w:id="78" w:name="Tc_WRl7hCzQNEebuOVD18fikg_24_0"/>
      <w:bookmarkStart w:id="79" w:name="Tc_wegpONuirUyT03EL9mgdNA_23_0"/>
      <w:bookmarkStart w:id="80" w:name="Tc_MoudJfhDSUKhSKSPr6ekpA_22_5"/>
      <w:bookmarkStart w:id="81" w:name="Tc_ji6PVVZcoEaKU3bcAeP8Qw_22_2"/>
      <w:bookmarkStart w:id="82" w:name="Tc_bFQxba3HE0yUIK0ZG5ZWdw_22_0"/>
      <w:bookmarkStart w:id="83" w:name="Tc_u3KknENWtk-OKmrsZ3Cogw_21_0"/>
      <w:bookmarkStart w:id="84" w:name="Tc_ovmTX3dcpkSUEcq3q-dGIg_20_0"/>
      <w:bookmarkStart w:id="85" w:name="Tc_m55P_ufGzkCVPSBeB7mxzQ_18_5"/>
      <w:bookmarkStart w:id="86" w:name="Tc_FcRnCRmn2UOhepmGs-6DPA_18_2"/>
      <w:bookmarkStart w:id="87" w:name="Tc_m8wB5ZsW10yoI7bMt3nTcA_18_0"/>
      <w:bookmarkStart w:id="88" w:name="Tc_10THHyWR3EKPsF9i8k03Qw_17_0"/>
      <w:bookmarkStart w:id="89" w:name="Tc_I9N1U_hH-k6YCb1YB1RkRg_16_0"/>
      <w:bookmarkStart w:id="90" w:name="Tc_8BX7RpjL7E6VprHZLNTSIg_15_0"/>
      <w:bookmarkStart w:id="91" w:name="Tc_3C-_qjjGLEKhTNp8YFLO4Q_14_0"/>
      <w:bookmarkStart w:id="92" w:name="Tc_EOLD-1p6EEOFL9TCWA0Phw_13_0"/>
      <w:bookmarkStart w:id="93" w:name="Tc_GT19fsusGkK3BpH2VJ0ZeA_12_0"/>
      <w:bookmarkStart w:id="94" w:name="Tc_At22RahHqkmWegiPNdXh0Q_11_0"/>
      <w:bookmarkStart w:id="95" w:name="Tc_FEujHHeJQ0KqeUtPMTnKsA_10_0"/>
      <w:bookmarkStart w:id="96" w:name="Tc_snOYXtXIh0uvyFBVOw2rgQ_9_0"/>
      <w:bookmarkStart w:id="97" w:name="Tc_gUUU6LQGJEG5icko7Wwalw_8_0"/>
      <w:bookmarkStart w:id="98" w:name="Tc_Jn4xIdG_GECuqctaqRpPrw_7_0"/>
      <w:bookmarkStart w:id="99" w:name="Tc_JUHZCRPlAU-kjiyzvHiVRw_6_0"/>
      <w:bookmarkStart w:id="100" w:name="Tc_Zr1fo4XTnEO7TEZlnqNFzA_5_5"/>
      <w:bookmarkStart w:id="101" w:name="Tc_UyapNlkI-0aEs8AlVg5oqQ_5_2"/>
      <w:bookmarkStart w:id="102" w:name="Tc_pecg__mQJUqJownvflGb0g_5_0"/>
      <w:bookmarkStart w:id="103" w:name="Tc_zDE46v_AY0ul6HB4O26Kow_4_0"/>
      <w:bookmarkStart w:id="104" w:name="Tc_0oNpXP3QlEWuzxRQ2Jzl6w_3_0"/>
      <w:bookmarkStart w:id="105" w:name="Tc_B_skTsAXQ0KrlZ4LAKxPiQ_2_5"/>
      <w:bookmarkStart w:id="106" w:name="Tc_n-aCfXZ5BECWRRxWPhKFtQ_2_2"/>
      <w:bookmarkStart w:id="107" w:name="Tc_uyzgQXxeJEOPQ-BOTdv3Bg_1_5"/>
      <w:bookmarkStart w:id="108" w:name="Tc_O2KD_ppVN0Kw6zrN1aO7mw_1_2"/>
      <w:bookmarkStart w:id="109" w:name="_d943d634_e491_424e_b4f8_b70695775018"/>
      <w:bookmarkStart w:id="110" w:name="Tc_-L8Ii14pgEWiuD41cdJF4g_41_5"/>
      <w:bookmarkStart w:id="111" w:name="Tc_AG9J_NTRmEGzp7HQozXM-Q_41_2"/>
      <w:bookmarkStart w:id="112" w:name="Tc_pucgEgHthE2wtmlG9Q92hw_41_0"/>
      <w:bookmarkStart w:id="113" w:name="Tc_djXT2jKH10uSH3dEtaEpUg_40_0"/>
      <w:bookmarkStart w:id="114" w:name="Tc_68ZFvlfGH0WoZSiqt7Gk3Q_39_0"/>
      <w:bookmarkStart w:id="115" w:name="Tc_LqYXH1qV2UGly7PNnR1xFw_38_0"/>
      <w:bookmarkStart w:id="116" w:name="Tc_jjl71TdGkkCZdFgauaKYLw_37_0"/>
      <w:bookmarkStart w:id="117" w:name="Tc_sy50H_OfpkOny9b8XuxqqA_36_0"/>
      <w:bookmarkStart w:id="118" w:name="_5c34f0e9_0c5d_4ec0_bd65_b4c89893608d_3"/>
      <w:bookmarkStart w:id="119" w:name="_5c34f0e9_0c5d_4ec0_bd65_b4c89893608d_2"/>
      <w:bookmarkStart w:id="120" w:name="_5c34f0e9_0c5d_4ec0_bd65_b4c89893608d"/>
      <w:bookmarkStart w:id="121" w:name="Tc_WE2l2hyTQkCsh8AFCPBO9Q_35_0"/>
      <w:bookmarkStart w:id="122" w:name="Tc_uidUmYvvkE2Z6wiwIKl6xA_34_0"/>
      <w:bookmarkStart w:id="123" w:name="Tc_D6iU2JS5yUqSsr5pYnvaMg_32_0"/>
      <w:bookmarkStart w:id="124" w:name="Tc_CsPtGBwbWk6zZyYqlQTjrg_31_0"/>
      <w:bookmarkStart w:id="125" w:name="Tc_KYhbHD9QqUaeHtLpDmODww_30_0"/>
      <w:bookmarkStart w:id="126" w:name="Tc_Qz94xvNLUkKa6b6K9qyZLQ_29_0"/>
      <w:bookmarkStart w:id="127" w:name="Tc_vFLQnd4mF02VYJkx2AUG6Q_28_0"/>
      <w:bookmarkStart w:id="128" w:name="Tc_Yz6gt-XJwESuskGxWnTR9g_27_0"/>
      <w:bookmarkStart w:id="129" w:name="Tc_rqVMo8zSVUCkGOkSd-58Ig_26_0"/>
      <w:bookmarkStart w:id="130" w:name="Tc_TmF3ki3pTkOD1d4Z9M375w_25_0"/>
      <w:bookmarkStart w:id="131" w:name="Tc_WRl7hCzQNEebuOVD18fikg_24_0"/>
      <w:bookmarkStart w:id="132" w:name="Tc_wegpONuirUyT03EL9mgdNA_23_0"/>
      <w:bookmarkStart w:id="133" w:name="Tc_MoudJfhDSUKhSKSPr6ekpA_22_5"/>
      <w:bookmarkStart w:id="134" w:name="Tc_ji6PVVZcoEaKU3bcAeP8Qw_22_2"/>
      <w:bookmarkStart w:id="135" w:name="Tc_bFQxba3HE0yUIK0ZG5ZWdw_22_0"/>
      <w:bookmarkStart w:id="136" w:name="Tc_u3KknENWtk-OKmrsZ3Cogw_21_0"/>
      <w:bookmarkStart w:id="137" w:name="Tc_ovmTX3dcpkSUEcq3q-dGIg_20_0"/>
      <w:bookmarkStart w:id="138" w:name="Tc_m55P_ufGzkCVPSBeB7mxzQ_18_5"/>
      <w:bookmarkStart w:id="139" w:name="Tc_FcRnCRmn2UOhepmGs-6DPA_18_2"/>
      <w:bookmarkStart w:id="140" w:name="Tc_m8wB5ZsW10yoI7bMt3nTcA_18_0"/>
      <w:bookmarkStart w:id="141" w:name="Tc_10THHyWR3EKPsF9i8k03Qw_17_0"/>
      <w:bookmarkStart w:id="142" w:name="Tc_I9N1U_hH-k6YCb1YB1RkRg_16_0"/>
      <w:bookmarkStart w:id="143" w:name="Tc_8BX7RpjL7E6VprHZLNTSIg_15_0"/>
      <w:bookmarkStart w:id="144" w:name="Tc_3C-_qjjGLEKhTNp8YFLO4Q_14_0"/>
      <w:bookmarkStart w:id="145" w:name="Tc_EOLD-1p6EEOFL9TCWA0Phw_13_0"/>
      <w:bookmarkStart w:id="146" w:name="Tc_GT19fsusGkK3BpH2VJ0ZeA_12_0"/>
      <w:bookmarkStart w:id="147" w:name="Tc_At22RahHqkmWegiPNdXh0Q_11_0"/>
      <w:bookmarkStart w:id="148" w:name="Tc_FEujHHeJQ0KqeUtPMTnKsA_10_0"/>
      <w:bookmarkStart w:id="149" w:name="Tc_snOYXtXIh0uvyFBVOw2rgQ_9_0"/>
      <w:bookmarkStart w:id="150" w:name="Tc_gUUU6LQGJEG5icko7Wwalw_8_0"/>
      <w:bookmarkStart w:id="151" w:name="Tc_Jn4xIdG_GECuqctaqRpPrw_7_0"/>
      <w:bookmarkStart w:id="152" w:name="Tc_JUHZCRPlAU-kjiyzvHiVRw_6_0"/>
      <w:bookmarkStart w:id="153" w:name="Tc_Zr1fo4XTnEO7TEZlnqNFzA_5_5"/>
      <w:bookmarkStart w:id="154" w:name="Tc_UyapNlkI-0aEs8AlVg5oqQ_5_2"/>
      <w:bookmarkStart w:id="155" w:name="Tc_pecg__mQJUqJownvflGb0g_5_0"/>
      <w:bookmarkStart w:id="156" w:name="Tc_zDE46v_AY0ul6HB4O26Kow_4_0"/>
      <w:bookmarkStart w:id="157" w:name="Tc_0oNpXP3QlEWuzxRQ2Jzl6w_3_0"/>
      <w:bookmarkStart w:id="158" w:name="Tc_B_skTsAXQ0KrlZ4LAKxPiQ_2_5"/>
      <w:bookmarkStart w:id="159" w:name="Tc_n-aCfXZ5BECWRRxWPhKFtQ_2_2"/>
      <w:bookmarkStart w:id="160" w:name="Tc_uyzgQXxeJEOPQ-BOTdv3Bg_1_5"/>
      <w:bookmarkStart w:id="161" w:name="Tc_O2KD_ppVN0Kw6zrN1aO7mw_1_2"/>
      <w:bookmarkStart w:id="162" w:name="_d943d634_e491_424e_b4f8_b706957750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548"/>
        <w:gridCol w:w="326"/>
        <w:gridCol w:w="196"/>
        <w:gridCol w:w="783"/>
        <w:gridCol w:w="326"/>
        <w:gridCol w:w="196"/>
        <w:gridCol w:w="830"/>
      </w:tblGrid>
      <w:tr>
        <w:trPr/>
        <w:tc>
          <w:tcPr>
            <w:tcW w:w="7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92980" cy="175260"/>
                      <wp:effectExtent l="0" t="0" r="0" b="0"/>
                      <wp:wrapNone/>
                      <wp:docPr id="4" name="Frame3"/>
                      <a:graphic xmlns:a="http://schemas.openxmlformats.org/drawingml/2006/main">
                        <a:graphicData uri="http://schemas.microsoft.com/office/word/2010/wordprocessingShape">
                          <wps:wsp>
                            <wps:cNvSpPr txBox="1"/>
                            <wps:spPr>
                              <a:xfrm>
                                <a:off x="0" y="0"/>
                                <a:ext cx="4792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7205" cy="175260"/>
                      <wp:effectExtent l="0" t="0" r="0" b="0"/>
                      <wp:wrapNone/>
                      <wp:docPr id="7" name="Frame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7050" cy="175260"/>
                      <wp:effectExtent l="0" t="0" r="0" b="0"/>
                      <wp:wrapNone/>
                      <wp:docPr id="10" name="Frame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29,</w:t>
            </w:r>
          </w:p>
        </w:tc>
        <w:tc>
          <w:tcPr>
            <w:tcW w:w="326" w:type="dxa"/>
            <w:tcBorders/>
            <w:vAlign w:val="center"/>
          </w:tcPr>
          <w:p>
            <w:pPr>
              <w:pStyle w:val="TableContents"/>
              <w:bidi w:val="0"/>
              <w:spacing w:before="0" w:after="1"/>
              <w:ind w:left="0" w:right="0" w:hanging="0"/>
              <w:jc w:val="left"/>
              <w:rPr/>
            </w:pPr>
            <w:r>
              <w:rPr/>
              <w:t>    </w:t>
            </w:r>
          </w:p>
        </w:tc>
        <w:tc>
          <w:tcPr>
            <w:tcW w:w="10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29,</w:t>
            </w:r>
          </w:p>
        </w:tc>
      </w:tr>
      <w:tr>
        <w:trPr/>
        <w:tc>
          <w:tcPr>
            <w:tcW w:w="75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26"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2024</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4,460</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2,158</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34,036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2,383</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4,177</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4,287</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51,501</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3,642</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2,762</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24,030</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698</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100,960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108,198</w:t>
            </w:r>
          </w:p>
        </w:tc>
      </w:tr>
      <w:tr>
        <w:trPr/>
        <w:tc>
          <w:tcPr>
            <w:tcW w:w="75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10,991</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15,985</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16,530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9,765</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17,883</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Revolving line of credit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13,090</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6,611</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74,325</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19,653</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852</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96,707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94,830</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48"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10,000,000 shares authorized, and no shares issued or outstanding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48"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16"/>
              </w:rPr>
              <w:t>Common stock: $0.001</w:t>
            </w:r>
            <w:r>
              <w:rPr>
                <w:rFonts w:ascii="Times New Roman;Times;serif" w:hAnsi="Times New Roman;Times;serif"/>
                <w:sz w:val="20"/>
              </w:rPr>
              <w:t xml:space="preserve"> </w:t>
            </w:r>
            <w:r>
              <w:rPr>
                <w:rFonts w:ascii="Times New Roman;Times;serif" w:hAnsi="Times New Roman;Times;serif"/>
                <w:sz w:val="16"/>
              </w:rPr>
              <w:t>par value, 250,000,000</w:t>
            </w:r>
            <w:r>
              <w:rPr>
                <w:rFonts w:ascii="Times New Roman;Times;serif" w:hAnsi="Times New Roman;Times;serif"/>
                <w:sz w:val="20"/>
              </w:rPr>
              <w:t xml:space="preserve"> </w:t>
            </w:r>
            <w:r>
              <w:rPr>
                <w:rFonts w:ascii="Times New Roman;Times;serif" w:hAnsi="Times New Roman;Times;serif"/>
                <w:sz w:val="16"/>
              </w:rPr>
              <w:t>shares authorized; 2,878,213</w:t>
            </w:r>
            <w:r>
              <w:rPr>
                <w:rFonts w:ascii="Times New Roman;Times;serif" w:hAnsi="Times New Roman;Times;serif"/>
                <w:sz w:val="20"/>
              </w:rPr>
              <w:t xml:space="preserve"> </w:t>
            </w:r>
            <w:r>
              <w:rPr>
                <w:rFonts w:ascii="Times New Roman;Times;serif" w:hAnsi="Times New Roman;Times;serif"/>
                <w:sz w:val="16"/>
              </w:rPr>
              <w:t>and 2,804,542</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June 29, 2025 and December 29, 2024, respectively</w:t>
            </w:r>
            <w:r>
              <w:rPr>
                <w:rFonts w:ascii="Times New Roman;Times;serif" w:hAnsi="Times New Roman;Times;serif"/>
                <w:sz w:val="12"/>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r>
      <w:tr>
        <w:trPr/>
        <w:tc>
          <w:tcPr>
            <w:tcW w:w="75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262,313</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(259,484)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(248,491)</w:t>
            </w:r>
          </w:p>
        </w:tc>
      </w:tr>
      <w:tr>
        <w:trPr/>
        <w:tc>
          <w:tcPr>
            <w:tcW w:w="754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112,092 shares and 22,621 shares as of June 29, 2025 and December 29, 2024, respectively</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(496)</w:t>
            </w:r>
          </w:p>
        </w:tc>
      </w:tr>
      <w:tr>
        <w:trPr/>
        <w:tc>
          <w:tcPr>
            <w:tcW w:w="75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4,253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13,368</w:t>
            </w:r>
          </w:p>
        </w:tc>
      </w:tr>
      <w:tr>
        <w:trPr/>
        <w:tc>
          <w:tcPr>
            <w:tcW w:w="7548"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100,960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108,198</w:t>
            </w:r>
          </w:p>
        </w:tc>
      </w:tr>
    </w:tbl>
    <w:p>
      <w:pPr>
        <w:pStyle w:val="TextBody"/>
        <w:bidi w:val="0"/>
        <w:spacing w:before="0" w:after="240"/>
        <w:ind w:left="0" w:right="0" w:firstLine="360"/>
        <w:jc w:val="center"/>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Shares have been adjusted to reflect the 1-for-15 reverse stock split that became effective as of the opening of business on July 7, 2025. Refer to Note 2, </w:t>
            </w:r>
            <w:r>
              <w:rPr>
                <w:rFonts w:ascii="Times New Roman;Times;serif" w:hAnsi="Times New Roman;Times;serif"/>
                <w:b w:val="false"/>
                <w:i/>
                <w:sz w:val="16"/>
              </w:rPr>
              <w:t>Significant Accounting Policies</w:t>
            </w:r>
            <w:r>
              <w:rPr>
                <w:caps w:val="false"/>
                <w:smallCaps w:val="false"/>
              </w:rPr>
              <w:t xml:space="preserve">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240"/>
        <w:ind w:left="0" w:right="0" w:firstLine="36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 w:name="_55fe3a35_791c_42c2_84f8_b37f58dce340"/>
      <w:bookmarkEnd w:id="163"/>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164" w:name="CondensedConsolidatedStatementsofOperat"/>
      <w:bookmarkEnd w:id="164"/>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5" w:name="Tc_ATqYQgxgAk6A9ge1TpPYeg_19_0"/>
      <w:bookmarkStart w:id="166" w:name="Tc_OnAtnW3n60GIu2rIB3VkSw_18_0"/>
      <w:bookmarkStart w:id="167" w:name="Tc_7zgAqZTdQEKwa0iZcz9Yxw_17_10"/>
      <w:bookmarkStart w:id="168" w:name="Tc_zeyfl2yQCESzSxoBsBdg-Q_17_7"/>
      <w:bookmarkStart w:id="169" w:name="Tc_dQw8PFUTSkKxHYHbMxawoQ_17_5"/>
      <w:bookmarkStart w:id="170" w:name="Tc_xIeYtL5OO0COmgzlTaw2sw_17_2"/>
      <w:bookmarkStart w:id="171" w:name="Tc_YCOnv6gXZUq3xxny402D9w_17_0"/>
      <w:bookmarkStart w:id="172" w:name="Tc_jhPmQWLCwEWeQSmU6DiIaw_16_10"/>
      <w:bookmarkStart w:id="173" w:name="Tc_xjItgYwExEmiWY_cvmLWGw_16_7"/>
      <w:bookmarkStart w:id="174" w:name="Tc_0iKHCSZ32UuN-VPAj_jGrQ_16_5"/>
      <w:bookmarkStart w:id="175" w:name="Tc_z4jhdd9ac0uEYevn_E3g5g_16_2"/>
      <w:bookmarkStart w:id="176" w:name="Tc_ZtJXlZ1xF0aOqt5BpN9-_A_16_0"/>
      <w:bookmarkStart w:id="177" w:name="Tc_DyVz195bZEWKTMP8OKwvtw_14_0"/>
      <w:bookmarkStart w:id="178" w:name="Tc_QG-cepz5r0WVytrThPuZRg_13_0"/>
      <w:bookmarkStart w:id="179" w:name="Tc_qrPo-vQqz0a7B8pDZnQkFA_12_0"/>
      <w:bookmarkStart w:id="180" w:name="Tc_3hK_TwnRBEaIaL8sZlJAXA_11_0"/>
      <w:bookmarkStart w:id="181" w:name="Tc_mtJi8kunjkW-EHe8m4rqQQ_10_0"/>
      <w:bookmarkStart w:id="182" w:name="Tc_hId-8zF2uE-sLj82pTBcBA_9_0"/>
      <w:bookmarkStart w:id="183" w:name="Tc_HMsiRG7k-UK5cXMRNe2xRQ_8_0"/>
      <w:bookmarkStart w:id="184" w:name="Tc_0XzpylCkl06AmXatqtMrTw_7_0"/>
      <w:bookmarkStart w:id="185" w:name="Tc_-fz5Q1uJgkmV59n5D8uO8w_6_0"/>
      <w:bookmarkStart w:id="186" w:name="Tc_EGArR2uPpUKIAAzBnUPPJQ_5_0"/>
      <w:bookmarkStart w:id="187" w:name="Tc_lCu0knY-qUqB28WB1SJbXw_4_10"/>
      <w:bookmarkStart w:id="188" w:name="Tc_xZBRENzo0kWG46QZZMhBNA_4_7"/>
      <w:bookmarkStart w:id="189" w:name="Tc_-RbOVCHB7UmyJ3Fy2vfYwA_4_5"/>
      <w:bookmarkStart w:id="190" w:name="Tc_vN4eLByJ9UmmH7-rX1xR0g_4_2"/>
      <w:bookmarkStart w:id="191" w:name="Tc_zR5FO55_1UuQEl7zwme50Q_4_0"/>
      <w:bookmarkStart w:id="192" w:name="Tc_hAqydOgrQkOo3RVL0Gx_bw_3_11"/>
      <w:bookmarkStart w:id="193" w:name="Tc_FhsLFk4AUUGffnR4xTmGhg_3_8"/>
      <w:bookmarkStart w:id="194" w:name="Tc_saYmsi1diEWet8w_n36Ojg_3_5"/>
      <w:bookmarkStart w:id="195" w:name="Tc_IRKVKWboR0m6GHA8jWNtAw_3_2"/>
      <w:bookmarkStart w:id="196" w:name="Tc_SpeOIeAZJEq3Dg13n_1-tw_2_10"/>
      <w:bookmarkStart w:id="197" w:name="Tc_URAVoRWHjk2na-Y5L1ffoA_2_7"/>
      <w:bookmarkStart w:id="198" w:name="Tc_obaM-nOgjU2S2zAFQvCg6A_2_5"/>
      <w:bookmarkStart w:id="199" w:name="Tc_Yc3pyCzweUae1lpeuwCG-Q_2_2"/>
      <w:bookmarkStart w:id="200" w:name="Tc_UXq2CtWuykOm0p_xGmNzMw_1_7"/>
      <w:bookmarkStart w:id="201" w:name="Tc_piYFjBb98EOiSCDcR4jgLA_1_2"/>
      <w:bookmarkStart w:id="202" w:name="_e8f6d46b_2ef9_4048_b0c0_1a6772b8081e"/>
      <w:bookmarkStart w:id="203" w:name="Tc_ATqYQgxgAk6A9ge1TpPYeg_19_0"/>
      <w:bookmarkStart w:id="204" w:name="Tc_OnAtnW3n60GIu2rIB3VkSw_18_0"/>
      <w:bookmarkStart w:id="205" w:name="Tc_7zgAqZTdQEKwa0iZcz9Yxw_17_10"/>
      <w:bookmarkStart w:id="206" w:name="Tc_zeyfl2yQCESzSxoBsBdg-Q_17_7"/>
      <w:bookmarkStart w:id="207" w:name="Tc_dQw8PFUTSkKxHYHbMxawoQ_17_5"/>
      <w:bookmarkStart w:id="208" w:name="Tc_xIeYtL5OO0COmgzlTaw2sw_17_2"/>
      <w:bookmarkStart w:id="209" w:name="Tc_YCOnv6gXZUq3xxny402D9w_17_0"/>
      <w:bookmarkStart w:id="210" w:name="Tc_jhPmQWLCwEWeQSmU6DiIaw_16_10"/>
      <w:bookmarkStart w:id="211" w:name="Tc_xjItgYwExEmiWY_cvmLWGw_16_7"/>
      <w:bookmarkStart w:id="212" w:name="Tc_0iKHCSZ32UuN-VPAj_jGrQ_16_5"/>
      <w:bookmarkStart w:id="213" w:name="Tc_z4jhdd9ac0uEYevn_E3g5g_16_2"/>
      <w:bookmarkStart w:id="214" w:name="Tc_ZtJXlZ1xF0aOqt5BpN9-_A_16_0"/>
      <w:bookmarkStart w:id="215" w:name="Tc_DyVz195bZEWKTMP8OKwvtw_14_0"/>
      <w:bookmarkStart w:id="216" w:name="Tc_QG-cepz5r0WVytrThPuZRg_13_0"/>
      <w:bookmarkStart w:id="217" w:name="Tc_qrPo-vQqz0a7B8pDZnQkFA_12_0"/>
      <w:bookmarkStart w:id="218" w:name="Tc_3hK_TwnRBEaIaL8sZlJAXA_11_0"/>
      <w:bookmarkStart w:id="219" w:name="Tc_mtJi8kunjkW-EHe8m4rqQQ_10_0"/>
      <w:bookmarkStart w:id="220" w:name="Tc_hId-8zF2uE-sLj82pTBcBA_9_0"/>
      <w:bookmarkStart w:id="221" w:name="Tc_HMsiRG7k-UK5cXMRNe2xRQ_8_0"/>
      <w:bookmarkStart w:id="222" w:name="Tc_0XzpylCkl06AmXatqtMrTw_7_0"/>
      <w:bookmarkStart w:id="223" w:name="Tc_-fz5Q1uJgkmV59n5D8uO8w_6_0"/>
      <w:bookmarkStart w:id="224" w:name="Tc_EGArR2uPpUKIAAzBnUPPJQ_5_0"/>
      <w:bookmarkStart w:id="225" w:name="Tc_lCu0knY-qUqB28WB1SJbXw_4_10"/>
      <w:bookmarkStart w:id="226" w:name="Tc_xZBRENzo0kWG46QZZMhBNA_4_7"/>
      <w:bookmarkStart w:id="227" w:name="Tc_-RbOVCHB7UmyJ3Fy2vfYwA_4_5"/>
      <w:bookmarkStart w:id="228" w:name="Tc_vN4eLByJ9UmmH7-rX1xR0g_4_2"/>
      <w:bookmarkStart w:id="229" w:name="Tc_zR5FO55_1UuQEl7zwme50Q_4_0"/>
      <w:bookmarkStart w:id="230" w:name="Tc_hAqydOgrQkOo3RVL0Gx_bw_3_11"/>
      <w:bookmarkStart w:id="231" w:name="Tc_FhsLFk4AUUGffnR4xTmGhg_3_8"/>
      <w:bookmarkStart w:id="232" w:name="Tc_saYmsi1diEWet8w_n36Ojg_3_5"/>
      <w:bookmarkStart w:id="233" w:name="Tc_IRKVKWboR0m6GHA8jWNtAw_3_2"/>
      <w:bookmarkStart w:id="234" w:name="Tc_SpeOIeAZJEq3Dg13n_1-tw_2_10"/>
      <w:bookmarkStart w:id="235" w:name="Tc_URAVoRWHjk2na-Y5L1ffoA_2_7"/>
      <w:bookmarkStart w:id="236" w:name="Tc_obaM-nOgjU2S2zAFQvCg6A_2_5"/>
      <w:bookmarkStart w:id="237" w:name="Tc_Yc3pyCzweUae1lpeuwCG-Q_2_2"/>
      <w:bookmarkStart w:id="238" w:name="Tc_UXq2CtWuykOm0p_xGmNzMw_1_7"/>
      <w:bookmarkStart w:id="239" w:name="Tc_piYFjBb98EOiSCDcR4jgLA_1_2"/>
      <w:bookmarkStart w:id="240" w:name="_e8f6d46b_2ef9_4048_b0c0_1a6772b8081e"/>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9706" w:type="dxa"/>
        <w:jc w:val="left"/>
        <w:tblInd w:w="0" w:type="dxa"/>
        <w:tblLayout w:type="fixed"/>
        <w:tblCellMar>
          <w:top w:w="0" w:type="dxa"/>
          <w:left w:w="0" w:type="dxa"/>
          <w:bottom w:w="0" w:type="dxa"/>
          <w:right w:w="0" w:type="dxa"/>
        </w:tblCellMar>
      </w:tblPr>
      <w:tblGrid>
        <w:gridCol w:w="4006"/>
        <w:gridCol w:w="326"/>
        <w:gridCol w:w="211"/>
        <w:gridCol w:w="931"/>
        <w:gridCol w:w="326"/>
        <w:gridCol w:w="211"/>
        <w:gridCol w:w="931"/>
        <w:gridCol w:w="211"/>
        <w:gridCol w:w="931"/>
        <w:gridCol w:w="326"/>
        <w:gridCol w:w="211"/>
        <w:gridCol w:w="931"/>
        <w:gridCol w:w="154"/>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43810" cy="175260"/>
                      <wp:effectExtent l="0" t="0" r="0" b="0"/>
                      <wp:wrapNone/>
                      <wp:docPr id="11" name="Frame1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7"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2" name="Frame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97790" cy="175260"/>
                      <wp:effectExtent l="0" t="0" r="0" b="0"/>
                      <wp:wrapNone/>
                      <wp:docPr id="23" name="Frame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4" w:type="dxa"/>
            <w:tcBorders/>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91,966</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169,225</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50,083</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94,696</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62,773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74,529</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24,914</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37,908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42,607</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benefit (provision) for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Basic loss per share</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Diluted loss per share</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154"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Basic weighted-average shares outstanding</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2,757,119</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2,787,924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2,745,877</w:t>
            </w:r>
          </w:p>
        </w:tc>
        <w:tc>
          <w:tcPr>
            <w:tcW w:w="154" w:type="dxa"/>
            <w:tcBorders/>
            <w:shd w:fill="CCEEFF" w:val="clear"/>
            <w:vAlign w:val="center"/>
          </w:tcPr>
          <w:p>
            <w:pPr>
              <w:pStyle w:val="TableContents"/>
              <w:bidi w:val="0"/>
              <w:spacing w:before="0" w:after="0"/>
              <w:ind w:left="0" w:right="0" w:hanging="0"/>
              <w:jc w:val="right"/>
              <w:rPr/>
            </w:pPr>
            <w:r>
              <w:rPr/>
              <w:t>​</w:t>
            </w:r>
          </w:p>
        </w:tc>
      </w:tr>
      <w:tr>
        <w:trPr/>
        <w:tc>
          <w:tcPr>
            <w:tcW w:w="4006" w:type="dxa"/>
            <w:tcBorders/>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Diluted weighted-average shares outstanding</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2,782,417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2,757,119</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2,787,924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2,745,877</w:t>
            </w:r>
          </w:p>
        </w:tc>
        <w:tc>
          <w:tcPr>
            <w:tcW w:w="15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Amounts have been adjusted to reflect the 1-for-15 reverse stock split that became effective as of the opening of business on July 7, 2025. Refer to Note 2, </w:t>
            </w:r>
            <w:r>
              <w:rPr>
                <w:rFonts w:ascii="Times New Roman;Times;serif" w:hAnsi="Times New Roman;Times;serif"/>
                <w:b w:val="false"/>
                <w:i/>
                <w:sz w:val="16"/>
              </w:rPr>
              <w:t>Significant Accounting Policies</w:t>
            </w:r>
            <w:r>
              <w:rPr>
                <w:caps w:val="false"/>
                <w:smallCaps w:val="false"/>
              </w:rPr>
              <w:t xml:space="preserve">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1" w:name="_8b49768b_5154_4374_9a03_80d3f9b29273"/>
      <w:bookmarkEnd w:id="241"/>
      <w:r>
        <w:rPr>
          <w:rFonts w:ascii="Times New Roman;Times;serif" w:hAnsi="Times New Roman;Times;serif"/>
          <w:b/>
          <w:sz w:val="20"/>
        </w:rPr>
        <w:t xml:space="preserve">LULU’S FASHION LOUNGE HOLDINGS, INC. </w:t>
      </w:r>
    </w:p>
    <w:p>
      <w:pPr>
        <w:pStyle w:val="TextBody"/>
        <w:bidi w:val="0"/>
        <w:spacing w:before="0" w:after="0"/>
        <w:ind w:left="0" w:right="0" w:hanging="0"/>
        <w:jc w:val="center"/>
        <w:rPr>
          <w:rFonts w:ascii="Times New Roman;Times;serif" w:hAnsi="Times New Roman;Times;serif"/>
          <w:b/>
          <w:sz w:val="20"/>
        </w:rPr>
      </w:pPr>
      <w:bookmarkStart w:id="242" w:name="StockholdersEquity_449154"/>
      <w:bookmarkEnd w:id="242"/>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3" w:name="Tc_h9OA0zaEl0O6Oe0smiVOCQ_18_18"/>
      <w:bookmarkStart w:id="244" w:name="Tc_gDpJZ7WM_06A6cxkL1bVyw_18_15"/>
      <w:bookmarkStart w:id="245" w:name="Tc_E4412N6rE0OXluEUdCZc_g_18_10"/>
      <w:bookmarkStart w:id="246" w:name="Tc_2lgVZq4-WEiaMxSr1FlzKg_18_7"/>
      <w:bookmarkStart w:id="247" w:name="Tc_jjcTymk9ckew85nvgH3ZOQ_18_4"/>
      <w:bookmarkStart w:id="248" w:name="Tc_2A5t5Cw57UetGVQUcG6LpQ_18_0"/>
      <w:bookmarkStart w:id="249" w:name="Tc_0OzyOU8jEECO1jP4bxp28Q_17_16"/>
      <w:bookmarkStart w:id="250" w:name="Tc_iAcugDGh1UahEpdaDMMJXw_17_13"/>
      <w:bookmarkStart w:id="251" w:name="Tc_C1yzgZ-MaUeUoeJcBuw9kg_17_8"/>
      <w:bookmarkStart w:id="252" w:name="Tc_z27-LScEJkqqkRtc23isNQ_17_5"/>
      <w:bookmarkStart w:id="253" w:name="Tc_IIldBjuseUqKbZ_t2_0llw_17_2"/>
      <w:bookmarkStart w:id="254" w:name="Tc_5zv0t-uZ8ku0kAVJ7m4Ckw_17_0"/>
      <w:bookmarkStart w:id="255" w:name="Tc_0S4DoqAXA0SbK4o5W3tlyg_16_11"/>
      <w:bookmarkStart w:id="256" w:name="Tc_YEUJU9hX_Ue5jXVgTicSrA_16_8"/>
      <w:bookmarkStart w:id="257" w:name="Tc_Y0kHHsxpgkC0eoxz7PjaHQ_16_5"/>
      <w:bookmarkStart w:id="258" w:name="Tc_1JFi-P_DAEuoW0lKv2-ScA_16_2"/>
      <w:bookmarkStart w:id="259" w:name="Tc_A0hfjxnLeUGH6d61ruDaOQ_16_0"/>
      <w:bookmarkStart w:id="260" w:name="Tc_-0NRlfw1eU--1GsTlCQmjw_15_16"/>
      <w:bookmarkStart w:id="261" w:name="Tc_-fzfT-pV30ugwxPtvTUMCA_15_13"/>
      <w:bookmarkStart w:id="262" w:name="Tc_KVqui6pV2kSuBKue8mcKBQ_15_11"/>
      <w:bookmarkStart w:id="263" w:name="Tc_dkLuBXcnWk25lnhDFOnlOg_15_5"/>
      <w:bookmarkStart w:id="264" w:name="Tc_1hxaUYiN-Ueuv-9Eg-vBAA_15_2"/>
      <w:bookmarkStart w:id="265" w:name="Tc_LIxKj1yqS0a7MqXOmqP5Jg_15_0"/>
      <w:bookmarkStart w:id="266" w:name="Tc_Z-TbHxI-YU-JEXK5aWCwdQ_14_16"/>
      <w:bookmarkStart w:id="267" w:name="Tc_HPd3s41jHEaAVdD6YQPv-w_14_13"/>
      <w:bookmarkStart w:id="268" w:name="Tc__YaZEcizsUaYg0xc27PUSA_14_11"/>
      <w:bookmarkStart w:id="269" w:name="Tc_Hguedka19UK6RkfewQGsGA_14_5"/>
      <w:bookmarkStart w:id="270" w:name="Tc_Z_Q11NXm-0-HJmfMRwbMbg_14_0"/>
      <w:bookmarkStart w:id="271" w:name="Tc_SA0ujQm3e06kqUowd6ehNw_13_19"/>
      <w:bookmarkStart w:id="272" w:name="Tc_aHpNi2jeJUy4KCPAofzcYQ_13_16"/>
      <w:bookmarkStart w:id="273" w:name="Tc_ZkGHJ9rBn0qjil5aXpWpNw_13_13"/>
      <w:bookmarkStart w:id="274" w:name="Tc_OgCbgDHSakOeuR5NazGCkw_13_11"/>
      <w:bookmarkStart w:id="275" w:name="Tc_latJOlvTQkeUCPjyRg7_iA_13_8"/>
      <w:bookmarkStart w:id="276" w:name="Tc_IGRKJjVmI0yecRZqYzSLfg_13_5"/>
      <w:bookmarkStart w:id="277" w:name="Tc_PtXOKwlY60e9EBtVcUbnQQ_13_0"/>
      <w:bookmarkStart w:id="278" w:name="Tc_yBMQTqEI6k-5uIbSsVB1dA_12_18"/>
      <w:bookmarkStart w:id="279" w:name="Tc_dAH0bNFAK0KjkA7z3dVKpA_12_15"/>
      <w:bookmarkStart w:id="280" w:name="Tc_gynTFyuZg0uMWoH74EtH2A_12_10"/>
      <w:bookmarkStart w:id="281" w:name="Tc_7NnZUiBNJkuR4YSZ4st3_w_12_7"/>
      <w:bookmarkStart w:id="282" w:name="Tc_xSCS7vSFPU6oZh9VHugMEw_12_4"/>
      <w:bookmarkStart w:id="283" w:name="Tc_M1pqa41XeEW9v5u8h9Htpw_12_0"/>
      <w:bookmarkStart w:id="284" w:name="Tc_swfVVK6eDU2roLGp1C8Mpg_11_16"/>
      <w:bookmarkStart w:id="285" w:name="Tc_Tav26Foq60eJc7SsQUN9xQ_11_13"/>
      <w:bookmarkStart w:id="286" w:name="Tc_rMHGhULhmUu4ZKe9MdBllQ_11_8"/>
      <w:bookmarkStart w:id="287" w:name="Tc_M3w04hXs_EOisOlu0j4-9g_11_5"/>
      <w:bookmarkStart w:id="288" w:name="Tc_SdliWoKhb0CuIGzvAfwcdw_11_2"/>
      <w:bookmarkStart w:id="289" w:name="Tc_AGuuv871L0Gs5G7GQ-DYoA_11_0"/>
      <w:bookmarkStart w:id="290" w:name="Tc_2M41B1xIEUClnHnSp-cU7w_10_11"/>
      <w:bookmarkStart w:id="291" w:name="Tc_R0yP0QcVi0SPfrfXN9c2Yg_10_8"/>
      <w:bookmarkStart w:id="292" w:name="Tc_CTTP6vBgPUStqfpYiHm3yA_10_5"/>
      <w:bookmarkStart w:id="293" w:name="Tc_ntbVVaEJ0USODQKV2YQ1Rg_10_2"/>
      <w:bookmarkStart w:id="294" w:name="Tc_I41huW1pxEuVqiOq-dW20w_10_0"/>
      <w:bookmarkStart w:id="295" w:name="Tc_89MkfvaprkuJEkGXZAk7IA_9_16"/>
      <w:bookmarkStart w:id="296" w:name="Tc_9K2nUEl0SE-sGsTDHQVBkw_9_13"/>
      <w:bookmarkStart w:id="297" w:name="Tc_Cd1leJV7WkWTlSI3j6IDAw_9_11"/>
      <w:bookmarkStart w:id="298" w:name="Tc_a_j5-mcbFE-mZvCtoeHLzQ_9_5"/>
      <w:bookmarkStart w:id="299" w:name="Tc_miH5isViCU2UorQ5m-aCbQ_9_2"/>
      <w:bookmarkStart w:id="300" w:name="Tc_kC9bZCs-q0aOfVaZUD1fHg_9_0"/>
      <w:bookmarkStart w:id="301" w:name="Tc_xtlgTQ1mxkOENIJNXuGmIg_8_16"/>
      <w:bookmarkStart w:id="302" w:name="Tc_Y2wGWEnm4UCWcK8AmeNO_w_8_13"/>
      <w:bookmarkStart w:id="303" w:name="Tc_DfHGIO6CbE-GejmaJZhRxQ_8_11"/>
      <w:bookmarkStart w:id="304" w:name="Tc_gl357LTrbEyFjmJ-Czfw7Q_8_5"/>
      <w:bookmarkStart w:id="305" w:name="Tc_gHyRI5PVHkiBYl35IrCHmw_8_0"/>
      <w:bookmarkStart w:id="306" w:name="Tc_U5jpxzACx02Z29z32KLcfA_7_16"/>
      <w:bookmarkStart w:id="307" w:name="Tc_-OOHmZc8KUCPrFu9a-ktYQ_7_13"/>
      <w:bookmarkStart w:id="308" w:name="Tc_bq3ycxRhmE-CyiEHT_8ADQ_7_11"/>
      <w:bookmarkStart w:id="309" w:name="Tc_mIXZZwc5DkCAO4bIBIk79g_7_5"/>
      <w:bookmarkStart w:id="310" w:name="Tc_r3X4PjlSGEyvJXfwjZXFaA_7_0"/>
      <w:bookmarkStart w:id="311" w:name="Tc_Y5N9HwqjvkurelmuKYNYjQ_6_16"/>
      <w:bookmarkStart w:id="312" w:name="Tc_Tn2MY-xTI0GKDGPBn7HL8Q_6_13"/>
      <w:bookmarkStart w:id="313" w:name="Tc_DLpvY1KiXUWAmp0OIsBCsA_6_11"/>
      <w:bookmarkStart w:id="314" w:name="Tc_S-3YdxbyMkOzjj5jb45i1A_6_8"/>
      <w:bookmarkStart w:id="315" w:name="Tc_Rp5UWC2inUSZPinBiWAXsA_6_0"/>
      <w:bookmarkStart w:id="316" w:name="Tc_zOL2Fbavlka8yQIySazbzw_5_18"/>
      <w:bookmarkStart w:id="317" w:name="Tc_Uovd2DXYJka3iCY02cblGA_5_15"/>
      <w:bookmarkStart w:id="318" w:name="Tc_yFacXvlLvkC-5gyr5o4Ujg_5_10"/>
      <w:bookmarkStart w:id="319" w:name="Tc_-ub-DI1E9Uq6NN_LPd02kQ_5_7"/>
      <w:bookmarkStart w:id="320" w:name="Tc_PxN3-b2rOUuj_ATLk9xN2w_5_4"/>
      <w:bookmarkStart w:id="321" w:name="Tc_oTHph9dEh0qgn4G77QCUYw_5_0"/>
      <w:bookmarkStart w:id="322" w:name="Tc_jG_-IWyBwE-6-w-1Rla16A_4_18"/>
      <w:bookmarkStart w:id="323" w:name="Tc_Cw_Gt_-7TEWBllnNW4Tc7g_4_15"/>
      <w:bookmarkStart w:id="324" w:name="Tc_fzyyLUhzG0SmmiPtv_sufw_4_13"/>
      <w:bookmarkStart w:id="325" w:name="Tc_9Fqs3vsxXUeDqDfd0yCwAA_4_10"/>
      <w:bookmarkStart w:id="326" w:name="Tc_ckCwK4qR8EexMWMYcIr94w_4_7"/>
      <w:bookmarkStart w:id="327" w:name="Tc_uivTOQbKGEGnKQqrBXDTIg_4_4"/>
      <w:bookmarkStart w:id="328" w:name="Tc_Awy8n_mauUiHjuwUUv__ow_4_2"/>
      <w:bookmarkStart w:id="329" w:name="Tc_0y_1POL8J0Cgo9oiE1rOnQ_3_18"/>
      <w:bookmarkStart w:id="330" w:name="Tc_giRhyP0ud0-YdLkHe5TZ_g_3_13"/>
      <w:bookmarkStart w:id="331" w:name="Tc_9_kIO4dKEk-5c8gxal09aQ_3_10"/>
      <w:bookmarkStart w:id="332" w:name="Tc_SJ28WHU7dkGzWdyeqsUsMQ_3_7"/>
      <w:bookmarkStart w:id="333" w:name="Tc_jWIXU7hnvEeubsMWQIFODg_3_2"/>
      <w:bookmarkStart w:id="334" w:name="Tc_V2sJWSNRHkKnbQYNIcUhDA_2_18"/>
      <w:bookmarkStart w:id="335" w:name="Tc_g07NnycuQkKVJsMjQriL2w_2_7"/>
      <w:bookmarkStart w:id="336" w:name="Tc_wQ1-1bLz5kSym_ncB7Zotg_1_2"/>
      <w:bookmarkStart w:id="337" w:name="_0546eec8_2122_4aba_8648_dcb761a56f8f"/>
      <w:bookmarkStart w:id="338" w:name="Tc_h9OA0zaEl0O6Oe0smiVOCQ_18_18"/>
      <w:bookmarkStart w:id="339" w:name="Tc_gDpJZ7WM_06A6cxkL1bVyw_18_15"/>
      <w:bookmarkStart w:id="340" w:name="Tc_E4412N6rE0OXluEUdCZc_g_18_10"/>
      <w:bookmarkStart w:id="341" w:name="Tc_2lgVZq4-WEiaMxSr1FlzKg_18_7"/>
      <w:bookmarkStart w:id="342" w:name="Tc_jjcTymk9ckew85nvgH3ZOQ_18_4"/>
      <w:bookmarkStart w:id="343" w:name="Tc_2A5t5Cw57UetGVQUcG6LpQ_18_0"/>
      <w:bookmarkStart w:id="344" w:name="Tc_0OzyOU8jEECO1jP4bxp28Q_17_16"/>
      <w:bookmarkStart w:id="345" w:name="Tc_iAcugDGh1UahEpdaDMMJXw_17_13"/>
      <w:bookmarkStart w:id="346" w:name="Tc_C1yzgZ-MaUeUoeJcBuw9kg_17_8"/>
      <w:bookmarkStart w:id="347" w:name="Tc_z27-LScEJkqqkRtc23isNQ_17_5"/>
      <w:bookmarkStart w:id="348" w:name="Tc_IIldBjuseUqKbZ_t2_0llw_17_2"/>
      <w:bookmarkStart w:id="349" w:name="Tc_5zv0t-uZ8ku0kAVJ7m4Ckw_17_0"/>
      <w:bookmarkStart w:id="350" w:name="Tc_0S4DoqAXA0SbK4o5W3tlyg_16_11"/>
      <w:bookmarkStart w:id="351" w:name="Tc_YEUJU9hX_Ue5jXVgTicSrA_16_8"/>
      <w:bookmarkStart w:id="352" w:name="Tc_Y0kHHsxpgkC0eoxz7PjaHQ_16_5"/>
      <w:bookmarkStart w:id="353" w:name="Tc_1JFi-P_DAEuoW0lKv2-ScA_16_2"/>
      <w:bookmarkStart w:id="354" w:name="Tc_A0hfjxnLeUGH6d61ruDaOQ_16_0"/>
      <w:bookmarkStart w:id="355" w:name="Tc_-0NRlfw1eU--1GsTlCQmjw_15_16"/>
      <w:bookmarkStart w:id="356" w:name="Tc_-fzfT-pV30ugwxPtvTUMCA_15_13"/>
      <w:bookmarkStart w:id="357" w:name="Tc_KVqui6pV2kSuBKue8mcKBQ_15_11"/>
      <w:bookmarkStart w:id="358" w:name="Tc_dkLuBXcnWk25lnhDFOnlOg_15_5"/>
      <w:bookmarkStart w:id="359" w:name="Tc_1hxaUYiN-Ueuv-9Eg-vBAA_15_2"/>
      <w:bookmarkStart w:id="360" w:name="Tc_LIxKj1yqS0a7MqXOmqP5Jg_15_0"/>
      <w:bookmarkStart w:id="361" w:name="Tc_Z-TbHxI-YU-JEXK5aWCwdQ_14_16"/>
      <w:bookmarkStart w:id="362" w:name="Tc_HPd3s41jHEaAVdD6YQPv-w_14_13"/>
      <w:bookmarkStart w:id="363" w:name="Tc__YaZEcizsUaYg0xc27PUSA_14_11"/>
      <w:bookmarkStart w:id="364" w:name="Tc_Hguedka19UK6RkfewQGsGA_14_5"/>
      <w:bookmarkStart w:id="365" w:name="Tc_Z_Q11NXm-0-HJmfMRwbMbg_14_0"/>
      <w:bookmarkStart w:id="366" w:name="Tc_SA0ujQm3e06kqUowd6ehNw_13_19"/>
      <w:bookmarkStart w:id="367" w:name="Tc_aHpNi2jeJUy4KCPAofzcYQ_13_16"/>
      <w:bookmarkStart w:id="368" w:name="Tc_ZkGHJ9rBn0qjil5aXpWpNw_13_13"/>
      <w:bookmarkStart w:id="369" w:name="Tc_OgCbgDHSakOeuR5NazGCkw_13_11"/>
      <w:bookmarkStart w:id="370" w:name="Tc_latJOlvTQkeUCPjyRg7_iA_13_8"/>
      <w:bookmarkStart w:id="371" w:name="Tc_IGRKJjVmI0yecRZqYzSLfg_13_5"/>
      <w:bookmarkStart w:id="372" w:name="Tc_PtXOKwlY60e9EBtVcUbnQQ_13_0"/>
      <w:bookmarkStart w:id="373" w:name="Tc_yBMQTqEI6k-5uIbSsVB1dA_12_18"/>
      <w:bookmarkStart w:id="374" w:name="Tc_dAH0bNFAK0KjkA7z3dVKpA_12_15"/>
      <w:bookmarkStart w:id="375" w:name="Tc_gynTFyuZg0uMWoH74EtH2A_12_10"/>
      <w:bookmarkStart w:id="376" w:name="Tc_7NnZUiBNJkuR4YSZ4st3_w_12_7"/>
      <w:bookmarkStart w:id="377" w:name="Tc_xSCS7vSFPU6oZh9VHugMEw_12_4"/>
      <w:bookmarkStart w:id="378" w:name="Tc_M1pqa41XeEW9v5u8h9Htpw_12_0"/>
      <w:bookmarkStart w:id="379" w:name="Tc_swfVVK6eDU2roLGp1C8Mpg_11_16"/>
      <w:bookmarkStart w:id="380" w:name="Tc_Tav26Foq60eJc7SsQUN9xQ_11_13"/>
      <w:bookmarkStart w:id="381" w:name="Tc_rMHGhULhmUu4ZKe9MdBllQ_11_8"/>
      <w:bookmarkStart w:id="382" w:name="Tc_M3w04hXs_EOisOlu0j4-9g_11_5"/>
      <w:bookmarkStart w:id="383" w:name="Tc_SdliWoKhb0CuIGzvAfwcdw_11_2"/>
      <w:bookmarkStart w:id="384" w:name="Tc_AGuuv871L0Gs5G7GQ-DYoA_11_0"/>
      <w:bookmarkStart w:id="385" w:name="Tc_2M41B1xIEUClnHnSp-cU7w_10_11"/>
      <w:bookmarkStart w:id="386" w:name="Tc_R0yP0QcVi0SPfrfXN9c2Yg_10_8"/>
      <w:bookmarkStart w:id="387" w:name="Tc_CTTP6vBgPUStqfpYiHm3yA_10_5"/>
      <w:bookmarkStart w:id="388" w:name="Tc_ntbVVaEJ0USODQKV2YQ1Rg_10_2"/>
      <w:bookmarkStart w:id="389" w:name="Tc_I41huW1pxEuVqiOq-dW20w_10_0"/>
      <w:bookmarkStart w:id="390" w:name="Tc_89MkfvaprkuJEkGXZAk7IA_9_16"/>
      <w:bookmarkStart w:id="391" w:name="Tc_9K2nUEl0SE-sGsTDHQVBkw_9_13"/>
      <w:bookmarkStart w:id="392" w:name="Tc_Cd1leJV7WkWTlSI3j6IDAw_9_11"/>
      <w:bookmarkStart w:id="393" w:name="Tc_a_j5-mcbFE-mZvCtoeHLzQ_9_5"/>
      <w:bookmarkStart w:id="394" w:name="Tc_miH5isViCU2UorQ5m-aCbQ_9_2"/>
      <w:bookmarkStart w:id="395" w:name="Tc_kC9bZCs-q0aOfVaZUD1fHg_9_0"/>
      <w:bookmarkStart w:id="396" w:name="Tc_xtlgTQ1mxkOENIJNXuGmIg_8_16"/>
      <w:bookmarkStart w:id="397" w:name="Tc_Y2wGWEnm4UCWcK8AmeNO_w_8_13"/>
      <w:bookmarkStart w:id="398" w:name="Tc_DfHGIO6CbE-GejmaJZhRxQ_8_11"/>
      <w:bookmarkStart w:id="399" w:name="Tc_gl357LTrbEyFjmJ-Czfw7Q_8_5"/>
      <w:bookmarkStart w:id="400" w:name="Tc_gHyRI5PVHkiBYl35IrCHmw_8_0"/>
      <w:bookmarkStart w:id="401" w:name="Tc_U5jpxzACx02Z29z32KLcfA_7_16"/>
      <w:bookmarkStart w:id="402" w:name="Tc_-OOHmZc8KUCPrFu9a-ktYQ_7_13"/>
      <w:bookmarkStart w:id="403" w:name="Tc_bq3ycxRhmE-CyiEHT_8ADQ_7_11"/>
      <w:bookmarkStart w:id="404" w:name="Tc_mIXZZwc5DkCAO4bIBIk79g_7_5"/>
      <w:bookmarkStart w:id="405" w:name="Tc_r3X4PjlSGEyvJXfwjZXFaA_7_0"/>
      <w:bookmarkStart w:id="406" w:name="Tc_Y5N9HwqjvkurelmuKYNYjQ_6_16"/>
      <w:bookmarkStart w:id="407" w:name="Tc_Tn2MY-xTI0GKDGPBn7HL8Q_6_13"/>
      <w:bookmarkStart w:id="408" w:name="Tc_DLpvY1KiXUWAmp0OIsBCsA_6_11"/>
      <w:bookmarkStart w:id="409" w:name="Tc_S-3YdxbyMkOzjj5jb45i1A_6_8"/>
      <w:bookmarkStart w:id="410" w:name="Tc_Rp5UWC2inUSZPinBiWAXsA_6_0"/>
      <w:bookmarkStart w:id="411" w:name="Tc_zOL2Fbavlka8yQIySazbzw_5_18"/>
      <w:bookmarkStart w:id="412" w:name="Tc_Uovd2DXYJka3iCY02cblGA_5_15"/>
      <w:bookmarkStart w:id="413" w:name="Tc_yFacXvlLvkC-5gyr5o4Ujg_5_10"/>
      <w:bookmarkStart w:id="414" w:name="Tc_-ub-DI1E9Uq6NN_LPd02kQ_5_7"/>
      <w:bookmarkStart w:id="415" w:name="Tc_PxN3-b2rOUuj_ATLk9xN2w_5_4"/>
      <w:bookmarkStart w:id="416" w:name="Tc_oTHph9dEh0qgn4G77QCUYw_5_0"/>
      <w:bookmarkStart w:id="417" w:name="Tc_jG_-IWyBwE-6-w-1Rla16A_4_18"/>
      <w:bookmarkStart w:id="418" w:name="Tc_Cw_Gt_-7TEWBllnNW4Tc7g_4_15"/>
      <w:bookmarkStart w:id="419" w:name="Tc_fzyyLUhzG0SmmiPtv_sufw_4_13"/>
      <w:bookmarkStart w:id="420" w:name="Tc_9Fqs3vsxXUeDqDfd0yCwAA_4_10"/>
      <w:bookmarkStart w:id="421" w:name="Tc_ckCwK4qR8EexMWMYcIr94w_4_7"/>
      <w:bookmarkStart w:id="422" w:name="Tc_uivTOQbKGEGnKQqrBXDTIg_4_4"/>
      <w:bookmarkStart w:id="423" w:name="Tc_Awy8n_mauUiHjuwUUv__ow_4_2"/>
      <w:bookmarkStart w:id="424" w:name="Tc_0y_1POL8J0Cgo9oiE1rOnQ_3_18"/>
      <w:bookmarkStart w:id="425" w:name="Tc_giRhyP0ud0-YdLkHe5TZ_g_3_13"/>
      <w:bookmarkStart w:id="426" w:name="Tc_9_kIO4dKEk-5c8gxal09aQ_3_10"/>
      <w:bookmarkStart w:id="427" w:name="Tc_SJ28WHU7dkGzWdyeqsUsMQ_3_7"/>
      <w:bookmarkStart w:id="428" w:name="Tc_jWIXU7hnvEeubsMWQIFODg_3_2"/>
      <w:bookmarkStart w:id="429" w:name="Tc_V2sJWSNRHkKnbQYNIcUhDA_2_18"/>
      <w:bookmarkStart w:id="430" w:name="Tc_g07NnycuQkKVJsMjQriL2w_2_7"/>
      <w:bookmarkStart w:id="431" w:name="Tc_wQ1-1bLz5kSym_ncB7Zotg_1_2"/>
      <w:bookmarkStart w:id="432" w:name="_0546eec8_2122_4aba_8648_dcb761a56f8f"/>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tbl>
      <w:tblPr>
        <w:tblW w:w="10205" w:type="dxa"/>
        <w:jc w:val="left"/>
        <w:tblInd w:w="0" w:type="dxa"/>
        <w:tblLayout w:type="fixed"/>
        <w:tblCellMar>
          <w:top w:w="0" w:type="dxa"/>
          <w:left w:w="0" w:type="dxa"/>
          <w:bottom w:w="0" w:type="dxa"/>
          <w:right w:w="0" w:type="dxa"/>
        </w:tblCellMar>
      </w:tblPr>
      <w:tblGrid>
        <w:gridCol w:w="2826"/>
        <w:gridCol w:w="206"/>
        <w:gridCol w:w="691"/>
        <w:gridCol w:w="326"/>
        <w:gridCol w:w="196"/>
        <w:gridCol w:w="375"/>
        <w:gridCol w:w="326"/>
        <w:gridCol w:w="181"/>
        <w:gridCol w:w="586"/>
        <w:gridCol w:w="326"/>
        <w:gridCol w:w="194"/>
        <w:gridCol w:w="677"/>
        <w:gridCol w:w="326"/>
        <w:gridCol w:w="656"/>
        <w:gridCol w:w="326"/>
        <w:gridCol w:w="181"/>
        <w:gridCol w:w="506"/>
        <w:gridCol w:w="326"/>
        <w:gridCol w:w="238"/>
        <w:gridCol w:w="736"/>
      </w:tblGrid>
      <w:tr>
        <w:trPr/>
        <w:tc>
          <w:tcPr>
            <w:tcW w:w="2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94510" cy="175260"/>
                      <wp:effectExtent l="0" t="0" r="0" b="0"/>
                      <wp:wrapNone/>
                      <wp:docPr id="24" name="Frame23"/>
                      <a:graphic xmlns:a="http://schemas.openxmlformats.org/drawingml/2006/main">
                        <a:graphicData uri="http://schemas.microsoft.com/office/word/2010/wordprocessingShape">
                          <wps:wsp>
                            <wps:cNvSpPr txBox="1"/>
                            <wps:spPr>
                              <a:xfrm>
                                <a:off x="0" y="0"/>
                                <a:ext cx="179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0810" cy="175260"/>
                      <wp:effectExtent l="0" t="0" r="0" b="0"/>
                      <wp:wrapNone/>
                      <wp:docPr id="25" name="Frame2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6" name="Frame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8125" cy="175260"/>
                      <wp:effectExtent l="0" t="0" r="0" b="0"/>
                      <wp:wrapNone/>
                      <wp:docPr id="29" name="Frame2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4935" cy="175260"/>
                      <wp:effectExtent l="0" t="0" r="0" b="0"/>
                      <wp:wrapNone/>
                      <wp:docPr id="31" name="Frame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72110" cy="175260"/>
                      <wp:effectExtent l="0" t="0" r="0" b="0"/>
                      <wp:wrapNone/>
                      <wp:docPr id="32" name="Frame3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3190" cy="175260"/>
                      <wp:effectExtent l="0" t="0" r="0" b="0"/>
                      <wp:wrapNone/>
                      <wp:docPr id="34" name="Frame33"/>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895" cy="175260"/>
                      <wp:effectExtent l="0" t="0" r="0" b="0"/>
                      <wp:wrapNone/>
                      <wp:docPr id="35" name="Frame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16560" cy="175260"/>
                      <wp:effectExtent l="0" t="0" r="0" b="0"/>
                      <wp:wrapNone/>
                      <wp:docPr id="37" name="Frame36"/>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9" name="Frame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1310" cy="175260"/>
                      <wp:effectExtent l="0" t="0" r="0" b="0"/>
                      <wp:wrapNone/>
                      <wp:docPr id="40" name="Frame39"/>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1130" cy="175260"/>
                      <wp:effectExtent l="0" t="0" r="0" b="0"/>
                      <wp:wrapNone/>
                      <wp:docPr id="42" name="Frame4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7360" cy="175260"/>
                      <wp:effectExtent l="0" t="0" r="0" b="0"/>
                      <wp:wrapNone/>
                      <wp:docPr id="43" name="Frame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173"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June 29, 2025</w:t>
            </w:r>
          </w:p>
        </w:tc>
      </w:tr>
      <w:tr>
        <w:trPr/>
        <w:tc>
          <w:tcPr>
            <w:tcW w:w="2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5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6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7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8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6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826"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29, 2024</w:t>
            </w:r>
          </w:p>
        </w:tc>
        <w:tc>
          <w:tcPr>
            <w:tcW w:w="20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2,804,542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262,313</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(248,491)</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(22,621)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13,368</w:t>
            </w:r>
          </w:p>
        </w:tc>
      </w:tr>
      <w:tr>
        <w:trPr/>
        <w:tc>
          <w:tcPr>
            <w:tcW w:w="28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59,730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8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r>
      <w:tr>
        <w:trPr/>
        <w:tc>
          <w:tcPr>
            <w:tcW w:w="28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8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r>
      <w:tr>
        <w:trPr/>
        <w:tc>
          <w:tcPr>
            <w:tcW w:w="28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(16,138)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8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r>
      <w:tr>
        <w:trPr/>
        <w:tc>
          <w:tcPr>
            <w:tcW w:w="28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30, 2025</w:t>
            </w:r>
          </w:p>
        </w:tc>
        <w:tc>
          <w:tcPr>
            <w:tcW w:w="20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2,852,047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263,733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(256,489)</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(38,759)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6,552</w:t>
            </w:r>
          </w:p>
        </w:tc>
      </w:tr>
      <w:tr>
        <w:trPr/>
        <w:tc>
          <w:tcPr>
            <w:tcW w:w="28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38,859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8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(12,693)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8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1,278</w:t>
            </w:r>
          </w:p>
        </w:tc>
      </w:tr>
      <w:tr>
        <w:trPr/>
        <w:tc>
          <w:tcPr>
            <w:tcW w:w="28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(73,333)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r>
      <w:tr>
        <w:trPr/>
        <w:tc>
          <w:tcPr>
            <w:tcW w:w="28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(2,995)</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(2,995)</w:t>
            </w:r>
          </w:p>
        </w:tc>
      </w:tr>
      <w:tr>
        <w:trPr/>
        <w:tc>
          <w:tcPr>
            <w:tcW w:w="2826"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June 29, 2025</w:t>
            </w:r>
          </w:p>
        </w:tc>
        <w:tc>
          <w:tcPr>
            <w:tcW w:w="20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2,878,213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264,932</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(259,484)</w:t>
            </w:r>
          </w:p>
        </w:tc>
        <w:tc>
          <w:tcPr>
            <w:tcW w:w="32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(112,092)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(1,238)</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4,253</w:t>
            </w:r>
          </w:p>
        </w:tc>
      </w:tr>
      <w:tr>
        <w:trPr/>
        <w:tc>
          <w:tcPr>
            <w:tcW w:w="28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33" w:name="Tc_F3ybKk11hkSIJJ5gADUj7A_20_18"/>
      <w:bookmarkStart w:id="434" w:name="Tc_5bnw547A5UGgwGVQCGvWiQ_20_15"/>
      <w:bookmarkStart w:id="435" w:name="Tc_W_3YUzWPkkCzadc1KkYxsA_20_10"/>
      <w:bookmarkStart w:id="436" w:name="Tc_GG2MTSZHi0Ok30P1zsE0Fg_20_7"/>
      <w:bookmarkStart w:id="437" w:name="Tc_G9Die2PuPUaUbday3DTfcw_20_4"/>
      <w:bookmarkStart w:id="438" w:name="Tc_fRBCTQR1UEK9tuy7rIwyPw_20_0"/>
      <w:bookmarkStart w:id="439" w:name="Tc_TsYEU9GUGEOlvqCoGVG6CA_19_16"/>
      <w:bookmarkStart w:id="440" w:name="Tc_jVKnQMUM2UKtcGyRPj2JcA_19_13"/>
      <w:bookmarkStart w:id="441" w:name="Tc_bkxfjkuQgEmQAKtogc_U1g_19_8"/>
      <w:bookmarkStart w:id="442" w:name="Tc_JJBXRZs09U2yMSFCsOSRiA_19_5"/>
      <w:bookmarkStart w:id="443" w:name="Tc_KbIBvrnLk02ZnIoW5lFpsw_19_2"/>
      <w:bookmarkStart w:id="444" w:name="Tc_YS3gtSBHW0ufkk2PgVmlbA_19_0"/>
      <w:bookmarkStart w:id="445" w:name="Tc_7EvlghHXV0iRqHb5A3xa0g_18_11"/>
      <w:bookmarkStart w:id="446" w:name="Tc_Qojkf6Mh2kqLEnw7nMSUpg_18_8"/>
      <w:bookmarkStart w:id="447" w:name="Tc_xhZijSZF-kKoxVyXz0swRQ_18_5"/>
      <w:bookmarkStart w:id="448" w:name="Tc_Y2NrTbrihUiDp84b3FcFGg_18_2"/>
      <w:bookmarkStart w:id="449" w:name="Tc_ndfBHOk9VUGPnvmFu3OSHg_18_0"/>
      <w:bookmarkStart w:id="450" w:name="Tc_UaDuUcs4K0a5Sf1k-draHQ_17_16"/>
      <w:bookmarkStart w:id="451" w:name="Tc_26z-Lzc9wU2idO7vkSLjHg_17_13"/>
      <w:bookmarkStart w:id="452" w:name="Tc_S_UqkHZdh02Du9AWreouwg_17_11"/>
      <w:bookmarkStart w:id="453" w:name="Tc_BOpkGp6DwEOhSCrxdtjX_w_17_5"/>
      <w:bookmarkStart w:id="454" w:name="Tc_uDF9yz3wGUC-OQ2_M1a8MA_17_2"/>
      <w:bookmarkStart w:id="455" w:name="Tc_du467AQM1UStBry2MswVSQ_17_0"/>
      <w:bookmarkStart w:id="456" w:name="Tc_p8rL0wtVskyaGDUowIjqpA_16_16"/>
      <w:bookmarkStart w:id="457" w:name="Tc_ZwPQxOjr-EuiQ-AI_VOWcA_16_13"/>
      <w:bookmarkStart w:id="458" w:name="Tc_RNtdn5kbA02tu6cRjB7pPw_16_11"/>
      <w:bookmarkStart w:id="459" w:name="Tc_nFmnYcRsaUar8F6u-WkcPA_16_5"/>
      <w:bookmarkStart w:id="460" w:name="Tc_qnQnWRRtgkCSrxsfbFuWNA_16_0"/>
      <w:bookmarkStart w:id="461" w:name="Tc_3oIO4LATCUGvsBVqEWfIHw_15_16"/>
      <w:bookmarkStart w:id="462" w:name="Tc_lN9FNYDq3EWwaciWpooQsw_15_13"/>
      <w:bookmarkStart w:id="463" w:name="Tc_MM8EYC1S-U-Ja7bT4aOa8w_15_11"/>
      <w:bookmarkStart w:id="464" w:name="Tc_KB-ChMAHEkCXhE82LpkO6w_15_5"/>
      <w:bookmarkStart w:id="465" w:name="Tc_GWwb3Uf--k-2VA-TczSvAg_15_0"/>
      <w:bookmarkStart w:id="466" w:name="Tc_74N6xRTx80i8-dJixDWgNA_14_16"/>
      <w:bookmarkStart w:id="467" w:name="Tc_IY4PFTocjEC2ChzC4--3Xg_14_13"/>
      <w:bookmarkStart w:id="468" w:name="Tc_z4Iu02dV4UGg2hLzR-9oiw_14_11"/>
      <w:bookmarkStart w:id="469" w:name="Tc_kYayrdVsNE2yk8Y2MUksCQ_14_5"/>
      <w:bookmarkStart w:id="470" w:name="Tc_fBg35xGgw0-7W2a8Poqf9A_14_0"/>
      <w:bookmarkStart w:id="471" w:name="Tc_9nsfBUhwW0-crtoWIApDKw_13_16"/>
      <w:bookmarkStart w:id="472" w:name="Tc_8iTSQrAf7k62f-gS2Q4fxw_13_13"/>
      <w:bookmarkStart w:id="473" w:name="Tc_0OrTt7LdDkSjCqWsYftP7w_13_11"/>
      <w:bookmarkStart w:id="474" w:name="Tc_ev5qwSQsaUS0ZzmpupfLPw_13_8"/>
      <w:bookmarkStart w:id="475" w:name="Tc_6n-GU4uMHE-x6Q61whV20g_13_0"/>
      <w:bookmarkStart w:id="476" w:name="Tc_xplrbVOWok2hHZSoZIr3CQ_12_18"/>
      <w:bookmarkStart w:id="477" w:name="Tc_7MFeT7cLc0CuxFvmjXCJAA_12_16"/>
      <w:bookmarkStart w:id="478" w:name="Tc_Pueh1cIjokqtE4r-w6WG_A_12_15"/>
      <w:bookmarkStart w:id="479" w:name="Tc_1L7bC4uD50ei8UANx0Og6Q_12_13"/>
      <w:bookmarkStart w:id="480" w:name="Tc_Wk0gQOQhOUyGasJ_8u6E-Q_12_10"/>
      <w:bookmarkStart w:id="481" w:name="Tc_5QDOuWSUYUWpdRoim3fTXg_12_7"/>
      <w:bookmarkStart w:id="482" w:name="Tc_6nYltPDG5EO4eVQjBcWSHw_12_4"/>
      <w:bookmarkStart w:id="483" w:name="Tc_gejiKzXP8UWGfnzJuNLnrw_12_0"/>
      <w:bookmarkStart w:id="484" w:name="Tc_29bV-n0x9kKQLiYfLdOxVw_11_16"/>
      <w:bookmarkStart w:id="485" w:name="Tc_hYGM-M8YIUWtoJiBhM8BeA_11_13"/>
      <w:bookmarkStart w:id="486" w:name="Tc_Ob3ojxzJS0OhQ07Y_hRWbg_11_8"/>
      <w:bookmarkStart w:id="487" w:name="Tc_CAX6WUAYIE2YnG-5ba7FpQ_11_5"/>
      <w:bookmarkStart w:id="488" w:name="Tc_p6aduUwN_kGQRc2ulsimvw_11_2"/>
      <w:bookmarkStart w:id="489" w:name="Tc_xMg4n-jeLEi1GNtOCXaM4Q_11_0"/>
      <w:bookmarkStart w:id="490" w:name="Tc_Oct_tkXTikCit3UU42_76Q_10_16"/>
      <w:bookmarkStart w:id="491" w:name="Tc_3DaGZ5hEhE205qjw4RrZgQ_10_13"/>
      <w:bookmarkStart w:id="492" w:name="Tc_5qIeiiaA6kCNF48ksNNgYQ_10_11"/>
      <w:bookmarkStart w:id="493" w:name="Tc_5E6mgSuhBUyQl_ZHxHUUGQ_10_5"/>
      <w:bookmarkStart w:id="494" w:name="Tc_JyC-Hz47skW1ehuEc5W-6Q_10_2"/>
      <w:bookmarkStart w:id="495" w:name="Tc_EE6z_L-k30STX-kiQnFF_g_10_0"/>
      <w:bookmarkStart w:id="496" w:name="Tc_CoR90_5FmE66U_HJlGHS0Q_9_19"/>
      <w:bookmarkStart w:id="497" w:name="Tc_SYfVsEqjXkip_yXrQj4GkQ_9_16"/>
      <w:bookmarkStart w:id="498" w:name="Tc_h1cK5rL9B0-uWm2nJAiGIA_9_13"/>
      <w:bookmarkStart w:id="499" w:name="Tc_Ybz6JKPjD0GZsUmVydm9XQ_9_11"/>
      <w:bookmarkStart w:id="500" w:name="Tc_5wHcQWAz5Ua0_V4W_qeDEA_9_8"/>
      <w:bookmarkStart w:id="501" w:name="Tc_ZAsJ5HxrH0GbyZJ30Vz8JQ_9_5"/>
      <w:bookmarkStart w:id="502" w:name="Tc_hi6kvZK_p0aoXn2IQjaiyQ_9_0"/>
      <w:bookmarkStart w:id="503" w:name="Tc_20OZAfjWQEaNnonpS0oXOA_8_16"/>
      <w:bookmarkStart w:id="504" w:name="Tc_fkoChqEtGU64rRucSAS5bg_8_13"/>
      <w:bookmarkStart w:id="505" w:name="Tc__ocEkL-tEUeY_EPS3977Bg_8_11"/>
      <w:bookmarkStart w:id="506" w:name="Tc_QCmg_2Yiy0W3nDGw1qm2BQ_8_5"/>
      <w:bookmarkStart w:id="507" w:name="Tc_K6-KbNON_UusULaNSd_AOg_8_0"/>
      <w:bookmarkStart w:id="508" w:name="Tc_yG9723c9ykyyxEMKgqSRIg_7_16"/>
      <w:bookmarkStart w:id="509" w:name="Tc_8ZaZwyxKMUyorPez4DWEhw_7_13"/>
      <w:bookmarkStart w:id="510" w:name="Tc_WhX57mIJ9kC3_wMI-oXzaw_7_11"/>
      <w:bookmarkStart w:id="511" w:name="Tc_iIhrUw-lTECCA5ZNsdLS_A_7_5"/>
      <w:bookmarkStart w:id="512" w:name="Tc_zW8ph_h9sEiW8FPDbdOV8g_7_0"/>
      <w:bookmarkStart w:id="513" w:name="Tc_r02rUfQ3AE-E8vKGgOJuNQ_6_19"/>
      <w:bookmarkStart w:id="514" w:name="Tc_hqgUxndETEGa1A-xy5KpsQ_6_16"/>
      <w:bookmarkStart w:id="515" w:name="Tc_81Fci0R7pkCWpb2UOiQbjA_6_13"/>
      <w:bookmarkStart w:id="516" w:name="Tc_cvF3qfuAI0eWs6PtmXa-ZQ_6_11"/>
      <w:bookmarkStart w:id="517" w:name="Tc_UIRXR4LqBkKFGqI_SdC65w_6_8"/>
      <w:bookmarkStart w:id="518" w:name="Tc_NMFqA4pxs0iW1DNrHuD_Hw_6_5"/>
      <w:bookmarkStart w:id="519" w:name="Tc_6pfr77_GNEGSbr0b4rBWKw_6_0"/>
      <w:bookmarkStart w:id="520" w:name="Tc_wjKGeODocUarAm87SC02JA_5_18"/>
      <w:bookmarkStart w:id="521" w:name="Tc_KRbUOOKW2kq4RFhOc3dC2A_5_16"/>
      <w:bookmarkStart w:id="522" w:name="Tc_qLrP2MkprkalOU0Jy0y36Q_5_15"/>
      <w:bookmarkStart w:id="523" w:name="Tc_BzA1DiZqJ0m1fibqWNp3kw_5_13"/>
      <w:bookmarkStart w:id="524" w:name="Tc_uB4rvyDW30iFalsgAFbEbQ_5_10"/>
      <w:bookmarkStart w:id="525" w:name="Tc_Nv0SjJAz006siwBWpyCUlg_5_7"/>
      <w:bookmarkStart w:id="526" w:name="Tc_lzNlGJjRkkuHhZETk81VlQ_5_4"/>
      <w:bookmarkStart w:id="527" w:name="Tc_d_cS4lT1BUC_5njRPqeCXQ_5_0"/>
      <w:bookmarkStart w:id="528" w:name="Tc_ZU996NfkJk2UGd5ITZOzhw_4_18"/>
      <w:bookmarkStart w:id="529" w:name="Tc_FubAb6Mttk6fxNZCCZw_7A_4_15"/>
      <w:bookmarkStart w:id="530" w:name="Tc_4TpQl3OSS0CywG7KK9yawg_4_13"/>
      <w:bookmarkStart w:id="531" w:name="Tc_3yoZ_zxdpU-qJtlF4Slsbw_4_10"/>
      <w:bookmarkStart w:id="532" w:name="Tc_rkpyHoYqNUWGq3_qs3UOVw_4_7"/>
      <w:bookmarkStart w:id="533" w:name="Tc_5N9ivinhn0qhbI-CZnQ5dQ_4_4"/>
      <w:bookmarkStart w:id="534" w:name="Tc_WjsyrjeGlkm4gj3R6W6GMA_4_2"/>
      <w:bookmarkStart w:id="535" w:name="Tc_LIVTYFjWRkidt2Hd2efkYQ_3_18"/>
      <w:bookmarkStart w:id="536" w:name="Tc_6X_uAcYvPUStaXodZUwmdw_3_13"/>
      <w:bookmarkStart w:id="537" w:name="Tc_aXQRgEe5QUuBafQ2RUSN1g_3_10"/>
      <w:bookmarkStart w:id="538" w:name="Tc_OXNGNEfwhkuGvw4zY2_PbQ_3_7"/>
      <w:bookmarkStart w:id="539" w:name="Tc_Qm17cc5KmkOlzCnmfWPgWg_3_2"/>
      <w:bookmarkStart w:id="540" w:name="Tc_TcegrKo_JkKiDuYRddqxEw_2_18"/>
      <w:bookmarkStart w:id="541" w:name="Tc__TRCoUPpoke4uFjNRZ2JKw_2_7"/>
      <w:bookmarkStart w:id="542" w:name="Tc_jO9fbX-GB0Kv-21Y6D5Qmw_1_2"/>
      <w:bookmarkStart w:id="543" w:name="_dbb584a0_7a49_4b5e_8380_df3b50f1be8a"/>
      <w:bookmarkStart w:id="544" w:name="Tc_F3ybKk11hkSIJJ5gADUj7A_20_18"/>
      <w:bookmarkStart w:id="545" w:name="Tc_5bnw547A5UGgwGVQCGvWiQ_20_15"/>
      <w:bookmarkStart w:id="546" w:name="Tc_W_3YUzWPkkCzadc1KkYxsA_20_10"/>
      <w:bookmarkStart w:id="547" w:name="Tc_GG2MTSZHi0Ok30P1zsE0Fg_20_7"/>
      <w:bookmarkStart w:id="548" w:name="Tc_G9Die2PuPUaUbday3DTfcw_20_4"/>
      <w:bookmarkStart w:id="549" w:name="Tc_fRBCTQR1UEK9tuy7rIwyPw_20_0"/>
      <w:bookmarkStart w:id="550" w:name="Tc_TsYEU9GUGEOlvqCoGVG6CA_19_16"/>
      <w:bookmarkStart w:id="551" w:name="Tc_jVKnQMUM2UKtcGyRPj2JcA_19_13"/>
      <w:bookmarkStart w:id="552" w:name="Tc_bkxfjkuQgEmQAKtogc_U1g_19_8"/>
      <w:bookmarkStart w:id="553" w:name="Tc_JJBXRZs09U2yMSFCsOSRiA_19_5"/>
      <w:bookmarkStart w:id="554" w:name="Tc_KbIBvrnLk02ZnIoW5lFpsw_19_2"/>
      <w:bookmarkStart w:id="555" w:name="Tc_YS3gtSBHW0ufkk2PgVmlbA_19_0"/>
      <w:bookmarkStart w:id="556" w:name="Tc_7EvlghHXV0iRqHb5A3xa0g_18_11"/>
      <w:bookmarkStart w:id="557" w:name="Tc_Qojkf6Mh2kqLEnw7nMSUpg_18_8"/>
      <w:bookmarkStart w:id="558" w:name="Tc_xhZijSZF-kKoxVyXz0swRQ_18_5"/>
      <w:bookmarkStart w:id="559" w:name="Tc_Y2NrTbrihUiDp84b3FcFGg_18_2"/>
      <w:bookmarkStart w:id="560" w:name="Tc_ndfBHOk9VUGPnvmFu3OSHg_18_0"/>
      <w:bookmarkStart w:id="561" w:name="Tc_UaDuUcs4K0a5Sf1k-draHQ_17_16"/>
      <w:bookmarkStart w:id="562" w:name="Tc_26z-Lzc9wU2idO7vkSLjHg_17_13"/>
      <w:bookmarkStart w:id="563" w:name="Tc_S_UqkHZdh02Du9AWreouwg_17_11"/>
      <w:bookmarkStart w:id="564" w:name="Tc_BOpkGp6DwEOhSCrxdtjX_w_17_5"/>
      <w:bookmarkStart w:id="565" w:name="Tc_uDF9yz3wGUC-OQ2_M1a8MA_17_2"/>
      <w:bookmarkStart w:id="566" w:name="Tc_du467AQM1UStBry2MswVSQ_17_0"/>
      <w:bookmarkStart w:id="567" w:name="Tc_p8rL0wtVskyaGDUowIjqpA_16_16"/>
      <w:bookmarkStart w:id="568" w:name="Tc_ZwPQxOjr-EuiQ-AI_VOWcA_16_13"/>
      <w:bookmarkStart w:id="569" w:name="Tc_RNtdn5kbA02tu6cRjB7pPw_16_11"/>
      <w:bookmarkStart w:id="570" w:name="Tc_nFmnYcRsaUar8F6u-WkcPA_16_5"/>
      <w:bookmarkStart w:id="571" w:name="Tc_qnQnWRRtgkCSrxsfbFuWNA_16_0"/>
      <w:bookmarkStart w:id="572" w:name="Tc_3oIO4LATCUGvsBVqEWfIHw_15_16"/>
      <w:bookmarkStart w:id="573" w:name="Tc_lN9FNYDq3EWwaciWpooQsw_15_13"/>
      <w:bookmarkStart w:id="574" w:name="Tc_MM8EYC1S-U-Ja7bT4aOa8w_15_11"/>
      <w:bookmarkStart w:id="575" w:name="Tc_KB-ChMAHEkCXhE82LpkO6w_15_5"/>
      <w:bookmarkStart w:id="576" w:name="Tc_GWwb3Uf--k-2VA-TczSvAg_15_0"/>
      <w:bookmarkStart w:id="577" w:name="Tc_74N6xRTx80i8-dJixDWgNA_14_16"/>
      <w:bookmarkStart w:id="578" w:name="Tc_IY4PFTocjEC2ChzC4--3Xg_14_13"/>
      <w:bookmarkStart w:id="579" w:name="Tc_z4Iu02dV4UGg2hLzR-9oiw_14_11"/>
      <w:bookmarkStart w:id="580" w:name="Tc_kYayrdVsNE2yk8Y2MUksCQ_14_5"/>
      <w:bookmarkStart w:id="581" w:name="Tc_fBg35xGgw0-7W2a8Poqf9A_14_0"/>
      <w:bookmarkStart w:id="582" w:name="Tc_9nsfBUhwW0-crtoWIApDKw_13_16"/>
      <w:bookmarkStart w:id="583" w:name="Tc_8iTSQrAf7k62f-gS2Q4fxw_13_13"/>
      <w:bookmarkStart w:id="584" w:name="Tc_0OrTt7LdDkSjCqWsYftP7w_13_11"/>
      <w:bookmarkStart w:id="585" w:name="Tc_ev5qwSQsaUS0ZzmpupfLPw_13_8"/>
      <w:bookmarkStart w:id="586" w:name="Tc_6n-GU4uMHE-x6Q61whV20g_13_0"/>
      <w:bookmarkStart w:id="587" w:name="Tc_xplrbVOWok2hHZSoZIr3CQ_12_18"/>
      <w:bookmarkStart w:id="588" w:name="Tc_7MFeT7cLc0CuxFvmjXCJAA_12_16"/>
      <w:bookmarkStart w:id="589" w:name="Tc_Pueh1cIjokqtE4r-w6WG_A_12_15"/>
      <w:bookmarkStart w:id="590" w:name="Tc_1L7bC4uD50ei8UANx0Og6Q_12_13"/>
      <w:bookmarkStart w:id="591" w:name="Tc_Wk0gQOQhOUyGasJ_8u6E-Q_12_10"/>
      <w:bookmarkStart w:id="592" w:name="Tc_5QDOuWSUYUWpdRoim3fTXg_12_7"/>
      <w:bookmarkStart w:id="593" w:name="Tc_6nYltPDG5EO4eVQjBcWSHw_12_4"/>
      <w:bookmarkStart w:id="594" w:name="Tc_gejiKzXP8UWGfnzJuNLnrw_12_0"/>
      <w:bookmarkStart w:id="595" w:name="Tc_29bV-n0x9kKQLiYfLdOxVw_11_16"/>
      <w:bookmarkStart w:id="596" w:name="Tc_hYGM-M8YIUWtoJiBhM8BeA_11_13"/>
      <w:bookmarkStart w:id="597" w:name="Tc_Ob3ojxzJS0OhQ07Y_hRWbg_11_8"/>
      <w:bookmarkStart w:id="598" w:name="Tc_CAX6WUAYIE2YnG-5ba7FpQ_11_5"/>
      <w:bookmarkStart w:id="599" w:name="Tc_p6aduUwN_kGQRc2ulsimvw_11_2"/>
      <w:bookmarkStart w:id="600" w:name="Tc_xMg4n-jeLEi1GNtOCXaM4Q_11_0"/>
      <w:bookmarkStart w:id="601" w:name="Tc_Oct_tkXTikCit3UU42_76Q_10_16"/>
      <w:bookmarkStart w:id="602" w:name="Tc_3DaGZ5hEhE205qjw4RrZgQ_10_13"/>
      <w:bookmarkStart w:id="603" w:name="Tc_5qIeiiaA6kCNF48ksNNgYQ_10_11"/>
      <w:bookmarkStart w:id="604" w:name="Tc_5E6mgSuhBUyQl_ZHxHUUGQ_10_5"/>
      <w:bookmarkStart w:id="605" w:name="Tc_JyC-Hz47skW1ehuEc5W-6Q_10_2"/>
      <w:bookmarkStart w:id="606" w:name="Tc_EE6z_L-k30STX-kiQnFF_g_10_0"/>
      <w:bookmarkStart w:id="607" w:name="Tc_CoR90_5FmE66U_HJlGHS0Q_9_19"/>
      <w:bookmarkStart w:id="608" w:name="Tc_SYfVsEqjXkip_yXrQj4GkQ_9_16"/>
      <w:bookmarkStart w:id="609" w:name="Tc_h1cK5rL9B0-uWm2nJAiGIA_9_13"/>
      <w:bookmarkStart w:id="610" w:name="Tc_Ybz6JKPjD0GZsUmVydm9XQ_9_11"/>
      <w:bookmarkStart w:id="611" w:name="Tc_5wHcQWAz5Ua0_V4W_qeDEA_9_8"/>
      <w:bookmarkStart w:id="612" w:name="Tc_ZAsJ5HxrH0GbyZJ30Vz8JQ_9_5"/>
      <w:bookmarkStart w:id="613" w:name="Tc_hi6kvZK_p0aoXn2IQjaiyQ_9_0"/>
      <w:bookmarkStart w:id="614" w:name="Tc_20OZAfjWQEaNnonpS0oXOA_8_16"/>
      <w:bookmarkStart w:id="615" w:name="Tc_fkoChqEtGU64rRucSAS5bg_8_13"/>
      <w:bookmarkStart w:id="616" w:name="Tc__ocEkL-tEUeY_EPS3977Bg_8_11"/>
      <w:bookmarkStart w:id="617" w:name="Tc_QCmg_2Yiy0W3nDGw1qm2BQ_8_5"/>
      <w:bookmarkStart w:id="618" w:name="Tc_K6-KbNON_UusULaNSd_AOg_8_0"/>
      <w:bookmarkStart w:id="619" w:name="Tc_yG9723c9ykyyxEMKgqSRIg_7_16"/>
      <w:bookmarkStart w:id="620" w:name="Tc_8ZaZwyxKMUyorPez4DWEhw_7_13"/>
      <w:bookmarkStart w:id="621" w:name="Tc_WhX57mIJ9kC3_wMI-oXzaw_7_11"/>
      <w:bookmarkStart w:id="622" w:name="Tc_iIhrUw-lTECCA5ZNsdLS_A_7_5"/>
      <w:bookmarkStart w:id="623" w:name="Tc_zW8ph_h9sEiW8FPDbdOV8g_7_0"/>
      <w:bookmarkStart w:id="624" w:name="Tc_r02rUfQ3AE-E8vKGgOJuNQ_6_19"/>
      <w:bookmarkStart w:id="625" w:name="Tc_hqgUxndETEGa1A-xy5KpsQ_6_16"/>
      <w:bookmarkStart w:id="626" w:name="Tc_81Fci0R7pkCWpb2UOiQbjA_6_13"/>
      <w:bookmarkStart w:id="627" w:name="Tc_cvF3qfuAI0eWs6PtmXa-ZQ_6_11"/>
      <w:bookmarkStart w:id="628" w:name="Tc_UIRXR4LqBkKFGqI_SdC65w_6_8"/>
      <w:bookmarkStart w:id="629" w:name="Tc_NMFqA4pxs0iW1DNrHuD_Hw_6_5"/>
      <w:bookmarkStart w:id="630" w:name="Tc_6pfr77_GNEGSbr0b4rBWKw_6_0"/>
      <w:bookmarkStart w:id="631" w:name="Tc_wjKGeODocUarAm87SC02JA_5_18"/>
      <w:bookmarkStart w:id="632" w:name="Tc_KRbUOOKW2kq4RFhOc3dC2A_5_16"/>
      <w:bookmarkStart w:id="633" w:name="Tc_qLrP2MkprkalOU0Jy0y36Q_5_15"/>
      <w:bookmarkStart w:id="634" w:name="Tc_BzA1DiZqJ0m1fibqWNp3kw_5_13"/>
      <w:bookmarkStart w:id="635" w:name="Tc_uB4rvyDW30iFalsgAFbEbQ_5_10"/>
      <w:bookmarkStart w:id="636" w:name="Tc_Nv0SjJAz006siwBWpyCUlg_5_7"/>
      <w:bookmarkStart w:id="637" w:name="Tc_lzNlGJjRkkuHhZETk81VlQ_5_4"/>
      <w:bookmarkStart w:id="638" w:name="Tc_d_cS4lT1BUC_5njRPqeCXQ_5_0"/>
      <w:bookmarkStart w:id="639" w:name="Tc_ZU996NfkJk2UGd5ITZOzhw_4_18"/>
      <w:bookmarkStart w:id="640" w:name="Tc_FubAb6Mttk6fxNZCCZw_7A_4_15"/>
      <w:bookmarkStart w:id="641" w:name="Tc_4TpQl3OSS0CywG7KK9yawg_4_13"/>
      <w:bookmarkStart w:id="642" w:name="Tc_3yoZ_zxdpU-qJtlF4Slsbw_4_10"/>
      <w:bookmarkStart w:id="643" w:name="Tc_rkpyHoYqNUWGq3_qs3UOVw_4_7"/>
      <w:bookmarkStart w:id="644" w:name="Tc_5N9ivinhn0qhbI-CZnQ5dQ_4_4"/>
      <w:bookmarkStart w:id="645" w:name="Tc_WjsyrjeGlkm4gj3R6W6GMA_4_2"/>
      <w:bookmarkStart w:id="646" w:name="Tc_LIVTYFjWRkidt2Hd2efkYQ_3_18"/>
      <w:bookmarkStart w:id="647" w:name="Tc_6X_uAcYvPUStaXodZUwmdw_3_13"/>
      <w:bookmarkStart w:id="648" w:name="Tc_aXQRgEe5QUuBafQ2RUSN1g_3_10"/>
      <w:bookmarkStart w:id="649" w:name="Tc_OXNGNEfwhkuGvw4zY2_PbQ_3_7"/>
      <w:bookmarkStart w:id="650" w:name="Tc_Qm17cc5KmkOlzCnmfWPgWg_3_2"/>
      <w:bookmarkStart w:id="651" w:name="Tc_TcegrKo_JkKiDuYRddqxEw_2_18"/>
      <w:bookmarkStart w:id="652" w:name="Tc__TRCoUPpoke4uFjNRZ2JKw_2_7"/>
      <w:bookmarkStart w:id="653" w:name="Tc_jO9fbX-GB0Kv-21Y6D5Qmw_1_2"/>
      <w:bookmarkStart w:id="654" w:name="_dbb584a0_7a49_4b5e_8380_df3b50f1be8a"/>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tbl>
      <w:tblPr>
        <w:tblW w:w="10205" w:type="dxa"/>
        <w:jc w:val="left"/>
        <w:tblInd w:w="0" w:type="dxa"/>
        <w:tblLayout w:type="fixed"/>
        <w:tblCellMar>
          <w:top w:w="0" w:type="dxa"/>
          <w:left w:w="0" w:type="dxa"/>
          <w:bottom w:w="0" w:type="dxa"/>
          <w:right w:w="0" w:type="dxa"/>
        </w:tblCellMar>
      </w:tblPr>
      <w:tblGrid>
        <w:gridCol w:w="2965"/>
        <w:gridCol w:w="206"/>
        <w:gridCol w:w="691"/>
        <w:gridCol w:w="326"/>
        <w:gridCol w:w="196"/>
        <w:gridCol w:w="375"/>
        <w:gridCol w:w="326"/>
        <w:gridCol w:w="181"/>
        <w:gridCol w:w="586"/>
        <w:gridCol w:w="326"/>
        <w:gridCol w:w="194"/>
        <w:gridCol w:w="677"/>
        <w:gridCol w:w="326"/>
        <w:gridCol w:w="615"/>
        <w:gridCol w:w="326"/>
        <w:gridCol w:w="196"/>
        <w:gridCol w:w="375"/>
        <w:gridCol w:w="326"/>
        <w:gridCol w:w="228"/>
        <w:gridCol w:w="764"/>
      </w:tblGrid>
      <w:tr>
        <w:trPr/>
        <w:tc>
          <w:tcPr>
            <w:tcW w:w="2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82775" cy="175260"/>
                      <wp:effectExtent l="0" t="0" r="0" b="0"/>
                      <wp:wrapNone/>
                      <wp:docPr id="44" name="Frame43"/>
                      <a:graphic xmlns:a="http://schemas.openxmlformats.org/drawingml/2006/main">
                        <a:graphicData uri="http://schemas.microsoft.com/office/word/2010/wordprocessingShape">
                          <wps:wsp>
                            <wps:cNvSpPr txBox="1"/>
                            <wps:spPr>
                              <a:xfrm>
                                <a:off x="0" y="0"/>
                                <a:ext cx="1882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5" name="Frame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8785" cy="175260"/>
                      <wp:effectExtent l="0" t="0" r="0" b="0"/>
                      <wp:wrapNone/>
                      <wp:docPr id="46"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8125" cy="175260"/>
                      <wp:effectExtent l="0" t="0" r="0" b="0"/>
                      <wp:wrapNone/>
                      <wp:docPr id="49" name="Frame4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14935" cy="175260"/>
                      <wp:effectExtent l="0" t="0" r="0" b="0"/>
                      <wp:wrapNone/>
                      <wp:docPr id="51" name="Frame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3190" cy="175260"/>
                      <wp:effectExtent l="0" t="0" r="0" b="0"/>
                      <wp:wrapNone/>
                      <wp:docPr id="54" name="Frame53"/>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29895" cy="175260"/>
                      <wp:effectExtent l="0" t="0" r="0" b="0"/>
                      <wp:wrapNone/>
                      <wp:docPr id="55" name="Frame5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90525" cy="175260"/>
                      <wp:effectExtent l="0" t="0" r="0" b="0"/>
                      <wp:wrapNone/>
                      <wp:docPr id="57" name="Frame56"/>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8125" cy="175260"/>
                      <wp:effectExtent l="0" t="0" r="0" b="0"/>
                      <wp:wrapNone/>
                      <wp:docPr id="60" name="Frame5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4780" cy="175260"/>
                      <wp:effectExtent l="0" t="0" r="0" b="0"/>
                      <wp:wrapNone/>
                      <wp:docPr id="62" name="Frame6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85140" cy="175260"/>
                      <wp:effectExtent l="0" t="0" r="0" b="0"/>
                      <wp:wrapNone/>
                      <wp:docPr id="63" name="Frame62"/>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6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7034"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June 30, 2024</w:t>
            </w:r>
          </w:p>
        </w:tc>
      </w:tr>
      <w:tr>
        <w:trPr/>
        <w:tc>
          <w:tcPr>
            <w:tcW w:w="296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96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5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151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96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965"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2,707,880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254,116</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(193,205)</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60,952</w:t>
            </w:r>
          </w:p>
        </w:tc>
      </w:tr>
      <w:tr>
        <w:trPr/>
        <w:tc>
          <w:tcPr>
            <w:tcW w:w="29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65,564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pPr>
            <w:r>
              <w:rPr/>
              <w:t>—</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ESPP</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167</w:t>
            </w:r>
          </w:p>
        </w:tc>
      </w:tr>
      <w:tr>
        <w:trPr/>
        <w:tc>
          <w:tcPr>
            <w:tcW w:w="29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(660)</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Forfeited shares of restricted stock</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pPr>
            <w:r>
              <w:rPr/>
              <w:t>—</w:t>
            </w:r>
          </w:p>
        </w:tc>
      </w:tr>
      <w:tr>
        <w:trPr/>
        <w:tc>
          <w:tcPr>
            <w:tcW w:w="29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(5,736)</w:t>
            </w:r>
          </w:p>
        </w:tc>
      </w:tr>
      <w:tr>
        <w:trPr/>
        <w:tc>
          <w:tcPr>
            <w:tcW w:w="2965"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31, 2024</w:t>
            </w:r>
          </w:p>
        </w:tc>
        <w:tc>
          <w:tcPr>
            <w:tcW w:w="20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2,750,398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256,646</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(198,941)</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57,746</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38,380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9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2023 Bonus Plan</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6,373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(10,067)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w:t>
            </w:r>
          </w:p>
        </w:tc>
      </w:tr>
      <w:tr>
        <w:trPr/>
        <w:tc>
          <w:tcPr>
            <w:tcW w:w="29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2023 Bonus Plan</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0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2,171</w:t>
            </w:r>
          </w:p>
        </w:tc>
      </w:tr>
      <w:tr>
        <w:trPr/>
        <w:tc>
          <w:tcPr>
            <w:tcW w:w="2965"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0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r>
      <w:tr>
        <w:trPr/>
        <w:tc>
          <w:tcPr>
            <w:tcW w:w="296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(10,796)</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(10,796)</w:t>
            </w:r>
          </w:p>
        </w:tc>
      </w:tr>
      <w:tr>
        <w:trPr/>
        <w:tc>
          <w:tcPr>
            <w:tcW w:w="2965"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June 30, 2024</w:t>
            </w:r>
          </w:p>
        </w:tc>
        <w:tc>
          <w:tcPr>
            <w:tcW w:w="20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2,782,659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258,493</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(209,737)</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64"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48,711</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Amounts have been adjusted to reflect the 1-for-15 reverse stock split that became effective as of the opening of business on July 7, 2025. Refer to Note 2, </w:t>
            </w:r>
            <w:r>
              <w:rPr>
                <w:rFonts w:ascii="Times New Roman;Times;serif" w:hAnsi="Times New Roman;Times;serif"/>
                <w:b w:val="false"/>
                <w:i/>
                <w:sz w:val="16"/>
              </w:rPr>
              <w:t>Significant Accounting Policies</w:t>
            </w:r>
            <w:r>
              <w:rPr>
                <w:caps w:val="false"/>
                <w:smallCaps w:val="false"/>
              </w:rPr>
              <w:t xml:space="preserve">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55" w:name="_cf9b48e3_aad2_4d50_8714_3c01d8ebdf39"/>
      <w:bookmarkEnd w:id="655"/>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656" w:name="CondensedConsolidatedStatementsofCashFlo"/>
      <w:bookmarkEnd w:id="65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657" w:name="Tc_zHR5qWZKfkquxbDD8gipcQ_42_5"/>
      <w:bookmarkStart w:id="658" w:name="Tc_i90Y3rafIkG9PPGNAtADww_41_5"/>
      <w:bookmarkStart w:id="659" w:name="Tc_vw8lTTDTFUGpnsekRisbaA_41_2"/>
      <w:bookmarkStart w:id="660" w:name="Tc_VCmWtItTpEemiXTjL8N2ow_41_0"/>
      <w:bookmarkStart w:id="661" w:name="Tc_5U2ztDRH5EaPA8zNsvhGCw_40_0"/>
      <w:bookmarkStart w:id="662" w:name="Tc_3npirLhLHUKF2WZQag36Vw_39_0"/>
      <w:bookmarkStart w:id="663" w:name="Tc_aOkoqmuQUU2YflUneHTm2Q_38_0"/>
      <w:bookmarkStart w:id="664" w:name="Tc_traRMLNhjE-Cxn0r5NbXsA_37_0"/>
      <w:bookmarkStart w:id="665" w:name="Tc_5TAnFXskjk-ZI3BaD1l9UA_36_0"/>
      <w:bookmarkStart w:id="666" w:name="Tc_y07R0Pxwg0mdJaemOCpj9A_35_0"/>
      <w:bookmarkStart w:id="667" w:name="Tc_05hhJflZL0WLjiyetI1Y3A_34_0"/>
      <w:bookmarkStart w:id="668" w:name="Tc_9hvnWrj9a0y4NGvJfO0TCQ_33_0"/>
      <w:bookmarkStart w:id="669" w:name="Tc_DmG_WOctsUKkGFotsI2PSA_32_3"/>
      <w:bookmarkStart w:id="670" w:name="Tc_3I4p9vtfZEuUN8m-C-O-Fw_32_0"/>
      <w:bookmarkStart w:id="671" w:name="Tc_T-H1KTBhpkKc2Oz-BNMCOA_31_0"/>
      <w:bookmarkStart w:id="672" w:name="Tc_dvHCklR_EEmsUlPuatYD8Q_30_0"/>
      <w:bookmarkStart w:id="673" w:name="Tc_zswdI7NEvEaBG00k0Z6rbw_29_6"/>
      <w:bookmarkStart w:id="674" w:name="Tc_mazPZt-iqEuKhW5BGqgMcA_29_0"/>
      <w:bookmarkStart w:id="675" w:name="Tc_P7mEPFsS4kuxrCbrNsFo_A_28_0"/>
      <w:bookmarkStart w:id="676" w:name="Tc_XwE7caBMqECHkbI1JZ4R5Q_27_0"/>
      <w:bookmarkStart w:id="677" w:name="Tc_xf_VaOqVhkSI7N0O-7j51A_26_0"/>
      <w:bookmarkStart w:id="678" w:name="Tc_jSnjpd9L-0a6f2Xit6wgRg_25_0"/>
      <w:bookmarkStart w:id="679" w:name="Tc_rnZng_0Qc0SHbhx97LtMhA_24_0"/>
      <w:bookmarkStart w:id="680" w:name="Tc_cvMD2IZIv0uIdx7Eb1DI0g_23_0"/>
      <w:bookmarkStart w:id="681" w:name="Tc_j2lheOmaokmOYci6nDPPtA_22_0"/>
      <w:bookmarkStart w:id="682" w:name="Tc_qJ41iwA9-EacNo1HeLb1oQ_21_0"/>
      <w:bookmarkStart w:id="683" w:name="Tc_nKu74EjE50yjDu4EzCWbSQ_20_0"/>
      <w:bookmarkStart w:id="684" w:name="Tc_N1Bu3bGPskmQXzvsP6I7iw_19_0"/>
      <w:bookmarkStart w:id="685" w:name="Tc_LVB-mgbYWUGBy3RPE5d7UQ_18_0"/>
      <w:bookmarkStart w:id="686" w:name="Tc_KB2Tmsa0-EaGtsThoMugoQ_17_0"/>
      <w:bookmarkStart w:id="687" w:name="Tc_ji4fcbCqxEWHEq57EsqkdQ_16_0"/>
      <w:bookmarkStart w:id="688" w:name="Tc_pZAvCeMqM0OhL3WuYxHLjw_15_0"/>
      <w:bookmarkStart w:id="689" w:name="Tc_E6kmv9f_hEuCdK9VZEPQjQ_14_3"/>
      <w:bookmarkStart w:id="690" w:name="Tc_10dK8PzMpEO40BQVKHQjOg_14_0"/>
      <w:bookmarkStart w:id="691" w:name="Tc_CuylHwDUQUaZ47xVY9PqAw_13_0"/>
      <w:bookmarkStart w:id="692" w:name="Tc_QlQ0k3vYnkmSL5xCO5qqTw_12_6"/>
      <w:bookmarkStart w:id="693" w:name="Tc_02V9n33caUe7ZC5QAfBrXw_12_0"/>
      <w:bookmarkStart w:id="694" w:name="Tc_y0TRdgkbeU-gU3hw3QidHQ_11_0"/>
      <w:bookmarkStart w:id="695" w:name="Tc_mSe-7UfQJker_2Pl0gZWkQ_10_6"/>
      <w:bookmarkStart w:id="696" w:name="Tc_zmmLypz3bEqVGe3oKGa6Yg_10_0"/>
      <w:bookmarkStart w:id="697" w:name="Tc_KYjlOEyjU0aTZRp1AEwkXA_9_6"/>
      <w:bookmarkStart w:id="698" w:name="Tc_mQWhAh-MNUKvdPGOjRCfEw_9_0"/>
      <w:bookmarkStart w:id="699" w:name="Tc_Vrfc2htFakSpXmGTRMgsJA_8_0"/>
      <w:bookmarkStart w:id="700" w:name="Tc_1PcER6WvRkWqroe-897Hpg_7_0"/>
      <w:bookmarkStart w:id="701" w:name="Tc_-erxRrC-QEGadKLFhjaBSw_6_0"/>
      <w:bookmarkStart w:id="702" w:name="Tc_3GweG604LECZTmfMUaYCHQ_5_5"/>
      <w:bookmarkStart w:id="703" w:name="Tc_70jvPFDsAUqkW1FBAIGTpQ_5_2"/>
      <w:bookmarkStart w:id="704" w:name="Tc_nzzVJibuaEimd9OWniWeCg_5_0"/>
      <w:bookmarkStart w:id="705" w:name="Tc_mtvoAdmHMkukYDT1-NFn7w_4_0"/>
      <w:bookmarkStart w:id="706" w:name="Tc_aYvFiuYGG0yoEeOBO_MNmw_3_5"/>
      <w:bookmarkStart w:id="707" w:name="Tc_gnZ8xXa3XkydMzSRjQlCZg_3_2"/>
      <w:bookmarkStart w:id="708" w:name="Tc_HG-V-tJDZU2qfijkQ8-j1Q_2_5"/>
      <w:bookmarkStart w:id="709" w:name="Tc_pkUET161z0i3lt8BFSePwQ_2_2"/>
      <w:bookmarkStart w:id="710" w:name="Tc_yThSJfZQkki_7X78gYMFEQ_1_2"/>
      <w:bookmarkStart w:id="711" w:name="_9e91f264_e05c_4b91_9aa3_8f6652224d63"/>
      <w:bookmarkStart w:id="712" w:name="Tc_zHR5qWZKfkquxbDD8gipcQ_42_5"/>
      <w:bookmarkStart w:id="713" w:name="Tc_i90Y3rafIkG9PPGNAtADww_41_5"/>
      <w:bookmarkStart w:id="714" w:name="Tc_vw8lTTDTFUGpnsekRisbaA_41_2"/>
      <w:bookmarkStart w:id="715" w:name="Tc_VCmWtItTpEemiXTjL8N2ow_41_0"/>
      <w:bookmarkStart w:id="716" w:name="Tc_5U2ztDRH5EaPA8zNsvhGCw_40_0"/>
      <w:bookmarkStart w:id="717" w:name="Tc_3npirLhLHUKF2WZQag36Vw_39_0"/>
      <w:bookmarkStart w:id="718" w:name="Tc_aOkoqmuQUU2YflUneHTm2Q_38_0"/>
      <w:bookmarkStart w:id="719" w:name="Tc_traRMLNhjE-Cxn0r5NbXsA_37_0"/>
      <w:bookmarkStart w:id="720" w:name="Tc_5TAnFXskjk-ZI3BaD1l9UA_36_0"/>
      <w:bookmarkStart w:id="721" w:name="Tc_y07R0Pxwg0mdJaemOCpj9A_35_0"/>
      <w:bookmarkStart w:id="722" w:name="Tc_05hhJflZL0WLjiyetI1Y3A_34_0"/>
      <w:bookmarkStart w:id="723" w:name="Tc_9hvnWrj9a0y4NGvJfO0TCQ_33_0"/>
      <w:bookmarkStart w:id="724" w:name="Tc_DmG_WOctsUKkGFotsI2PSA_32_3"/>
      <w:bookmarkStart w:id="725" w:name="Tc_3I4p9vtfZEuUN8m-C-O-Fw_32_0"/>
      <w:bookmarkStart w:id="726" w:name="Tc_T-H1KTBhpkKc2Oz-BNMCOA_31_0"/>
      <w:bookmarkStart w:id="727" w:name="Tc_dvHCklR_EEmsUlPuatYD8Q_30_0"/>
      <w:bookmarkStart w:id="728" w:name="Tc_zswdI7NEvEaBG00k0Z6rbw_29_6"/>
      <w:bookmarkStart w:id="729" w:name="Tc_mazPZt-iqEuKhW5BGqgMcA_29_0"/>
      <w:bookmarkStart w:id="730" w:name="Tc_P7mEPFsS4kuxrCbrNsFo_A_28_0"/>
      <w:bookmarkStart w:id="731" w:name="Tc_XwE7caBMqECHkbI1JZ4R5Q_27_0"/>
      <w:bookmarkStart w:id="732" w:name="Tc_xf_VaOqVhkSI7N0O-7j51A_26_0"/>
      <w:bookmarkStart w:id="733" w:name="Tc_jSnjpd9L-0a6f2Xit6wgRg_25_0"/>
      <w:bookmarkStart w:id="734" w:name="Tc_rnZng_0Qc0SHbhx97LtMhA_24_0"/>
      <w:bookmarkStart w:id="735" w:name="Tc_cvMD2IZIv0uIdx7Eb1DI0g_23_0"/>
      <w:bookmarkStart w:id="736" w:name="Tc_j2lheOmaokmOYci6nDPPtA_22_0"/>
      <w:bookmarkStart w:id="737" w:name="Tc_qJ41iwA9-EacNo1HeLb1oQ_21_0"/>
      <w:bookmarkStart w:id="738" w:name="Tc_nKu74EjE50yjDu4EzCWbSQ_20_0"/>
      <w:bookmarkStart w:id="739" w:name="Tc_N1Bu3bGPskmQXzvsP6I7iw_19_0"/>
      <w:bookmarkStart w:id="740" w:name="Tc_LVB-mgbYWUGBy3RPE5d7UQ_18_0"/>
      <w:bookmarkStart w:id="741" w:name="Tc_KB2Tmsa0-EaGtsThoMugoQ_17_0"/>
      <w:bookmarkStart w:id="742" w:name="Tc_ji4fcbCqxEWHEq57EsqkdQ_16_0"/>
      <w:bookmarkStart w:id="743" w:name="Tc_pZAvCeMqM0OhL3WuYxHLjw_15_0"/>
      <w:bookmarkStart w:id="744" w:name="Tc_E6kmv9f_hEuCdK9VZEPQjQ_14_3"/>
      <w:bookmarkStart w:id="745" w:name="Tc_10dK8PzMpEO40BQVKHQjOg_14_0"/>
      <w:bookmarkStart w:id="746" w:name="Tc_CuylHwDUQUaZ47xVY9PqAw_13_0"/>
      <w:bookmarkStart w:id="747" w:name="Tc_QlQ0k3vYnkmSL5xCO5qqTw_12_6"/>
      <w:bookmarkStart w:id="748" w:name="Tc_02V9n33caUe7ZC5QAfBrXw_12_0"/>
      <w:bookmarkStart w:id="749" w:name="Tc_y0TRdgkbeU-gU3hw3QidHQ_11_0"/>
      <w:bookmarkStart w:id="750" w:name="Tc_mSe-7UfQJker_2Pl0gZWkQ_10_6"/>
      <w:bookmarkStart w:id="751" w:name="Tc_zmmLypz3bEqVGe3oKGa6Yg_10_0"/>
      <w:bookmarkStart w:id="752" w:name="Tc_KYjlOEyjU0aTZRp1AEwkXA_9_6"/>
      <w:bookmarkStart w:id="753" w:name="Tc_mQWhAh-MNUKvdPGOjRCfEw_9_0"/>
      <w:bookmarkStart w:id="754" w:name="Tc_Vrfc2htFakSpXmGTRMgsJA_8_0"/>
      <w:bookmarkStart w:id="755" w:name="Tc_1PcER6WvRkWqroe-897Hpg_7_0"/>
      <w:bookmarkStart w:id="756" w:name="Tc_-erxRrC-QEGadKLFhjaBSw_6_0"/>
      <w:bookmarkStart w:id="757" w:name="Tc_3GweG604LECZTmfMUaYCHQ_5_5"/>
      <w:bookmarkStart w:id="758" w:name="Tc_70jvPFDsAUqkW1FBAIGTpQ_5_2"/>
      <w:bookmarkStart w:id="759" w:name="Tc_nzzVJibuaEimd9OWniWeCg_5_0"/>
      <w:bookmarkStart w:id="760" w:name="Tc_mtvoAdmHMkukYDT1-NFn7w_4_0"/>
      <w:bookmarkStart w:id="761" w:name="Tc_aYvFiuYGG0yoEeOBO_MNmw_3_5"/>
      <w:bookmarkStart w:id="762" w:name="Tc_gnZ8xXa3XkydMzSRjQlCZg_3_2"/>
      <w:bookmarkStart w:id="763" w:name="Tc_HG-V-tJDZU2qfijkQ8-j1Q_2_5"/>
      <w:bookmarkStart w:id="764" w:name="Tc_pkUET161z0i3lt8BFSePwQ_2_2"/>
      <w:bookmarkStart w:id="765" w:name="Tc_yThSJfZQkki_7X78gYMFEQ_1_2"/>
      <w:bookmarkStart w:id="766" w:name="_9e91f264_e05c_4b91_9aa3_8f6652224d63"/>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tbl>
      <w:tblPr>
        <w:tblW w:w="8129" w:type="dxa"/>
        <w:jc w:val="left"/>
        <w:tblInd w:w="0" w:type="dxa"/>
        <w:tblLayout w:type="fixed"/>
        <w:tblCellMar>
          <w:top w:w="0" w:type="dxa"/>
          <w:left w:w="0" w:type="dxa"/>
          <w:bottom w:w="0" w:type="dxa"/>
          <w:right w:w="0" w:type="dxa"/>
        </w:tblCellMar>
      </w:tblPr>
      <w:tblGrid>
        <w:gridCol w:w="5461"/>
        <w:gridCol w:w="326"/>
        <w:gridCol w:w="196"/>
        <w:gridCol w:w="721"/>
        <w:gridCol w:w="326"/>
        <w:gridCol w:w="202"/>
        <w:gridCol w:w="743"/>
        <w:gridCol w:w="154"/>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467735" cy="175260"/>
                      <wp:effectExtent l="0" t="0" r="0" b="0"/>
                      <wp:wrapNone/>
                      <wp:docPr id="64" name="Frame63"/>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57835" cy="175260"/>
                      <wp:effectExtent l="0" t="0" r="0" b="0"/>
                      <wp:wrapNone/>
                      <wp:docPr id="67" name="Frame6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8270" cy="175260"/>
                      <wp:effectExtent l="0" t="0" r="0" b="0"/>
                      <wp:wrapNone/>
                      <wp:docPr id="69" name="Frame68"/>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1805" cy="175260"/>
                      <wp:effectExtent l="0" t="0" r="0" b="0"/>
                      <wp:wrapNone/>
                      <wp:docPr id="70" name="Frame69"/>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97790" cy="175260"/>
                      <wp:effectExtent l="0" t="0" r="0" b="0"/>
                      <wp:wrapNone/>
                      <wp:docPr id="71" name="Frame7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center"/>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4" w:type="dxa"/>
            <w:tcBorders/>
            <w:vAlign w:val="center"/>
          </w:tcPr>
          <w:p>
            <w:pPr>
              <w:pStyle w:val="TableContents"/>
              <w:bidi w:val="0"/>
              <w:spacing w:before="0" w:after="0"/>
              <w:ind w:left="0" w:right="0" w:hanging="0"/>
              <w:jc w:val="center"/>
              <w:rPr/>
            </w:pPr>
            <w:r>
              <w:rPr/>
              <w:t>​</w:t>
            </w:r>
          </w:p>
        </w:tc>
      </w:tr>
      <w:tr>
        <w:trPr/>
        <w:tc>
          <w:tcPr>
            <w:tcW w:w="5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center"/>
              <w:rPr/>
            </w:pPr>
            <w:r>
              <w:rPr/>
              <w:t>​</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(10,993)</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(16,532)</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2,710</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lease modification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lease termination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4,128</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(2,195)</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(4,588)</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2,980</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20,455</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(2,268)</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6,966</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10,637</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(738)</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vAlign w:val="center"/>
          </w:tcPr>
          <w:p>
            <w:pPr>
              <w:pStyle w:val="TableContents"/>
              <w:bidi w:val="0"/>
              <w:spacing w:before="0" w:after="0"/>
              <w:ind w:left="0" w:right="0" w:hanging="0"/>
              <w:jc w:val="left"/>
              <w:rPr/>
            </w:pPr>
            <w:r>
              <w:rPr/>
              <w:t> </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revolving line of credit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revolving line of credit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(7,340)</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(28,000)</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ESPP</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(1,056)</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 and 2023 Bonus Plan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pPr>
            <w:r>
              <w:rPr/>
              <w:t>​</w:t>
            </w:r>
          </w:p>
        </w:tc>
        <w:tc>
          <w:tcPr>
            <w:tcW w:w="7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(8,839)</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Net decrease in cash and cash equivalents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(2,926)</w:t>
            </w:r>
          </w:p>
        </w:tc>
        <w:tc>
          <w:tcPr>
            <w:tcW w:w="32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(725)</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4,460</w:t>
            </w:r>
          </w:p>
        </w:tc>
        <w:tc>
          <w:tcPr>
            <w:tcW w:w="326"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1,534</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w:t>
            </w:r>
          </w:p>
        </w:tc>
        <w:tc>
          <w:tcPr>
            <w:tcW w:w="154" w:type="dxa"/>
            <w:tcBorders/>
            <w:vAlign w:val="center"/>
          </w:tcPr>
          <w:p>
            <w:pPr>
              <w:pStyle w:val="TableContents"/>
              <w:bidi w:val="0"/>
              <w:spacing w:before="0" w:after="0"/>
              <w:ind w:left="0" w:right="0" w:hanging="0"/>
              <w:jc w:val="left"/>
              <w:rPr/>
            </w:pPr>
            <w:r>
              <w:rPr/>
              <w:t>​</w:t>
            </w:r>
          </w:p>
        </w:tc>
      </w:tr>
      <w:tr>
        <w:trPr/>
        <w:tc>
          <w:tcPr>
            <w:tcW w:w="546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(Continued)</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67" w:name="Tc_IB89Cd4MA0CmoD2QPG6-kg_16_6"/>
      <w:bookmarkStart w:id="768" w:name="Tc_2CbJJYA2H02G7vxpulcoNg_16_5"/>
      <w:bookmarkStart w:id="769" w:name="Tc_YuwaCNQSo0mut9cqM1F03Q_16_2"/>
      <w:bookmarkStart w:id="770" w:name="Tc_f5bIWZlVSEmfOozl52y5JA_16_0"/>
      <w:bookmarkStart w:id="771" w:name="Tc_zPFegBa8NUC5IgtoDtk6Dw_15_6"/>
      <w:bookmarkStart w:id="772" w:name="Tc_jjq4P4cDtkuM1wnVW-MJIA_15_5"/>
      <w:bookmarkStart w:id="773" w:name="Tc_oRAyHdiWYE-GQ7u6Fpe7Gg_15_2"/>
      <w:bookmarkStart w:id="774" w:name="Tc_Uawy7y9l20aMZ8Uos6Zn9Q_15_0"/>
      <w:bookmarkStart w:id="775" w:name="Tc_jsunU-uDvUGLcFSNciWZyA_14_6"/>
      <w:bookmarkStart w:id="776" w:name="Tc_lea4rv-tLkOAoHoeuflS1w_14_5"/>
      <w:bookmarkStart w:id="777" w:name="Tc_HLEc82HjJky_JC-zfc_wkw_14_2"/>
      <w:bookmarkStart w:id="778" w:name="Tc_HNIeBGUIIEeYAWpEl1ZEtA_14_0"/>
      <w:bookmarkStart w:id="779" w:name="Tc_q5PSBCAoJU-ARr3q8q-KrA_13_5"/>
      <w:bookmarkStart w:id="780" w:name="Tc_EBRrA55WUUCDTmuTWYUQLA_13_2"/>
      <w:bookmarkStart w:id="781" w:name="Tc_TOVc0lZSLUu9fFP26oYnVw_13_0"/>
      <w:bookmarkStart w:id="782" w:name="Tc_cYpiVjLMnUKLgUMVDA-3vQ_12_5"/>
      <w:bookmarkStart w:id="783" w:name="Tc_kDXWMyp5sEaUZ6Q2Wj7zMA_12_3"/>
      <w:bookmarkStart w:id="784" w:name="Tc_7y03n8x-gEuMUu9SzE63fQ_12_2"/>
      <w:bookmarkStart w:id="785" w:name="Tc_2Q0nfwN6REGQdgAFRnc-BA_12_0"/>
      <w:bookmarkStart w:id="786" w:name="Tc_Pstol_UfHkavfE7xgnOJUQ_11_0"/>
      <w:bookmarkStart w:id="787" w:name="Tc_cwWbsSzQ80CL9l5p8bdHHg_9_5"/>
      <w:bookmarkStart w:id="788" w:name="Tc_8Rnw0VBnPECaYmpaVUtUMg_9_2"/>
      <w:bookmarkStart w:id="789" w:name="Tc_rMF8-hWA0UmZ1YMisbkmIQ_9_0"/>
      <w:bookmarkStart w:id="790" w:name="Tc_R8FIQh5aiESiw_cdM_07DA_8_5"/>
      <w:bookmarkStart w:id="791" w:name="Tc_WlXjMf2B7kC66dtGcOcnGQ_8_2"/>
      <w:bookmarkStart w:id="792" w:name="Tc_9uS4bxjEiEC7YKsoRqaP5w_8_0"/>
      <w:bookmarkStart w:id="793" w:name="Tc_UqmP_0S_pkSo7L1T3QHtdA_7_5"/>
      <w:bookmarkStart w:id="794" w:name="Tc_cf9nE95SEEiAItGcPjT3mQ_7_2"/>
      <w:bookmarkStart w:id="795" w:name="Tc_DyREfZg0UUmDxTh_LqDQWQ_7_0"/>
      <w:bookmarkStart w:id="796" w:name="Tc_zD5GXd7b-U6joAucmd8R8w_6_5"/>
      <w:bookmarkStart w:id="797" w:name="Tc__5TInwXY10O0oY7_u3JOpQ_6_2"/>
      <w:bookmarkStart w:id="798" w:name="Tc_2hxVh75MeUy72BYqvqNKjg_6_0"/>
      <w:bookmarkStart w:id="799" w:name="Tc_Hh-ZZUYI_U27mD60dY76aQ_5_0"/>
      <w:bookmarkStart w:id="800" w:name="Tc_BzE95nVHPE6vLyjkiOUGKw_4_0"/>
      <w:bookmarkStart w:id="801" w:name="Tc_MjMTEZH2dUi1wyhksA-SnQ_3_5"/>
      <w:bookmarkStart w:id="802" w:name="Tc_FrleSe__dkWIBDdTbbyAUA_3_2"/>
      <w:bookmarkStart w:id="803" w:name="Tc_cedUmWkUDESxb86pIinRjQ_2_5"/>
      <w:bookmarkStart w:id="804" w:name="Tc_SLsDBRsIP0-RQDqJJ3bg6w_2_2"/>
      <w:bookmarkStart w:id="805" w:name="Tc_EmkqYw82bkS12-iyxJ-qYg_1_2"/>
      <w:bookmarkStart w:id="806" w:name="_e8ebb597_397a_4e9b_8c17_daa6018deb26"/>
      <w:bookmarkStart w:id="807" w:name="Tc_IB89Cd4MA0CmoD2QPG6-kg_16_6"/>
      <w:bookmarkStart w:id="808" w:name="Tc_2CbJJYA2H02G7vxpulcoNg_16_5"/>
      <w:bookmarkStart w:id="809" w:name="Tc_YuwaCNQSo0mut9cqM1F03Q_16_2"/>
      <w:bookmarkStart w:id="810" w:name="Tc_f5bIWZlVSEmfOozl52y5JA_16_0"/>
      <w:bookmarkStart w:id="811" w:name="Tc_zPFegBa8NUC5IgtoDtk6Dw_15_6"/>
      <w:bookmarkStart w:id="812" w:name="Tc_jjq4P4cDtkuM1wnVW-MJIA_15_5"/>
      <w:bookmarkStart w:id="813" w:name="Tc_oRAyHdiWYE-GQ7u6Fpe7Gg_15_2"/>
      <w:bookmarkStart w:id="814" w:name="Tc_Uawy7y9l20aMZ8Uos6Zn9Q_15_0"/>
      <w:bookmarkStart w:id="815" w:name="Tc_jsunU-uDvUGLcFSNciWZyA_14_6"/>
      <w:bookmarkStart w:id="816" w:name="Tc_lea4rv-tLkOAoHoeuflS1w_14_5"/>
      <w:bookmarkStart w:id="817" w:name="Tc_HLEc82HjJky_JC-zfc_wkw_14_2"/>
      <w:bookmarkStart w:id="818" w:name="Tc_HNIeBGUIIEeYAWpEl1ZEtA_14_0"/>
      <w:bookmarkStart w:id="819" w:name="Tc_q5PSBCAoJU-ARr3q8q-KrA_13_5"/>
      <w:bookmarkStart w:id="820" w:name="Tc_EBRrA55WUUCDTmuTWYUQLA_13_2"/>
      <w:bookmarkStart w:id="821" w:name="Tc_TOVc0lZSLUu9fFP26oYnVw_13_0"/>
      <w:bookmarkStart w:id="822" w:name="Tc_cYpiVjLMnUKLgUMVDA-3vQ_12_5"/>
      <w:bookmarkStart w:id="823" w:name="Tc_kDXWMyp5sEaUZ6Q2Wj7zMA_12_3"/>
      <w:bookmarkStart w:id="824" w:name="Tc_7y03n8x-gEuMUu9SzE63fQ_12_2"/>
      <w:bookmarkStart w:id="825" w:name="Tc_2Q0nfwN6REGQdgAFRnc-BA_12_0"/>
      <w:bookmarkStart w:id="826" w:name="Tc_Pstol_UfHkavfE7xgnOJUQ_11_0"/>
      <w:bookmarkStart w:id="827" w:name="Tc_cwWbsSzQ80CL9l5p8bdHHg_9_5"/>
      <w:bookmarkStart w:id="828" w:name="Tc_8Rnw0VBnPECaYmpaVUtUMg_9_2"/>
      <w:bookmarkStart w:id="829" w:name="Tc_rMF8-hWA0UmZ1YMisbkmIQ_9_0"/>
      <w:bookmarkStart w:id="830" w:name="Tc_R8FIQh5aiESiw_cdM_07DA_8_5"/>
      <w:bookmarkStart w:id="831" w:name="Tc_WlXjMf2B7kC66dtGcOcnGQ_8_2"/>
      <w:bookmarkStart w:id="832" w:name="Tc_9uS4bxjEiEC7YKsoRqaP5w_8_0"/>
      <w:bookmarkStart w:id="833" w:name="Tc_UqmP_0S_pkSo7L1T3QHtdA_7_5"/>
      <w:bookmarkStart w:id="834" w:name="Tc_cf9nE95SEEiAItGcPjT3mQ_7_2"/>
      <w:bookmarkStart w:id="835" w:name="Tc_DyREfZg0UUmDxTh_LqDQWQ_7_0"/>
      <w:bookmarkStart w:id="836" w:name="Tc_zD5GXd7b-U6joAucmd8R8w_6_5"/>
      <w:bookmarkStart w:id="837" w:name="Tc__5TInwXY10O0oY7_u3JOpQ_6_2"/>
      <w:bookmarkStart w:id="838" w:name="Tc_2hxVh75MeUy72BYqvqNKjg_6_0"/>
      <w:bookmarkStart w:id="839" w:name="Tc_Hh-ZZUYI_U27mD60dY76aQ_5_0"/>
      <w:bookmarkStart w:id="840" w:name="Tc_BzE95nVHPE6vLyjkiOUGKw_4_0"/>
      <w:bookmarkStart w:id="841" w:name="Tc_MjMTEZH2dUi1wyhksA-SnQ_3_5"/>
      <w:bookmarkStart w:id="842" w:name="Tc_FrleSe__dkWIBDdTbbyAUA_3_2"/>
      <w:bookmarkStart w:id="843" w:name="Tc_cedUmWkUDESxb86pIinRjQ_2_5"/>
      <w:bookmarkStart w:id="844" w:name="Tc_SLsDBRsIP0-RQDqJJ3bg6w_2_2"/>
      <w:bookmarkStart w:id="845" w:name="Tc_EmkqYw82bkS12-iyxJ-qYg_1_2"/>
      <w:bookmarkStart w:id="846" w:name="_e8ebb597_397a_4e9b_8c17_daa6018deb2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tbl>
      <w:tblPr>
        <w:tblW w:w="8730" w:type="dxa"/>
        <w:jc w:val="left"/>
        <w:tblInd w:w="0" w:type="dxa"/>
        <w:tblLayout w:type="fixed"/>
        <w:tblCellMar>
          <w:top w:w="0" w:type="dxa"/>
          <w:left w:w="0" w:type="dxa"/>
          <w:bottom w:w="0" w:type="dxa"/>
          <w:right w:w="0" w:type="dxa"/>
        </w:tblCellMar>
      </w:tblPr>
      <w:tblGrid>
        <w:gridCol w:w="6316"/>
        <w:gridCol w:w="326"/>
        <w:gridCol w:w="204"/>
        <w:gridCol w:w="656"/>
        <w:gridCol w:w="339"/>
        <w:gridCol w:w="204"/>
        <w:gridCol w:w="531"/>
        <w:gridCol w:w="154"/>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010660" cy="175260"/>
                      <wp:effectExtent l="0" t="0" r="0" b="0"/>
                      <wp:wrapNone/>
                      <wp:docPr id="72" name="Frame71"/>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9540" cy="175260"/>
                      <wp:effectExtent l="0" t="0" r="0" b="0"/>
                      <wp:wrapNone/>
                      <wp:docPr id="74" name="Frame73"/>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16560" cy="175260"/>
                      <wp:effectExtent l="0" t="0" r="0" b="0"/>
                      <wp:wrapNone/>
                      <wp:docPr id="75" name="Frame74"/>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5265" cy="175260"/>
                      <wp:effectExtent l="0" t="0" r="0" b="0"/>
                      <wp:wrapNone/>
                      <wp:docPr id="76" name="Frame75"/>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29540" cy="175260"/>
                      <wp:effectExtent l="0" t="0" r="0" b="0"/>
                      <wp:wrapNone/>
                      <wp:docPr id="77" name="Frame76"/>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37185" cy="175260"/>
                      <wp:effectExtent l="0" t="0" r="0" b="0"/>
                      <wp:wrapNone/>
                      <wp:docPr id="78" name="Frame77"/>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97790" cy="175260"/>
                      <wp:effectExtent l="0" t="0" r="0" b="0"/>
                      <wp:wrapNone/>
                      <wp:docPr id="79" name="Frame7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39" w:type="dxa"/>
            <w:tcBorders/>
            <w:vAlign w:val="center"/>
          </w:tcPr>
          <w:p>
            <w:pPr>
              <w:pStyle w:val="TableContents"/>
              <w:bidi w:val="0"/>
              <w:spacing w:before="0" w:after="0"/>
              <w:ind w:left="0" w:right="0" w:hanging="0"/>
              <w:jc w:val="left"/>
              <w:rPr/>
            </w:pPr>
            <w:r>
              <w:rPr/>
              <w:t>​</w:t>
            </w:r>
          </w:p>
        </w:tc>
        <w:tc>
          <w:tcPr>
            <w:tcW w:w="7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9" w:type="dxa"/>
            <w:tcBorders/>
            <w:vAlign w:val="center"/>
          </w:tcPr>
          <w:p>
            <w:pPr>
              <w:pStyle w:val="TableContents"/>
              <w:bidi w:val="0"/>
              <w:spacing w:before="0" w:after="0"/>
              <w:ind w:left="0" w:right="0" w:hanging="0"/>
              <w:jc w:val="left"/>
              <w:rPr/>
            </w:pPr>
            <w:r>
              <w:rPr/>
              <w:t>    </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(refunded) during the period for:</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(3,093)</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2,842</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65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Assets acquired under finance lease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Capitalized software development costs included in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Remeasurement of operating lease right-of-use assets for lease modification</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3,527</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Derecognition of operating lease liabilities and right-of-use assets upon lease termination</w:t>
            </w:r>
          </w:p>
        </w:tc>
        <w:tc>
          <w:tcPr>
            <w:tcW w:w="32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c>
          <w:tcPr>
            <w:tcW w:w="339"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631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339"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47" w:name="_Hlk205663012"/>
      <w:bookmarkStart w:id="848" w:name="_Hlk182216626"/>
      <w:bookmarkStart w:id="849" w:name="_cp_change_3"/>
      <w:bookmarkStart w:id="850" w:name="DescriptionofBusinessOrganizationandLiqu"/>
      <w:bookmarkStart w:id="851" w:name="_cp_change_4"/>
      <w:bookmarkEnd w:id="847"/>
      <w:bookmarkEnd w:id="848"/>
      <w:bookmarkEnd w:id="849"/>
      <w:bookmarkEnd w:id="850"/>
      <w:bookmarkEnd w:id="851"/>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Organization and Business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a reorganization, Lulu’s Fashion Lounge Holdings, Inc., a Delaware Corporation (“Lulus”, “we”, “our”, or the “Company”), was formed on August 25, 2017 as a holding company and its primary asset is an indirect membership interest in Lulu’s Fashion Lounge, LLC (“Lulus LLC”). Prior to the Company’s initial public offering, the Company was majority-owned by Lulu’s Holdings, L.P. (the “LP”). In connection with the Company’s initial public offering, the LP was liquidated.</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LLC was founded in 1996, starting as a vintage boutique in Chico, California that began selling online in 2005 and transitioned to a purely online business in 2008. The LP was formed in 2014 as a holding company and purchased 100% of Lulus LLC’s outstanding common stock in 2014. The Company, based in Chico, California, through Lulus LLC, is a customer-driven, digitally-native, attainable luxury fashion brand for women, offering modern, unapologetically feminine designs at accessible prices for all of life’s fashionable moments.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Changing macroeconomic factors, including inflation, interest rates, student loan repayment resumption, tariffs or bans, world events, wars and domestic and international conflicts, existing and future laws, regulations,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During the thirteen and twenty-six weeks ended June 29, 2025, the Company incurred net losses of $3.0 million and $11.0 million, respectively. As of June 29, 2025, the Company had $1.5 million in cash and cash equivalents and $5.8 million in outstanding amounts under the credit agreement with Bank of America for the Company’s revolving facility (“2021 Credit Agreement”), as amended, classified within total current liabilities. During the twenty-six weeks ended June 29, 2025, the Company did not borrow any amount under the 2021 Credit Agreement, as amended, and repaid $7.3 million of the outstanding balance. See Note 5, </w:t>
      </w:r>
      <w:r>
        <w:rPr>
          <w:rFonts w:ascii="Times New Roman;Times;serif" w:hAnsi="Times New Roman;Times;serif"/>
          <w:i/>
          <w:sz w:val="20"/>
        </w:rPr>
        <w:t>Debt</w:t>
      </w:r>
      <w:r>
        <w:rPr>
          <w:rFonts w:ascii="Times New Roman;Times;serif" w:hAnsi="Times New Roman;Times;serif"/>
          <w:sz w:val="20"/>
        </w:rPr>
        <w:t> in the accompanying Notes to the Condensed Consolidated Financial Statements for further information on the 2021 Credit Agreement, as amended</w:t>
      </w:r>
      <w:r>
        <w:rPr>
          <w:rFonts w:ascii="Times New Roman;Times;serif" w:hAnsi="Times New Roman;Times;serif"/>
          <w:color w:val="212529"/>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actively seeking alternative debt financing and continuing to take certain cash conservation measures, including adjustments to marketing and other fixed and variable costs and capital spend to meet its obligations as needed.  While the Company is currently negotiating a new asset-based revolving credit facility, there can be no assurances that the Company will be able to close such credit facility in a timely manner on acceptable terms, if at all. As the ability to raise additional debt financing is outside of management’s control, the Company cannot conclude that management’s plans will be effectively implemented within twelve months from the date the condensed consolidated financial statements are issued. Accordingly, the Company has concluded that these plans do not alleviate substantial doubt about the Company's ability to continue as a going concern. The condensed consolidated financial statements do not reflect any adjustments that might result from the outcome of this uncertainty.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52-week or 53-week period ending on the Sunday nearest to December 31. The fiscal years ending December 28, 2025 and ended December 29, 2024 consist of 52-weeks.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United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As further discussed in the Reverse Stock Split section below, all per share amounts and common stock amounts have been adjusted on a retroactive basis to reflect the Reverse Stock Split (as defined below).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June 29, 2025 and its results of operations for the thirteen and twenty-six weeks ended June 29, 2025 and June 30, 2024 and its cash flows for the twenty-six weeks ended June 29, 2025 and June 30, 2024. The results of operations for the twenty-six weeks ended June 29, 2025 are not necessarily indicative of the results to be expected for the fiscal year ending December 28, 2025 or for any other future annual or interim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information included in this Quarterly Report on Form 10-Q should be read in conjunction with the Company’s Annual Report on Form 10-K as filed with the SEC on March 27, 2025</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significant accounting policies used in preparation of these condensed consolidated financial statements are consistent with those discussed in Note 2 to the audited consolidated financial statements included in the Company’s Annual Report on Form 10-K for the year ended December 29, 2024, except as noted below and within the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lease right-of-use assets and related lease liabilities, income tax valuation allowance, fair value of equity awards and valuation of goodwill and other long-lived assets.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condensed consolidated financial statements in future periods. As future events and their effects cannot be determined with precision, actual results could materially differ from those estimates and assumptions.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and cash equivalents. Such amounts may exceed federally insured limits. The Company reduces credit risk by depositing its cash with a major credit-worthy financial institution within the United States. To date, the Company has not experienced any losses on its cash deposits. As of June 29, 2025, </w:t>
      </w:r>
      <w:r>
        <w:rPr>
          <w:rFonts w:ascii="Times New Roman;Times;serif" w:hAnsi="Times New Roman;Times;serif"/>
          <w:color w:val="212529"/>
          <w:sz w:val="20"/>
          <w:shd w:fill="FFFFFF" w:val="clear"/>
        </w:rPr>
        <w:t>a single wholesale customer represented 10% of the Company’s accounts receivable balance</w:t>
      </w:r>
      <w:r>
        <w:rPr>
          <w:rFonts w:ascii="Times New Roman;Times;serif" w:hAnsi="Times New Roman;Times;serif"/>
          <w:sz w:val="20"/>
        </w:rPr>
        <w:t>. As of December 29, 2024, no single customer represented greater than 10% of the Company’s accounts receivable balance. No single customer accounted for greater than 10% of the Company’s net revenue during the thirteen and twenty-six weeks ended June 29, 2025 and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Company expects to receive in exchange for those products. The Company’s payment terms are typically at the point of sale for merchandise product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one performance obligation, the sale of the product, at shipping point (when the customer gains control). Shipping and handling costs associated with outbound freight are accounted for as fulfillment costs and are included in cost of goods sold. The Company has elected to apply the practical expedient to expense costs as incurred for incremental costs to obtain a contract when the amortization period would have been one year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 also has corresponding assets for recovery that represent the expected net realizable value of the merchandise inventory to be returned.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sells stored-value gift cards to customers and offers merchandise credit stored-value cards for certain returns and promotions. Such stored-value cards do not have an expiration date. The Company recognizes revenue from stored-value cards when the card is redeemed by the customer. The Company has determined that sufficient evidence exists to support an estimate for stored-value card breakage. 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and twenty-six weeks ended June 29, 2025 and June 30, 2024 was not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852" w:name="Tc_9q5c8LClYUGVfi1l10Umrg_9_0"/>
      <w:bookmarkStart w:id="853" w:name="Tc_L-XzMuXiyEiYeX6QILoD2Q_8_0"/>
      <w:bookmarkStart w:id="854" w:name="Tc_Hy_Ej9EwBEGTyKPaAXAQUw_7_0"/>
      <w:bookmarkStart w:id="855" w:name="Tc_XXOCZ6gAAE-pz83ZTI7Hng_6_0"/>
      <w:bookmarkStart w:id="856" w:name="Tc_2ZedAaBnQkuxSryLivkdKw_5_0"/>
      <w:bookmarkStart w:id="857" w:name="Tc_MMDG-j_qIE6A4UFGHL3QSA_4_0"/>
      <w:bookmarkStart w:id="858" w:name="Tc_EzlnNaz4l0-YbP53WrCD-w_3_5"/>
      <w:bookmarkStart w:id="859" w:name="Tc_rs0YMYi-8UyPaLqpLj2c5A_3_2"/>
      <w:bookmarkStart w:id="860" w:name="Tc_wlYBrWKHVkOP0VbrkeJglg_3_0"/>
      <w:bookmarkStart w:id="861" w:name="Tc_rfnHF-Q6bE-L4k3TBPBwUA_2_5"/>
      <w:bookmarkStart w:id="862" w:name="Tc_bTkAC1E_b0yqiC7jJ67rvQ_2_2"/>
      <w:bookmarkStart w:id="863" w:name="Tc_dx5SYIGS-0iP1A8kDKzIrA_1_5"/>
      <w:bookmarkStart w:id="864" w:name="Tc_8D621CmuPUqfkFIsHIdX3Q_1_2"/>
      <w:bookmarkStart w:id="865" w:name="_9ccf7e4f_3f92_40c4_bc31_46abeffb666c"/>
      <w:bookmarkStart w:id="866" w:name="Tc_ysRemtZSMUyf0kj7FEqZ8Q_9_0"/>
      <w:bookmarkStart w:id="867" w:name="Tc_CjVmWhRjz0GTQ7IEzwgBEw_8_0"/>
      <w:bookmarkStart w:id="868" w:name="Tc_kZgE0gaF_02ReJeMVYBtmw_7_0"/>
      <w:bookmarkStart w:id="869" w:name="Tc_CE-7-53fr060xpguGBO3ug_6_0"/>
      <w:bookmarkStart w:id="870" w:name="Tc_A9ZTxYQ7z0GregW1_5bd0g_5_0"/>
      <w:bookmarkStart w:id="871" w:name="Tc_WmWnnT16Q0Oe-qCLBTcrFw_4_0"/>
      <w:bookmarkStart w:id="872" w:name="Tc_Eg93yHPS8EKU0pgP-54-JA_3_5"/>
      <w:bookmarkStart w:id="873" w:name="Tc_pMYDGXLRb0Su0zm0cw_1xA_3_2"/>
      <w:bookmarkStart w:id="874" w:name="Tc_SRGkmTbShECfveGPdBMkHA_3_0"/>
      <w:bookmarkStart w:id="875" w:name="Tc_34kfLm7_5kSScJncVyeStA_2_5"/>
      <w:bookmarkStart w:id="876" w:name="Tc_dUueB2Fgs0yvvAuDSsPO5w_2_2"/>
      <w:bookmarkStart w:id="877" w:name="Tc_E5raTI4GJE6Gn6hPhQ1T3g_1_5"/>
      <w:bookmarkStart w:id="878" w:name="Tc_7ffNChcq4UGdTlxepFhTQA_1_2"/>
      <w:bookmarkStart w:id="879" w:name="_47da9e46_bd4d_4bef_ab6b_3c71838dc47f"/>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Times New Roman;Times;serif" w:hAnsi="Times New Roman;Times;serif"/>
          <w:sz w:val="20"/>
        </w:rPr>
        <w:t>The following table summarizes the significant changes in the contract liabilities balances included in accrued expenses and other current liabilities during the thirteen and twenty-six weeks ended June 29, 2025 and June 30, 2024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655"/>
        <w:gridCol w:w="326"/>
        <w:gridCol w:w="220"/>
        <w:gridCol w:w="566"/>
        <w:gridCol w:w="326"/>
        <w:gridCol w:w="236"/>
        <w:gridCol w:w="876"/>
      </w:tblGrid>
      <w:tr>
        <w:trPr/>
        <w:tc>
          <w:tcPr>
            <w:tcW w:w="7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860925" cy="175260"/>
                      <wp:effectExtent l="0" t="0" r="0" b="0"/>
                      <wp:wrapNone/>
                      <wp:docPr id="80" name="Frame79"/>
                      <a:graphic xmlns:a="http://schemas.openxmlformats.org/drawingml/2006/main">
                        <a:graphicData uri="http://schemas.microsoft.com/office/word/2010/wordprocessingShape">
                          <wps:wsp>
                            <wps:cNvSpPr txBox="1"/>
                            <wps:spPr>
                              <a:xfrm>
                                <a:off x="0" y="0"/>
                                <a:ext cx="4860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9700" cy="175260"/>
                      <wp:effectExtent l="0" t="0" r="0" b="0"/>
                      <wp:wrapNone/>
                      <wp:docPr id="82" name="Frame8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59410" cy="175260"/>
                      <wp:effectExtent l="0" t="0" r="0" b="0"/>
                      <wp:wrapNone/>
                      <wp:docPr id="83" name="Frame8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9860" cy="175260"/>
                      <wp:effectExtent l="0" t="0" r="0" b="0"/>
                      <wp:wrapNone/>
                      <wp:docPr id="85" name="Frame8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56260" cy="175260"/>
                      <wp:effectExtent l="0" t="0" r="0" b="0"/>
                      <wp:wrapNone/>
                      <wp:docPr id="86" name="Frame85"/>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Deferred </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5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29, 2024</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17,883</w:t>
            </w:r>
          </w:p>
        </w:tc>
      </w:tr>
      <w:tr>
        <w:trPr/>
        <w:tc>
          <w:tcPr>
            <w:tcW w:w="76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76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r>
      <w:tr>
        <w:trPr/>
        <w:tc>
          <w:tcPr>
            <w:tcW w:w="76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30, 2025</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19,012</w:t>
            </w:r>
          </w:p>
        </w:tc>
      </w:tr>
      <w:tr>
        <w:trPr/>
        <w:tc>
          <w:tcPr>
            <w:tcW w:w="76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r>
      <w:tr>
        <w:trPr/>
        <w:tc>
          <w:tcPr>
            <w:tcW w:w="76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w:t>
            </w:r>
          </w:p>
        </w:tc>
      </w:tr>
      <w:tr>
        <w:trPr/>
        <w:tc>
          <w:tcPr>
            <w:tcW w:w="765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June 29, 2025</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19,927</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90"/>
        <w:gridCol w:w="326"/>
        <w:gridCol w:w="211"/>
        <w:gridCol w:w="540"/>
        <w:gridCol w:w="326"/>
        <w:gridCol w:w="236"/>
        <w:gridCol w:w="876"/>
      </w:tblGrid>
      <w:tr>
        <w:trPr/>
        <w:tc>
          <w:tcPr>
            <w:tcW w:w="7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883150" cy="175260"/>
                      <wp:effectExtent l="0" t="0" r="0" b="0"/>
                      <wp:wrapNone/>
                      <wp:docPr id="87" name="Frame86"/>
                      <a:graphic xmlns:a="http://schemas.openxmlformats.org/drawingml/2006/main">
                        <a:graphicData uri="http://schemas.microsoft.com/office/word/2010/wordprocessingShape">
                          <wps:wsp>
                            <wps:cNvSpPr txBox="1"/>
                            <wps:spPr>
                              <a:xfrm>
                                <a:off x="0" y="0"/>
                                <a:ext cx="4883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2900" cy="175260"/>
                      <wp:effectExtent l="0" t="0" r="0" b="0"/>
                      <wp:wrapNone/>
                      <wp:docPr id="90" name="Frame8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9860" cy="175260"/>
                      <wp:effectExtent l="0" t="0" r="0" b="0"/>
                      <wp:wrapNone/>
                      <wp:docPr id="92" name="Frame9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56260" cy="175260"/>
                      <wp:effectExtent l="0" t="0" r="0" b="0"/>
                      <wp:wrapNone/>
                      <wp:docPr id="93" name="Frame92"/>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76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13,142</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(1,549)</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31, 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w:t>
            </w:r>
          </w:p>
        </w:tc>
      </w:tr>
      <w:tr>
        <w:trPr/>
        <w:tc>
          <w:tcPr>
            <w:tcW w:w="76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due to cash received, excluding amounts recognized as revenue (including breakage) during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w:t>
            </w:r>
          </w:p>
        </w:tc>
      </w:tr>
      <w:tr>
        <w:trPr/>
        <w:tc>
          <w:tcPr>
            <w:tcW w:w="7690"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15,143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Advertising costs included in selling and marketing expenses were $17.6 million and $20.0 million for the thirteen weeks ended June 29, 2025 and June 30, 2024, respectively and $29.6 million and $33.1 million for the twenty-six weeks ended June 29, 2025 and June 30, 2024,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Basic net loss per share attributable to common stockholders is computed using net loss attributable to common stockholders divided by the weighted-average number of common shares outstanding during the period. Diluted net loss per share attributable to common stockholders represents net loss attributable to common stockholders divided by the weighted-average number of common shares outstanding during the period, including the effects of any dilutive securities outstanding. Due to the net loss for all periods presented, no potentially dilutive securities had an impact on diluted loss per share for any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shd w:fill="FFFFFF" w:val="clear"/>
        </w:rPr>
      </w:pPr>
      <w:bookmarkStart w:id="880" w:name="Tc_2gW-bikx50uH0vGwaC5iFw_7_7"/>
      <w:bookmarkStart w:id="881" w:name="Tc_Sgq1Bb_at0-8uDg48vbYDQ_7_0"/>
      <w:bookmarkStart w:id="882" w:name="Tc_Z0mDt-ZbhkSwtHolexP8OA_6_10"/>
      <w:bookmarkStart w:id="883" w:name="Tc_Hf1NaiOnYEWkm9JaDkVZbA_6_7"/>
      <w:bookmarkStart w:id="884" w:name="Tc_fvhQFWes3kinSqa0KxS2aw_6_4"/>
      <w:bookmarkStart w:id="885" w:name="Tc_g3ooSKcwP02vN3yCrjGmdA_6_0"/>
      <w:bookmarkStart w:id="886" w:name="Tc_gFWSlfl9KUaxOSkdyAoqhQ_5_10"/>
      <w:bookmarkStart w:id="887" w:name="Tc_nM_AB_K7p0u_x_cEhC8IpA_5_7"/>
      <w:bookmarkStart w:id="888" w:name="Tc_5xCkpwkzUUqwUkptQQbf9w_5_4"/>
      <w:bookmarkStart w:id="889" w:name="Tc_XrD6ttVm2k6pQqcdhAiv8Q_5_0"/>
      <w:bookmarkStart w:id="890" w:name="Tc_mdBWqG1WkU-oUJiSKBdcGw_4_11"/>
      <w:bookmarkStart w:id="891" w:name="Tc_e7Q3iri7rEerZL7k9FFlMA_4_7"/>
      <w:bookmarkStart w:id="892" w:name="Tc_OP71d7O7vESNvBkrm59VWw_4_4"/>
      <w:bookmarkStart w:id="893" w:name="Tc_0Gjksz9Bu0KrWTNvTtX7lw_4_2"/>
      <w:bookmarkStart w:id="894" w:name="Tc_MB4l3hNzhkKmf0k_IuRXBA_4_0"/>
      <w:bookmarkStart w:id="895" w:name="Tc_mWyxpFhdRUWQ4ByQ-eA3iA_3_11"/>
      <w:bookmarkStart w:id="896" w:name="Tc_kFZLVLUiFkus5pTR9GH18w_3_7"/>
      <w:bookmarkStart w:id="897" w:name="Tc_NUzsf09sZEqlbIW78nmZDQ_3_4"/>
      <w:bookmarkStart w:id="898" w:name="Tc_SFqllIA30UiERiQqDaNTdg_3_2"/>
      <w:bookmarkStart w:id="899" w:name="Tc_0-2nOAA5kUKFhbhoD2cUiA_2_11"/>
      <w:bookmarkStart w:id="900" w:name="Tc_JlQVwfU2Y0iwkv0cDK3omg_2_7"/>
      <w:bookmarkStart w:id="901" w:name="Tc_uX7t24fAIk2vwZ0p0ol9IA_2_4"/>
      <w:bookmarkStart w:id="902" w:name="Tc_v5UcoPqve0enaymYaJJh7w_2_2"/>
      <w:bookmarkStart w:id="903" w:name="Tc_bZUYyBdzw0W_9vSmGz0_og_1_11"/>
      <w:bookmarkStart w:id="904" w:name="_7e49239c_6c12_4e5f_9ef0_afd7ec790ea4"/>
      <w:bookmarkStart w:id="905" w:name="Tc_9r4G_f9cIUy6uKORtiBk3w_8_0"/>
      <w:bookmarkStart w:id="906" w:name="Tc_jh6yMlbMAkqs8k6jN1LfVg_7_0"/>
      <w:bookmarkStart w:id="907" w:name="Tc_YtM5Dhw7dk-TLfxuevCUlQ_6_0"/>
      <w:bookmarkStart w:id="908" w:name="Tc_wJD0jcpYDEma9yjW-NmbXA_5_0"/>
      <w:bookmarkStart w:id="909" w:name="Tc_d8_JWGrvMkeJtlpYqOfi9Q_4_6"/>
      <w:bookmarkStart w:id="910" w:name="Tc_GnPbTftSVUWaLL99GaP6iA_4_2"/>
      <w:bookmarkStart w:id="911" w:name="Tc_owDkrwhdokyeIics30_tpA_4_0"/>
      <w:bookmarkStart w:id="912" w:name="Tc_Crj6_z2HR0a4cQla7_FOFw_3_0"/>
      <w:bookmarkStart w:id="913" w:name="Tc_y9zH4HiaxEqAUk0fOvIYVA_2_8"/>
      <w:bookmarkStart w:id="914" w:name="Tc_4WKHMv6DJEO_Z_dPMIOZQA_2_6"/>
      <w:bookmarkStart w:id="915" w:name="Tc_VkTEQ--tVk-1G5WIkNQ_xw_2_4"/>
      <w:bookmarkStart w:id="916" w:name="Tc_CnM29cQHr0WSV7EHpZUh_g_2_2"/>
      <w:bookmarkStart w:id="917" w:name="Tc_90EXc2ZoRUSG-SveODalDg_1_6"/>
      <w:bookmarkStart w:id="918" w:name="Tc_e3qtPq-XNkGSBd0FIR4Oqg_1_2"/>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securities</w:t>
      </w:r>
      <w:r>
        <w:rPr>
          <w:rFonts w:ascii="Times New Roman;Times;serif" w:hAnsi="Times New Roman;Times;serif"/>
          <w:sz w:val="20"/>
        </w:rPr>
        <w:t xml:space="preserve"> w</w:t>
      </w:r>
      <w:r>
        <w:rPr>
          <w:rFonts w:ascii="Times New Roman;Times;serif" w:hAnsi="Times New Roman;Times;serif"/>
          <w:sz w:val="20"/>
          <w:shd w:fill="FFFFFF" w:val="clear"/>
        </w:rPr>
        <w:t>ere excluded from the computation of diluted net loss per share attributable to common stockholders for the periods presented because including them would have been anti-dilutive (on an as-converted basis)</w:t>
      </w:r>
      <w:r>
        <w:rPr>
          <w:rFonts w:ascii="Times New Roman;Times;serif" w:hAnsi="Times New Roman;Times;serif"/>
          <w:sz w:val="20"/>
        </w:rPr>
        <w:t>:</w:t>
      </w:r>
    </w:p>
    <w:p>
      <w:pPr>
        <w:pStyle w:val="TextBody"/>
        <w:bidi w:val="0"/>
        <w:spacing w:before="0" w:after="240"/>
        <w:ind w:left="0" w:right="0" w:firstLine="360"/>
        <w:jc w:val="both"/>
        <w:rPr/>
      </w:pPr>
      <w:r>
        <w:rPr/>
        <w:t>​</w:t>
      </w:r>
    </w:p>
    <w:tbl>
      <w:tblPr>
        <w:tblW w:w="7255" w:type="dxa"/>
        <w:jc w:val="left"/>
        <w:tblInd w:w="0" w:type="dxa"/>
        <w:tblLayout w:type="fixed"/>
        <w:tblCellMar>
          <w:top w:w="0" w:type="dxa"/>
          <w:left w:w="0" w:type="dxa"/>
          <w:bottom w:w="0" w:type="dxa"/>
          <w:right w:w="0" w:type="dxa"/>
        </w:tblCellMar>
      </w:tblPr>
      <w:tblGrid>
        <w:gridCol w:w="2161"/>
        <w:gridCol w:w="109"/>
        <w:gridCol w:w="1126"/>
        <w:gridCol w:w="109"/>
        <w:gridCol w:w="1126"/>
        <w:gridCol w:w="109"/>
        <w:gridCol w:w="1126"/>
        <w:gridCol w:w="109"/>
        <w:gridCol w:w="1126"/>
        <w:gridCol w:w="154"/>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72235" cy="175260"/>
                      <wp:effectExtent l="0" t="0" r="0" b="0"/>
                      <wp:wrapNone/>
                      <wp:docPr id="94" name="Frame9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715010" cy="175260"/>
                      <wp:effectExtent l="0" t="0" r="0" b="0"/>
                      <wp:wrapNone/>
                      <wp:docPr id="96" name="Frame9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15010" cy="175260"/>
                      <wp:effectExtent l="0" t="0" r="0" b="0"/>
                      <wp:wrapNone/>
                      <wp:docPr id="98" name="Frame9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715010" cy="175260"/>
                      <wp:effectExtent l="0" t="0" r="0" b="0"/>
                      <wp:wrapNone/>
                      <wp:docPr id="100" name="Frame9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15010" cy="175260"/>
                      <wp:effectExtent l="0" t="0" r="0" b="0"/>
                      <wp:wrapNone/>
                      <wp:docPr id="102" name="Frame10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7790" cy="175260"/>
                      <wp:effectExtent l="0" t="0" r="0" b="0"/>
                      <wp:wrapNone/>
                      <wp:docPr id="103" name="Frame10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6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51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09"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109"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54"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Unvested restricted stock</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172,513</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288,531</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172,513</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288,531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167,438</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144,105</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167,438</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144,105</w:t>
            </w:r>
          </w:p>
        </w:tc>
        <w:tc>
          <w:tcPr>
            <w:tcW w:w="154" w:type="dxa"/>
            <w:tcBorders/>
            <w:vAlign w:val="center"/>
          </w:tcPr>
          <w:p>
            <w:pPr>
              <w:pStyle w:val="TableContents"/>
              <w:bidi w:val="0"/>
              <w:spacing w:before="0" w:after="0"/>
              <w:ind w:left="0" w:right="0" w:hanging="0"/>
              <w:jc w:val="left"/>
              <w:rPr/>
            </w:pPr>
            <w:r>
              <w:rPr/>
              <w:t>​</w:t>
            </w:r>
          </w:p>
        </w:tc>
      </w:tr>
      <w:tr>
        <w:trPr/>
        <w:tc>
          <w:tcPr>
            <w:tcW w:w="216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ESPP shares</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16,060</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6,918</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16,060</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366,771</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450,923</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366,771</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450,923</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2024 Stock</w:t>
      </w:r>
      <w:r>
        <w:rPr>
          <w:rFonts w:ascii="Times New Roman;Times;serif" w:hAnsi="Times New Roman;Times;serif"/>
          <w:sz w:val="20"/>
        </w:rPr>
        <w:t xml:space="preserve"> </w:t>
      </w:r>
      <w:r>
        <w:rPr>
          <w:rFonts w:ascii="Times New Roman;Times;serif" w:hAnsi="Times New Roman;Times;serif"/>
          <w:b/>
          <w:i/>
          <w:sz w:val="20"/>
        </w:rPr>
        <w:t>Repurchase Program</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3, 2024, the Company's Board of Directors authorized a stock repurchase program to repurchase up to $2.5 million of our common stock (the “2024 Repurchase Program”). During the thirteen and twenty-six weeks ended June 29, 2025, we repurchased 73,333 shares and 89,471 shares of common stock, respectively, in open market transactions pursuant to a 10b5-1 purchase plan.</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29, 2025, $1.3 million remained available under the 2024 Repurchase Program authorization. </w:t>
      </w:r>
      <w:r>
        <w:rPr>
          <w:rFonts w:ascii="Times New Roman;Times;serif" w:hAnsi="Times New Roman;Times;serif"/>
          <w:sz w:val="20"/>
          <w:shd w:fill="FFFFFF" w:val="clear"/>
        </w:rPr>
        <w:t xml:space="preserve">The actual timing, number, and value of shares repurchased in the future will be determined by the Company in its discretion and will depend on a number of factors, </w:t>
      </w:r>
      <w:r>
        <w:rPr>
          <w:rFonts w:ascii="Times New Roman;Times;serif" w:hAnsi="Times New Roman;Times;serif"/>
          <w:sz w:val="20"/>
        </w:rPr>
        <w:t>including market conditions, applicable legal requirements, our capital needs, and whether there is a better alternative use of capital. The 2024 Stock Repurchase Program does not require us to purchase a minimum number of shares, and may be suspended, modified or discontinued at any time without prior notice.</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summarizes the share repurchase activity during the thirteen and twenty-six weeks ended June 29, 2025 under our 2024 Repurchase Program (as defined below):</w:t>
      </w:r>
    </w:p>
    <w:p>
      <w:pPr>
        <w:pStyle w:val="TextBody"/>
        <w:bidi w:val="0"/>
        <w:spacing w:before="0" w:after="0"/>
        <w:ind w:left="0" w:right="0" w:hanging="0"/>
        <w:jc w:val="left"/>
        <w:rPr/>
      </w:pPr>
      <w:r>
        <w:rPr/>
        <w:t>​</w:t>
      </w:r>
    </w:p>
    <w:tbl>
      <w:tblPr>
        <w:tblW w:w="9562" w:type="dxa"/>
        <w:jc w:val="left"/>
        <w:tblInd w:w="0" w:type="dxa"/>
        <w:tblLayout w:type="fixed"/>
        <w:tblCellMar>
          <w:top w:w="0" w:type="dxa"/>
          <w:left w:w="0" w:type="dxa"/>
          <w:bottom w:w="0" w:type="dxa"/>
          <w:right w:w="0" w:type="dxa"/>
        </w:tblCellMar>
      </w:tblPr>
      <w:tblGrid>
        <w:gridCol w:w="3301"/>
        <w:gridCol w:w="326"/>
        <w:gridCol w:w="1126"/>
        <w:gridCol w:w="326"/>
        <w:gridCol w:w="322"/>
        <w:gridCol w:w="879"/>
        <w:gridCol w:w="109"/>
        <w:gridCol w:w="211"/>
        <w:gridCol w:w="781"/>
        <w:gridCol w:w="109"/>
        <w:gridCol w:w="211"/>
        <w:gridCol w:w="186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96135" cy="175260"/>
                      <wp:effectExtent l="0" t="0" r="0" b="0"/>
                      <wp:wrapNone/>
                      <wp:docPr id="104" name="Frame10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15010" cy="175260"/>
                      <wp:effectExtent l="0" t="0" r="0" b="0"/>
                      <wp:wrapNone/>
                      <wp:docPr id="106" name="Frame105"/>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4470" cy="175260"/>
                      <wp:effectExtent l="0" t="0" r="0" b="0"/>
                      <wp:wrapNone/>
                      <wp:docPr id="108" name="Frame10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58165" cy="175260"/>
                      <wp:effectExtent l="0" t="0" r="0" b="0"/>
                      <wp:wrapNone/>
                      <wp:docPr id="109" name="Frame108"/>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95935" cy="175260"/>
                      <wp:effectExtent l="0" t="0" r="0" b="0"/>
                      <wp:wrapNone/>
                      <wp:docPr id="112"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181735" cy="175260"/>
                      <wp:effectExtent l="0" t="0" r="0" b="0"/>
                      <wp:wrapNone/>
                      <wp:docPr id="115" name="Frame11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8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Thirteen weeks ended March 30,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16,138</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14.82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239,120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1,765,142</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Thirteen weeks ended June 29, 2025</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73,333</w:t>
            </w:r>
          </w:p>
        </w:tc>
        <w:tc>
          <w:tcPr>
            <w:tcW w:w="326"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503,377</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1,261,765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Twenty-six weeks ended June 29,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89,471</w:t>
            </w:r>
          </w:p>
        </w:tc>
        <w:tc>
          <w:tcPr>
            <w:tcW w:w="32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87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742,497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86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The shares of common stock were purchased in open market transactions pursuant to a 10b5-1 purchase plan entered into by the Company</w:t>
            </w:r>
            <w:r>
              <w:rPr>
                <w:rFonts w:ascii="Times New Roman;Times;serif" w:hAnsi="Times New Roman;Times;serif"/>
                <w:b w:val="false"/>
                <w:i w:val="false"/>
                <w:caps w:val="false"/>
                <w:smallCaps w:val="false"/>
                <w:sz w:val="20"/>
              </w:rPr>
              <w:t>.</w:t>
            </w:r>
          </w:p>
        </w:tc>
      </w:tr>
    </w:tbl>
    <w:p>
      <w:pPr>
        <w:pStyle w:val="TextBody"/>
        <w:bidi w:val="0"/>
        <w:spacing w:before="0" w:after="0"/>
        <w:ind w:left="720" w:right="0" w:hanging="0"/>
        <w:jc w:val="left"/>
        <w:rPr/>
      </w:pPr>
      <w:r>
        <w:rPr/>
        <w:t>​</w:t>
      </w:r>
    </w:p>
    <w:tbl>
      <w:tblPr>
        <w:tblW w:w="3711" w:type="dxa"/>
        <w:jc w:val="left"/>
        <w:tblInd w:w="0" w:type="dxa"/>
        <w:tblLayout w:type="fixed"/>
        <w:tblCellMar>
          <w:top w:w="28" w:type="dxa"/>
          <w:left w:w="28" w:type="dxa"/>
          <w:bottom w:w="28" w:type="dxa"/>
          <w:right w:w="28" w:type="dxa"/>
        </w:tblCellMar>
      </w:tblPr>
      <w:tblGrid>
        <w:gridCol w:w="124"/>
        <w:gridCol w:w="331"/>
        <w:gridCol w:w="32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includes broker commissions.</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Goodwill, Tradename and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macroeconomic conditions, industry, competitive environment conditions, overall financial performance, reporting unit specific events and market considerations, among others, for events which could trigger the need for an interim impairment analysis.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performed a qualitative assessment of its goodwill, tradename and intangible assets as of June 29, 2025 and determined that it is more likely than not that the fair value of its reporting unit exceeds the carrying value of the reporting unit. As a result, there was no impairment related to the goodwill, tradename, and intangible assets recorded during the thirteen and twenty-six weeks ended June 29,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11, 2025, the Company’s Board of Directors approved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presented herein have been retroactively adjusted to reflect this Reverse Stock Split, as applicable. The Reverse Stock Split was effective for purposes of trading on the Nasdaq Capital Market as of the opening of business on July 7, 2025.</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FASB issued ASU 2023-09, </w:t>
      </w:r>
      <w:r>
        <w:rPr>
          <w:rFonts w:ascii="Times New Roman;Times;serif" w:hAnsi="Times New Roman;Times;serif"/>
          <w:i/>
          <w:sz w:val="20"/>
        </w:rPr>
        <w:t>Income Taxes (Topic 740): Improvements to Income Tax Disclosures, </w:t>
      </w:r>
      <w:r>
        <w:rPr>
          <w:rFonts w:ascii="Times New Roman;Times;serif" w:hAnsi="Times New Roman;Times;serif"/>
          <w:sz w:val="20"/>
        </w:rPr>
        <w:t>which amends existing income tax disclosure guidance, primarily requiring more detailed disclosure for income taxes paid and the effective tax rate reconciliation. ASU 2023-09 is effective for annual reporting periods beginning after December 15, 2024, with early adoption permitted and can be applied on either a prospective or retroactive basis. We are currently evaluating this pronouncement to determine its impact on our income tax disclosures.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2024-01, </w:t>
      </w:r>
      <w:r>
        <w:rPr>
          <w:rFonts w:ascii="Times New Roman;Times;serif" w:hAnsi="Times New Roman;Times;serif"/>
          <w:i/>
          <w:sz w:val="20"/>
        </w:rPr>
        <w:t>Compensation—Stock Compensation (Topic 718): Scope Application of Profits Interest and Similar Awards, </w:t>
      </w:r>
      <w:r>
        <w:rPr>
          <w:rFonts w:ascii="Times New Roman;Times;serif" w:hAnsi="Times New Roman;Times;serif"/>
          <w:sz w:val="20"/>
        </w:rPr>
        <w:t>which is intended to reduce complexity in determining whether a profits interest award is subject to the guidance in Topic 718 and existing diversity in practice. ASU 2024-01 is effective for annual reporting periods beginning after December 15, 2024, with early adoption permitted and can be applied on either a prospective or retroactive basis. We are currently evaluating this pronouncement to determine its impact on our equity-based compensation expense.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2024, FASB issued ASU 2024-02, </w:t>
      </w:r>
      <w:r>
        <w:rPr>
          <w:rFonts w:ascii="Times New Roman;Times;serif" w:hAnsi="Times New Roman;Times;serif"/>
          <w:i/>
          <w:sz w:val="20"/>
        </w:rPr>
        <w:t>Codification Improvements—Amendments to Remove References to the Concepts Statements, </w:t>
      </w:r>
      <w:r>
        <w:rPr>
          <w:rFonts w:ascii="Times New Roman;Times;serif" w:hAnsi="Times New Roman;Times;serif"/>
          <w:sz w:val="20"/>
        </w:rPr>
        <w:t xml:space="preserve">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We are currently evaluating this pronouncement to determine its impact on our </w:t>
      </w:r>
      <w:r>
        <w:rPr>
          <w:rFonts w:ascii="Times New Roman;Times;serif" w:hAnsi="Times New Roman;Times;serif"/>
          <w:color w:val="212529"/>
          <w:sz w:val="20"/>
        </w:rPr>
        <w:t>condensed consolidated financial statements and related disclosures</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In November 2024, the FASB issued ASU 2024-03, </w:t>
      </w:r>
      <w:r>
        <w:rPr>
          <w:rFonts w:ascii="Times New Roman;Times;serif" w:hAnsi="Times New Roman;Times;serif"/>
          <w:i/>
          <w:color w:val="212529"/>
          <w:sz w:val="20"/>
        </w:rPr>
        <w:t>Income Statement—Reporting Comprehensive Income—Expense Disaggregation Disclosures (Subtopic 220-40)</w:t>
      </w:r>
      <w:r>
        <w:rPr>
          <w:rFonts w:ascii="Times New Roman;Times;serif" w:hAnsi="Times New Roman;Times;serif"/>
          <w:color w:val="212529"/>
          <w:sz w:val="20"/>
        </w:rPr>
        <w:t>, and in January 2025, the FASB issued ASU No. 2025-01, Income Statement—Reporting Comprehensive Income—Expense Disaggregation Disclosures (</w:t>
      </w:r>
      <w:r>
        <w:rPr>
          <w:rFonts w:ascii="Times New Roman;Times;serif" w:hAnsi="Times New Roman;Times;serif"/>
          <w:i/>
          <w:color w:val="212529"/>
          <w:sz w:val="20"/>
        </w:rPr>
        <w:t>Subtopic 220-40</w:t>
      </w:r>
      <w:r>
        <w:rPr>
          <w:rFonts w:ascii="Times New Roman;Times;serif" w:hAnsi="Times New Roman;Times;serif"/>
          <w:color w:val="212529"/>
          <w:sz w:val="20"/>
        </w:rPr>
        <w:t xml:space="preserve">): Clarifying the Effective Date, which clarified the effective date of ASU 2024-03. ASU 2024-03 </w:t>
      </w:r>
      <w:r>
        <w:rPr>
          <w:rFonts w:ascii="Times New Roman;Times;serif" w:hAnsi="Times New Roman;Times;serif"/>
          <w:sz w:val="20"/>
        </w:rPr>
        <w:t xml:space="preserve">is intended to disclose specific information about certain costs and expenses in the notes to its financial statements for interim and annual reporting periods. ASU 2024-03 is effective for annual reporting periods beginning after December 15, 2026, and interim periods within annual reporting periods beginning after December 15, 2027. Early adoption of ASU 2024-03 is permitted. </w:t>
      </w:r>
      <w:r>
        <w:rPr>
          <w:rFonts w:ascii="Times New Roman;Times;serif" w:hAnsi="Times New Roman;Times;serif"/>
          <w:color w:val="212529"/>
          <w:sz w:val="20"/>
        </w:rPr>
        <w:t xml:space="preserve">We are currently evaluating this pronouncement to determine its impact on our condensed consolidated financial statements and related disclosures.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In November 2024, FASB issued ASU 2024-04, </w:t>
      </w:r>
      <w:r>
        <w:rPr>
          <w:rFonts w:ascii="Times New Roman;Times;serif" w:hAnsi="Times New Roman;Times;serif"/>
          <w:i/>
          <w:color w:val="212529"/>
          <w:sz w:val="20"/>
        </w:rPr>
        <w:t>Debt—Debt with Conversion and Other Options (Subtopic 470-20): Induced Conversions of Convertible Debt Instruments</w:t>
      </w:r>
      <w:r>
        <w:rPr>
          <w:rFonts w:ascii="Times New Roman;Times;serif" w:hAnsi="Times New Roman;Times;serif"/>
          <w:color w:val="212529"/>
          <w:sz w:val="20"/>
        </w:rPr>
        <w:t xml:space="preserve">, which amends ASC 470-20 to clarify the requirements related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color w:val="212529"/>
          <w:sz w:val="20"/>
        </w:rPr>
      </w:pPr>
      <w:r>
        <w:rPr>
          <w:rFonts w:ascii="Times New Roman;Times;serif" w:hAnsi="Times New Roman;Times;serif"/>
          <w:color w:val="212529"/>
          <w:sz w:val="20"/>
        </w:rPr>
        <w:t>accounting for the settlement of a debt instrument as an induced conversion. ASU 2024-04 is effective for annual reporting periods beginning after December 15, 2025 (and interim reporting periods within those annual reporting periods). Early adoption is permitted as of the beginning of a reporting period if the entity has also adopted ASU 2020-06 for that period. We are currently evaluating this pronouncement to determine its impact on our financial statements and related disclosures.</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In July 2025, FASB issued ASU 2025-05, </w:t>
      </w:r>
      <w:r>
        <w:rPr>
          <w:rFonts w:ascii="Times New Roman;Times;serif" w:hAnsi="Times New Roman;Times;serif"/>
          <w:i/>
          <w:color w:val="212529"/>
          <w:sz w:val="20"/>
        </w:rPr>
        <w:t>Financial Instruments—Credit Losses (Topic 326): Measurement of Credit Losses for Accounts Receivable and Contract Assets</w:t>
      </w:r>
      <w:r>
        <w:rPr>
          <w:rFonts w:ascii="Times New Roman;Times;serif" w:hAnsi="Times New Roman;Times;serif"/>
          <w:color w:val="212529"/>
          <w:sz w:val="20"/>
        </w:rPr>
        <w:t>, which provides all entities with practical expedient of developing reasonable and supportable forecasts as part of estimating expected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measures its cash and cash equivalents, accounts payable, accounts receivable, accrued expenses, and revolving line of credit at fair value. As of June 29, 2025 and</w:t>
      </w:r>
      <w:r>
        <w:rPr>
          <w:rFonts w:ascii="Times New Roman;Times;serif" w:hAnsi="Times New Roman;Times;serif"/>
          <w:sz w:val="20"/>
        </w:rPr>
        <w:t xml:space="preserve"> December 29, 2024</w:t>
      </w:r>
      <w:r>
        <w:rPr>
          <w:rFonts w:ascii="Times New Roman;Times;serif" w:hAnsi="Times New Roman;Times;serif"/>
          <w:sz w:val="20"/>
          <w:shd w:fill="FFFFFF" w:val="clear"/>
        </w:rPr>
        <w:t>, the carrying values of cash and cash equivalents, accounts payable, and accrued expenses and other current liabilities approximated their fair value, due to their short-term maturities. As of June 29, 2025</w:t>
      </w:r>
      <w:r>
        <w:rPr>
          <w:rFonts w:ascii="Times New Roman;Times;serif" w:hAnsi="Times New Roman;Times;serif"/>
          <w:sz w:val="20"/>
        </w:rPr>
        <w:t>, t</w:t>
      </w:r>
      <w:r>
        <w:rPr>
          <w:rFonts w:ascii="Times New Roman;Times;serif" w:hAnsi="Times New Roman;Times;serif"/>
          <w:sz w:val="20"/>
          <w:shd w:fill="FFFFFF" w:val="clear"/>
        </w:rPr>
        <w:t>he fair value of the Company’s revolving line of credit approximated its carrying value as the stated interest rates reset daily at the daily secured overnight financing rate (“SOFR”) plus an applicable margin and, as such, approximated market rates currently available to the Company. See Note 5, </w:t>
      </w:r>
      <w:r>
        <w:rPr>
          <w:rFonts w:ascii="Times New Roman;Times;serif" w:hAnsi="Times New Roman;Times;serif"/>
          <w:i/>
          <w:sz w:val="20"/>
          <w:shd w:fill="FFFFFF" w:val="clear"/>
        </w:rPr>
        <w:t>Debt</w:t>
      </w:r>
      <w:r>
        <w:rPr>
          <w:rFonts w:ascii="Times New Roman;Times;serif" w:hAnsi="Times New Roman;Times;serif"/>
          <w:sz w:val="20"/>
        </w:rPr>
        <w:t xml:space="preserve"> in the accompanying Notes to the Condensed Consolidated Financial Statements</w:t>
      </w:r>
      <w:r>
        <w:rPr>
          <w:rFonts w:ascii="Times New Roman;Times;serif" w:hAnsi="Times New Roman;Times;serif"/>
          <w:sz w:val="20"/>
          <w:shd w:fill="FFFFFF" w:val="clear"/>
        </w:rPr>
        <w:t xml:space="preserve"> for more details. The Company classifies these investments within Level 1 of the fair value hierarchy because inputs are unadjusted and based on quoted prices in active markets.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Goodwill, tradename, and intangible assets are measured at fair value on a non-recurring basis. </w:t>
      </w:r>
      <w:r>
        <w:rPr>
          <w:rFonts w:ascii="Times New Roman;Times;serif" w:hAnsi="Times New Roman;Times;serif"/>
          <w:sz w:val="20"/>
        </w:rPr>
        <w:t xml:space="preserve">The Company performed a qualitative assessment of its goodwill, tradename and intangible assets as of June 29, 2025 and determined that it is more likely than not that the fair value of its reporting unit exceeds the carrying value of the reporting unit </w:t>
      </w:r>
      <w:r>
        <w:rPr>
          <w:rFonts w:ascii="Times New Roman;Times;serif" w:hAnsi="Times New Roman;Times;serif"/>
          <w:sz w:val="20"/>
          <w:shd w:fill="FFFFFF" w:val="clear"/>
        </w:rPr>
        <w:t xml:space="preserve">and that no </w:t>
      </w:r>
      <w:r>
        <w:rPr>
          <w:rFonts w:ascii="Times New Roman;Times;serif" w:hAnsi="Times New Roman;Times;serif"/>
          <w:color w:val="212529"/>
          <w:sz w:val="20"/>
          <w:shd w:fill="FFFFFF" w:val="clear"/>
        </w:rPr>
        <w:t xml:space="preserve">impairment related to the goodwill, tradename and intangible assets existed.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color w:val="212529"/>
          <w:sz w:val="20"/>
        </w:rPr>
        <w:t xml:space="preserve">he Company does not have any financial instruments that were determined to be Level 3. There were no </w:t>
      </w:r>
      <w:r>
        <w:rPr>
          <w:rFonts w:ascii="Times New Roman;Times;serif" w:hAnsi="Times New Roman;Times;serif"/>
          <w:b w:val="false"/>
          <w:i w:val="false"/>
          <w:caps w:val="false"/>
          <w:smallCaps w:val="false"/>
          <w:color w:val="212529"/>
          <w:sz w:val="20"/>
        </w:rPr>
        <w:t>transfers</w:t>
      </w:r>
      <w:r>
        <w:rPr>
          <w:rFonts w:ascii="Times New Roman;Times;serif" w:hAnsi="Times New Roman;Times;serif"/>
          <w:color w:val="212529"/>
          <w:sz w:val="20"/>
        </w:rPr>
        <w:t xml:space="preserve"> in or </w:t>
      </w:r>
      <w:r>
        <w:rPr>
          <w:rFonts w:ascii="Times New Roman;Times;serif" w:hAnsi="Times New Roman;Times;serif"/>
          <w:b w:val="false"/>
          <w:i w:val="false"/>
          <w:caps w:val="false"/>
          <w:smallCaps w:val="false"/>
          <w:color w:val="212529"/>
          <w:sz w:val="20"/>
        </w:rPr>
        <w:t>out</w:t>
      </w:r>
      <w:r>
        <w:rPr>
          <w:rFonts w:ascii="Times New Roman;Times;serif" w:hAnsi="Times New Roman;Times;serif"/>
          <w:color w:val="212529"/>
          <w:sz w:val="20"/>
        </w:rPr>
        <w:t xml:space="preserve"> of </w:t>
      </w:r>
      <w:r>
        <w:rPr>
          <w:rFonts w:ascii="Times New Roman;Times;serif" w:hAnsi="Times New Roman;Times;serif"/>
          <w:b w:val="false"/>
          <w:i w:val="false"/>
          <w:caps w:val="false"/>
          <w:smallCaps w:val="false"/>
          <w:color w:val="212529"/>
          <w:sz w:val="20"/>
        </w:rPr>
        <w:t>Level</w:t>
      </w:r>
      <w:r>
        <w:rPr>
          <w:rFonts w:ascii="Times New Roman;Times;serif" w:hAnsi="Times New Roman;Times;serif"/>
          <w:color w:val="212529"/>
          <w:sz w:val="20"/>
        </w:rPr>
        <w:t xml:space="preserve"> 1, </w:t>
      </w:r>
      <w:r>
        <w:rPr>
          <w:rFonts w:ascii="Times New Roman;Times;serif" w:hAnsi="Times New Roman;Times;serif"/>
          <w:b w:val="false"/>
          <w:i w:val="false"/>
          <w:caps w:val="false"/>
          <w:smallCaps w:val="false"/>
          <w:color w:val="212529"/>
          <w:sz w:val="20"/>
        </w:rPr>
        <w:t>Level</w:t>
      </w:r>
      <w:r>
        <w:rPr>
          <w:rFonts w:ascii="Times New Roman;Times;serif" w:hAnsi="Times New Roman;Times;serif"/>
          <w:color w:val="212529"/>
          <w:sz w:val="20"/>
        </w:rPr>
        <w:t xml:space="preserve"> 2, or </w:t>
      </w:r>
      <w:r>
        <w:rPr>
          <w:rFonts w:ascii="Times New Roman;Times;serif" w:hAnsi="Times New Roman;Times;serif"/>
          <w:b w:val="false"/>
          <w:i w:val="false"/>
          <w:caps w:val="false"/>
          <w:smallCaps w:val="false"/>
          <w:color w:val="212529"/>
          <w:sz w:val="20"/>
        </w:rPr>
        <w:t>Level</w:t>
      </w:r>
      <w:r>
        <w:rPr>
          <w:rFonts w:ascii="Times New Roman;Times;serif" w:hAnsi="Times New Roman;Times;serif"/>
          <w:color w:val="212529"/>
          <w:sz w:val="20"/>
        </w:rPr>
        <w:t xml:space="preserve"> 3 assets or liabilities.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9" w:name="Tc_ZjjyGnJWi0-NFYue9nwo_Q_8_7"/>
      <w:bookmarkStart w:id="920" w:name="Tc_kP6mCUqP2EeLjHdBcvYEqg_8_4"/>
      <w:bookmarkStart w:id="921" w:name="Tc_rwM2Y9GDS02inHuzKpM69Q_8_0"/>
      <w:bookmarkStart w:id="922" w:name="Tc_Q_LqPK3pqE-gT98FFPAFtw_7_0"/>
      <w:bookmarkStart w:id="923" w:name="Tc_NphfcEQn4kqHfXm2KZq_lw_6_0"/>
      <w:bookmarkStart w:id="924" w:name="Tc_Tvi_NCr16kqm22NKh6dQug_5_2"/>
      <w:bookmarkStart w:id="925" w:name="Tc_AaYMH_jor0KzRbVGnRZdFQ_5_0"/>
      <w:bookmarkStart w:id="926" w:name="Tc_YQhfJo1fk0i20vf5jcNIDA_4_2"/>
      <w:bookmarkStart w:id="927" w:name="Tc_CoSCSfMts0K4VZBJBED6wA_4_0"/>
      <w:bookmarkStart w:id="928" w:name="Tc_A4zuk7VdrkebVEgrWYO33w_3_7"/>
      <w:bookmarkStart w:id="929" w:name="Tc_fiw7GTwtt0eekDuSpzFHQw_3_4"/>
      <w:bookmarkStart w:id="930" w:name="Tc_EoJEn5IzbEGDewKAhHfTng_3_2"/>
      <w:bookmarkStart w:id="931" w:name="Tc_txZfcPzyDEGKpRUdBe2NXQ_3_0"/>
      <w:bookmarkStart w:id="932" w:name="Tc_-9Ielh1yIEmzZQ-kk34GkQ_2_7"/>
      <w:bookmarkStart w:id="933" w:name="Tc_t3q8J0yt5kCb7yKGE26ahQ_2_4"/>
      <w:bookmarkStart w:id="934" w:name="Tc_P-04nneNik-K20hRMkgpIA_2_2"/>
      <w:bookmarkStart w:id="935" w:name="Tc_FG8rUpd4_km0FFM8b6twGw_1_7"/>
      <w:bookmarkStart w:id="936" w:name="Tc_RcMsgPt1OkiK_spKiNc9Fw_1_4"/>
      <w:bookmarkStart w:id="937" w:name="Tc_Rxu88jQQjkWv2h_hYisJIA_1_2"/>
      <w:bookmarkStart w:id="938" w:name="_4783ab0d_9cbd_42c1_a325_d295bf15ac19"/>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872" w:type="dxa"/>
        <w:jc w:val="left"/>
        <w:tblInd w:w="0" w:type="dxa"/>
        <w:tblLayout w:type="fixed"/>
        <w:tblCellMar>
          <w:top w:w="0" w:type="dxa"/>
          <w:left w:w="0" w:type="dxa"/>
          <w:bottom w:w="0" w:type="dxa"/>
          <w:right w:w="0" w:type="dxa"/>
        </w:tblCellMar>
      </w:tblPr>
      <w:tblGrid>
        <w:gridCol w:w="4111"/>
        <w:gridCol w:w="326"/>
        <w:gridCol w:w="1741"/>
        <w:gridCol w:w="326"/>
        <w:gridCol w:w="211"/>
        <w:gridCol w:w="691"/>
        <w:gridCol w:w="326"/>
        <w:gridCol w:w="254"/>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10485" cy="175260"/>
                      <wp:effectExtent l="0" t="0" r="0" b="0"/>
                      <wp:wrapNone/>
                      <wp:docPr id="116" name="Frame115"/>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105535" cy="175260"/>
                      <wp:effectExtent l="0" t="0" r="0" b="0"/>
                      <wp:wrapNone/>
                      <wp:docPr id="118" name="Frame11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1" name="Frame1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1290" cy="175260"/>
                      <wp:effectExtent l="0" t="0" r="0" b="0"/>
                      <wp:wrapNone/>
                      <wp:docPr id="123" name="Frame12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62610" cy="175260"/>
                      <wp:effectExtent l="0" t="0" r="0" b="0"/>
                      <wp:wrapNone/>
                      <wp:docPr id="124" name="Frame1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5,011</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 – 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1,738</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8,869</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10,508</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(6,866)</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3,642</w:t>
            </w:r>
          </w:p>
        </w:tc>
      </w:tr>
    </w:tbl>
    <w:p>
      <w:pPr>
        <w:pStyle w:val="TextBody"/>
        <w:bidi w:val="0"/>
        <w:spacing w:before="0" w:after="0"/>
        <w:ind w:left="0" w:right="0" w:hanging="0"/>
        <w:jc w:val="left"/>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of property and equipment was $0.8 million for each of the thirteen weeks ended June 29, 2025 and June 30, 2024, and $1.6 million for each of the twenty-six weeks ended June 29, 2025 and June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939" w:name="Tc_n_Ypw5JTG0SbUEVSyGx61w_8_5"/>
      <w:bookmarkStart w:id="940" w:name="Tc_lMEJEeipWEqt-lIQmubaCQ_8_2"/>
      <w:bookmarkStart w:id="941" w:name="Tc_pSjAnkHsxUCZ9o3-6a3Ygw_8_0"/>
      <w:bookmarkStart w:id="942" w:name="Tc_bhgDykj9y0WlY8yNEJqYSA_7_0"/>
      <w:bookmarkStart w:id="943" w:name="Tc_HfPIsd2kYk6s30QFcdN4Sg_6_0"/>
      <w:bookmarkStart w:id="944" w:name="Tc_1FGH4L-KpUSMHlzgbNJQZw_5_0"/>
      <w:bookmarkStart w:id="945" w:name="Tc_mYLNSZrXOkST319DX31erw_4_0"/>
      <w:bookmarkStart w:id="946" w:name="Tc_rvw2JL_pbkqA-1lrN2u3dw_3_5"/>
      <w:bookmarkStart w:id="947" w:name="Tc_gBKX0mff7EuzD2oEb1d9yQ_3_2"/>
      <w:bookmarkStart w:id="948" w:name="Tc_69xcd7ndjkG4KbUKpxl4iA_3_0"/>
      <w:bookmarkStart w:id="949" w:name="Tc_pKka5r_prUu3Qadvirg9_A_2_5"/>
      <w:bookmarkStart w:id="950" w:name="Tc_hecqNovEf0akfLjpEqG4qw_2_2"/>
      <w:bookmarkStart w:id="951" w:name="Tc_48pSsBlgPkGobCmpedg9Wg_1_5"/>
      <w:bookmarkStart w:id="952" w:name="Tc_pCZMRRwk0kymid6lzOOjDA_1_2"/>
      <w:bookmarkStart w:id="953" w:name="_460b0449_a0d3_4593_8467_82a82ef1c094"/>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288" w:type="dxa"/>
        <w:jc w:val="left"/>
        <w:tblInd w:w="0" w:type="dxa"/>
        <w:tblLayout w:type="fixed"/>
        <w:tblCellMar>
          <w:top w:w="0" w:type="dxa"/>
          <w:left w:w="0" w:type="dxa"/>
          <w:bottom w:w="0" w:type="dxa"/>
          <w:right w:w="0" w:type="dxa"/>
        </w:tblCellMar>
      </w:tblPr>
      <w:tblGrid>
        <w:gridCol w:w="3826"/>
        <w:gridCol w:w="326"/>
        <w:gridCol w:w="211"/>
        <w:gridCol w:w="676"/>
        <w:gridCol w:w="109"/>
        <w:gridCol w:w="242"/>
        <w:gridCol w:w="898"/>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29510" cy="175260"/>
                      <wp:effectExtent l="0" t="0" r="0" b="0"/>
                      <wp:wrapNone/>
                      <wp:docPr id="125" name="Frame12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8"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3670" cy="175260"/>
                      <wp:effectExtent l="0" t="0" r="0" b="0"/>
                      <wp:wrapNone/>
                      <wp:docPr id="130" name="Frame12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70230" cy="175260"/>
                      <wp:effectExtent l="0" t="0" r="0" b="0"/>
                      <wp:wrapNone/>
                      <wp:docPr id="131" name="Frame13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29,</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5,707</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9,016</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27,717</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954" w:name="_Hlk197524812"/>
      <w:bookmarkEnd w:id="954"/>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shd w:fill="FFFFFF" w:val="clear"/>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15, 2021, the Company entered into the 2021 Credit Agreement with Bank of America (the “lender”) </w:t>
      </w:r>
      <w:r>
        <w:rPr>
          <w:rFonts w:ascii="Times New Roman;Times;serif" w:hAnsi="Times New Roman;Times;serif"/>
          <w:color w:val="212529"/>
          <w:sz w:val="20"/>
          <w:shd w:fill="FFFFFF" w:val="clear"/>
        </w:rPr>
        <w:t xml:space="preserve">to provide a revolving facility </w:t>
      </w:r>
      <w:r>
        <w:rPr>
          <w:rFonts w:ascii="Times New Roman;Times;serif" w:hAnsi="Times New Roman;Times;serif"/>
          <w:sz w:val="20"/>
        </w:rPr>
        <w:t xml:space="preserve">that provided for borrowings up to $50.0 million with a maturity date of November 15, 2024. </w:t>
      </w:r>
      <w:r>
        <w:rPr>
          <w:rFonts w:ascii="Times New Roman;Times;serif" w:hAnsi="Times New Roman;Times;serif"/>
          <w:sz w:val="20"/>
          <w:shd w:fill="FFFFFF" w:val="clear"/>
        </w:rPr>
        <w:t>All borrowings under the 2021 Credit Agreement accrued interest at a rate equal to, at the Company’s option, either (x) the term daily SOFR plus the applicable SOFR adjustment plus a margin of 1.75% per annum or (y) the base rate plus a margin of 0.75% (with the base rate being the highest of the federal funds rate plus 0.50%, the prime rate and term SOFR for a period of one month plus 1.00%).</w:t>
      </w:r>
      <w:r>
        <w:rPr>
          <w:rFonts w:ascii="Times New Roman;Times;serif" w:hAnsi="Times New Roman;Times;serif"/>
          <w:sz w:val="20"/>
        </w:rPr>
        <w:t xml:space="preserve">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July 22, 2024, the Company entered into an amendment to the 2021 Credit Agreement (the “First Credit Amendment”) which extended the maturity date from November 15, 2024, to August 15, 2025, and reduced the revolving facility from $50.0 million to $15.0 million, with a further reduction to $10.0 million on or about March 31, 2025. Under the First Credit Amendment, the Company could increase the aggregate amount of the facility by $10.0 million, subject to the satisfaction of certain conditions, including an asset coverage ratio of at least 1.50:1.00, recalculated as of the last day of the most recently ended month for which financial statements are internally available. The First Credit Amendment also reduced the previous letters of credit sublimit from $7.5 million to $5.0 million. </w:t>
      </w:r>
    </w:p>
    <w:p>
      <w:pPr>
        <w:pStyle w:val="TextBody"/>
        <w:bidi w:val="0"/>
        <w:spacing w:before="0" w:after="0"/>
        <w:ind w:left="0" w:right="0" w:firstLine="360"/>
        <w:jc w:val="both"/>
        <w:rPr>
          <w:color w:val="212529"/>
          <w:shd w:fill="FFFFFF" w:val="clear"/>
        </w:rPr>
      </w:pPr>
      <w:r>
        <w:rPr>
          <w:color w:val="212529"/>
          <w:shd w:fill="FFFFFF" w:val="clear"/>
        </w:rPr>
        <w:t>​</w:t>
      </w:r>
    </w:p>
    <w:p>
      <w:pPr>
        <w:pStyle w:val="TextBody"/>
        <w:bidi w:val="0"/>
        <w:spacing w:before="0" w:after="24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First Credit Amendment revised the applicable interest rates for borrowings for the period commencing on July 22, 2024, through (but excluding) November 15, 2024, as follows: at the Company’s option, the base rate plus 1.25% (increased from 0.75%) or Term SOFR (subject to a credit spread adjustment of 10 basis points) plus 2.25% (increased from 1.75%). Additionally, the First Credit Amendment reduced the SOFR credit spread adjustment to 0.10%, which previously ranged from 0.11448% to 0.71513% depending on the SOFR tenor. The previous Commitment Fee of 37.5 basis points to be assessed on unused commitments, including the sum of outstanding borrowings and letter of credit obligations, remained unchanged under the First Credit Amendment. The First Credit Amendment retained the previous maximum total leverage ratio covenant of 2.00:1.00 and added a financial covenant that requires a fixed charge coverage ratio as of the end of any period of four consecutive quarters, commencing June 30, 2024, to be less than 1.15:1.00.</w:t>
      </w:r>
    </w:p>
    <w:p>
      <w:pPr>
        <w:pStyle w:val="TextBody"/>
        <w:bidi w:val="0"/>
        <w:spacing w:before="0" w:after="24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On November 12, 2024, the Company entered into a second amendment to the 2021 Credit Agreement (the “Second Credit Amendment”) that extended the Company's reporting deadline for its financial statements and covenant compliance certificate for the third quarter 2024 to December 16, 2024, and required us to test the financial covenants no later than December 16, 2024. It also required that the consolidated total leverage ratio and consolidated fixed charge coverage ratio financial covenants for the third quarter 2024 be tested on the earlier of the date the Company delivers the financial statements and compliance certificate for the third quarter of 2024 or December 16, 2024. The Second Credit Amendment provided that the failure to deliver the financial statements and compliance certificate for the third quarter 2024 within the original time period required by the First Credit Amendment would not constitute an event of default.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pBdr/>
        <w:bidi w:val="0"/>
        <w:spacing w:before="0" w:after="0"/>
        <w:ind w:left="0" w:right="0" w:firstLine="360"/>
        <w:jc w:val="both"/>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The Second Credit Amendment prohibited the Company from requesting any additional borrowing or letter of credit extension until the financial statements and the compliance certificate for the third quarter of 2024 had been delivered. The Second Credit Amendment also revised the applicable interest rates for borrowings for the period commencing on November 12, 2024 as follows: at the Company’s option, the base rate plus 2.75% (increased from 1.25%) or Term SOFR (subject to a credit spread adjustment of 10 basis points) plus 3.75% (increased from 2.25%). The Second Credit Amendment also added a requirement to deliver certain cash flow information on a weekly basis commencing November 22, 2024.</w:t>
      </w:r>
    </w:p>
    <w:p>
      <w:pPr>
        <w:pStyle w:val="TextBody"/>
        <w:pBdr/>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On December 13, 2024, the Company entered into a third amendment to the 2021 Credit Agreement (the “Third Credit Amendment”). The Third Credit Amendment provided a limited waiver to the provision under the First Credit Amendment that requires the Company to comply with the financial covenants for the period of four fiscal quarters ended on or about September 30, 2024. Under the Third Credit Amendment, the Company is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First Credit Amendment for periods commencing on or after December 13, 2024 and February 1, 2025, respectively, as follows: (a) in the case of Base Rate Loans, the Base Rate plus (i) 3.25% commencing on December 13, 2024 and (ii) 4.00% commencing on February 1, 2025 (increased from a margin of 2.75%), (b) in the case of Term SOFR Loans, Term SOFR (subject to a credit spread adjustment of 10 basis points) plus (i) 4.25% commencing on December 13, 2024 and (ii) 5.00% commencing on February 1, 2025 (increased from a margin of 3.75%), and (c) the Letter of Credit Fee of (i) 4.25% commencing on December 13, 2024 and (ii) 5.00% commencing on February 1, 2025 (increased from 3.75%).</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Pursuant to the Third Credit Amendment, there was no financial covenant test for the quarter ended September 29, 2024. From the execution of the Third Credit Amendment on December 13, 2024 through March 30, 2025, the Company maintained cash and cash equivalents above the specified weekly minimum balances.</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 xml:space="preserve">On March 27, 2025, the Company entered into a fourth amendment to the 2021 Credit Agreement (the “Fourth Credit Amendment”). The Fourth Credit Amendment provided a limited waiver for the Company to comply with the financial covenants for the period of four fiscal quarters ended on or about December 31, 2024. It also suspended measurement of the Consolidated Total Leverage Ratio and Consolidated Fixed Charge Covenant Ratio for the fiscal quarter ended on or about March 31, 2025. Pursuant to the Fourth Credit Amendment, the Revolving Commitment reduced from $10 million to $7.5 million on April 30, 2025 and to $6 million on May 31, 2025. The Fourth Credit Amendment prohibits the Company from requesting any further borrowings under the 2021 Credit Agreement, as amended. The Fourth Credit Amendment includes a timeline of milestones for a refinancing transaction with a third-party lender and contemplates a refinancing on or before June 15, 2025, and limits the Company’s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follows: (a) in the case of Base Rate Loans, the Base Rate plus (i) 5% (increased from a margin of 4%), (b) in the case of Term SOFR Loans, Term SOFR (subject to a credit spread adjustment of 10 basis points) plus (i) 6% (increased from a margin of 5%), and (c) the Letter of Credit Fee of (i) 6% (increased from 5%). Although the Company has secured these limited waivers, the Company cannot guarantee that it will be able to satisfy all of the necessary conditions or that it will not incur another covenant violation in the future. </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June 23, 2025, the Company entered into a Forbearance Agreement (the “Forbearance Agreement”) related to the 2021 Credit Agreement, as amended, with the lenders party thereto and Bank of America, N.A., as administrative agent (the “Administrative Agent”), and Swing Line Lender and an L/C Issuer (the “Lenders”). </w:t>
      </w:r>
      <w:r>
        <w:rPr>
          <w:rFonts w:ascii="Times New Roman;Times;serif" w:hAnsi="Times New Roman;Times;serif"/>
          <w:sz w:val="20"/>
        </w:rPr>
        <w:t xml:space="preserve">Pursuant to the terms of the Forbearance Agreement, the Administrative Agent and Lenders agreed that they would forbear, during the Forbearance Period (as defined below), from exercising any and all rights and remedies with respect to or arising out of the events of default that occurred as a result of the Company’s failure to comply with certain Refinancing Transaction Milestones by the specified dates under Sections 6.19(a), (c) and (d) of the 2021 Credit Agreement, as amended (collectively,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pPr>
      <w:bookmarkStart w:id="955" w:name="_Hlk205663189"/>
      <w:bookmarkStart w:id="956" w:name="_Hlk205664344"/>
      <w:bookmarkEnd w:id="955"/>
      <w:bookmarkEnd w:id="956"/>
      <w:r>
        <w:rPr/>
        <w:t>“</w:t>
      </w:r>
      <w:r>
        <w:rPr>
          <w:rFonts w:ascii="Times New Roman;Times;serif" w:hAnsi="Times New Roman;Times;serif"/>
          <w:sz w:val="20"/>
        </w:rPr>
        <w:t>Acknowledged Defaults”). The forbearance period (the “Forbearance Period”) under the Forbearance Agreement will expire on the earliest date that one of the following events occurs: (a) any Event of Default other than an Event of Default constituting the Acknowledged Defaults; (b) the breach by the Borrower of any covenant or provision of the Forbearance Agreement; or (c) 11:59 p.m. (Eastern time) on August 15, 2025 (the “Forbearance Termination Events”). Under the terms of the Forbearance Agreement, the Refinancing Transaction Milestones shall be due on the Maturity Date. Additionally, during the Forbearance Period, the minimum liquidity otherwise required to be maintained pursuant to the 2021 Credit Agreement, as amended, is $1,000,000. Pursuant to the Forbearance Agreement, the Company also agreed to provide additional financial and operational reports to the Administrative Agent during the Forbearance Period, including monthly unaudited financial statements and reports related to accounts receivable, accounts payable and inventory. The Forbearance Agreement also provides for mandatory prepayments in the event that Total Revolving Outstandings exceed the difference of 55% of the net book value of inventory less 50% of the store value credit liability. The Company will pay a one-time forbearance fee of $100,000 (the “Forbearance Fee”), fully earned and non-refundable as of the Effective Date and payable in immediately available funds upon the earlier of (a) the Maturity Date, and (b) the occurrence of a Forbearance Termination Event; provided, that, if all Obligations (other than the Forbearance Fee) have been paid in full on or prior to the Maturity Date, the Forbearance Fee shall be cancelled and waived.</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August 11, 2025, the Company entered into an Amendment to the Forbearance Agreement and Fifth Amendment to the 2021 Credit Agreement, as amended (the “Forbearance Amendment”) with the </w:t>
      </w:r>
      <w:r>
        <w:rPr>
          <w:rFonts w:ascii="Times New Roman;Times;serif" w:hAnsi="Times New Roman;Times;serif"/>
          <w:sz w:val="20"/>
        </w:rPr>
        <w:t>Administrative Agent and Lenders</w:t>
      </w:r>
      <w:r>
        <w:rPr>
          <w:rFonts w:ascii="Times New Roman;Times;serif" w:hAnsi="Times New Roman;Times;serif"/>
          <w:color w:val="212529"/>
          <w:sz w:val="20"/>
        </w:rPr>
        <w:t xml:space="preserve">. </w:t>
      </w:r>
      <w:r>
        <w:rPr>
          <w:rFonts w:ascii="Times New Roman;Times;serif" w:hAnsi="Times New Roman;Times;serif"/>
          <w:sz w:val="20"/>
        </w:rPr>
        <w:t xml:space="preserve">Pursuant to the terms of the Forbearance </w:t>
      </w:r>
      <w:r>
        <w:rPr>
          <w:rFonts w:ascii="Times New Roman;Times;serif" w:hAnsi="Times New Roman;Times;serif"/>
          <w:color w:val="212529"/>
          <w:sz w:val="20"/>
        </w:rPr>
        <w:t>Amendment</w:t>
      </w:r>
      <w:r>
        <w:rPr>
          <w:rFonts w:ascii="Times New Roman;Times;serif" w:hAnsi="Times New Roman;Times;serif"/>
          <w:sz w:val="20"/>
        </w:rPr>
        <w:t>, the Administrative Agent and Lenders agreed to amend the definition of “Forbearance Termination Event” set forth in the Forbearance Agreement to replace “August 15, 2025” with “August 22, 2025”</w:t>
      </w:r>
      <w:r>
        <w:rPr>
          <w:rFonts w:ascii="Times New Roman;Times;serif" w:hAnsi="Times New Roman;Times;serif"/>
          <w:sz w:val="24"/>
        </w:rPr>
        <w:t>.</w:t>
      </w:r>
      <w:r>
        <w:rPr>
          <w:rFonts w:ascii="Times New Roman;Times;serif" w:hAnsi="Times New Roman;Times;serif"/>
          <w:sz w:val="20"/>
        </w:rPr>
        <w:t xml:space="preserve"> The Forbearance Amendment also amended the definition of “Maturity Date” set forth in the 2021 Credit Agreement, as amended, to replace “August 15, 2025” with “August 22, 2025”.</w:t>
      </w:r>
      <w:r>
        <w:rPr>
          <w:rFonts w:ascii="Times New Roman;Times;serif" w:hAnsi="Times New Roman;Times;serif"/>
          <w:color w:val="212529"/>
          <w:sz w:val="20"/>
        </w:rPr>
        <w:t xml:space="preserve"> The Company is currently negotiating a new asset-based revolving credit facility.</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capitalized terms used above and not otherwise defined herein are defined in the 2021 Credit Agreement, as amended.</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June 29, 2025, the Company did not borrow any amount under the 2021 Credit Agreement, as amended, and repaid $7.3 million of the outstanding balance. As of June 29, 2025, the Company had $0.2 million in letters of credit outstanding. The effective interest rate on the $5.8 million outstanding balance as of June 29, 2025, was 41.3% and 21.5% during the thirteen and twenty-six weeks ended June 29, 2025, respectively, which was inclusive of $0.7 million in one-time fees related to the 2021 Credit Agreement, as amended. As of June 29, 2025, the weighted-average interest rate was 10.4%.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Amounts borrowed under the 2021 Credit Agreement, as amended, are collateralized by all assets of the Company.  The 2021 Credit Agreement, as amended, contains various financial and non-financial covenants for reporting, protecting and obtaining adequate insurance coverage for assets collateralized and for coverage of business operations, and complying with requirements, including the payment of all necessary taxes and fees for all federal, state, and local government entities.</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using the effective interest method. The associated expense is included in interest expense in the condensed consolidated statements of operations and comprehensive loss. Debt issuance costs related to the 2021 Credit Agreement, as amended, are included in prepaids and other current assets in the condensed consolidated balance sheets. As of June 29, 2025 and December 29, 2024, unamortized debt issuance costs recorded within prepaids and other current assets were $0.2 million and $0.1 million, respectively.</w:t>
      </w:r>
    </w:p>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57" w:name="Tc_jgJmed3-QUexMWZSjIDFVg_12_8"/>
      <w:bookmarkStart w:id="958" w:name="Tc_elwHb3DmaEW3yOW4iPstyA_12_2"/>
      <w:bookmarkStart w:id="959" w:name="Tc_ef_BgLCSdU2C1pIH84nozA_10_0"/>
      <w:bookmarkStart w:id="960" w:name="Tc_jj8xe5NnUk6iVLpUUI6mIg_9_0"/>
      <w:bookmarkStart w:id="961" w:name="Tc_LgACuoYQ00i2K8AoRt11sg_8_0"/>
      <w:bookmarkStart w:id="962" w:name="Tc_rjLcTZx_2kWPEBzOjHH8ww_7_9"/>
      <w:bookmarkStart w:id="963" w:name="Tc_S-DNlPdMoEaG97v25BfC4w_7_6"/>
      <w:bookmarkStart w:id="964" w:name="Tc_DKHo1rbyx0WSwwyP0cJ8AQ_7_3"/>
      <w:bookmarkStart w:id="965" w:name="Tc_o14JbbqgA0GuVcxZOxZEyA_7_0"/>
      <w:bookmarkStart w:id="966" w:name="Tc_43khBUX-7Ui9zFQS3Lt7pg_6_3"/>
      <w:bookmarkStart w:id="967" w:name="Tc_8LOUEQwsMUSyzbNO5gv3qg_6_0"/>
      <w:bookmarkStart w:id="968" w:name="Tc_U9C_T76duk2hPJquppSjTw_5_0"/>
      <w:bookmarkStart w:id="969" w:name="Tc_BPyXbbwcWE25GOfhSb56fQ_4_0"/>
      <w:bookmarkStart w:id="970" w:name="Tc_h1v1gRVIlUOa3WnOnFo--g_3_0"/>
      <w:bookmarkStart w:id="971" w:name="Tc_us3N1hU54EGIEqgYE3YI6w_2_8"/>
      <w:bookmarkStart w:id="972" w:name="Tc_i4_DrRmn8kCbqhijKCLmkw_2_5"/>
      <w:bookmarkStart w:id="973" w:name="Tc_bNb0B2IxjU-jhNuXLUX3Ng_2_2"/>
      <w:bookmarkStart w:id="974" w:name="Tc_PqQe1dxU40KYWjmvviuQOw_2_0"/>
      <w:bookmarkStart w:id="975" w:name="Tc_2dET2W2D4kuOLaobHiMPNQ_1_8"/>
      <w:bookmarkStart w:id="976" w:name="Tc_Sv3pf0y0L0eR2cc0UrlpjQ_1_5"/>
      <w:bookmarkStart w:id="977" w:name="Tc_GyILBT6IgkKsY2EI4Hr7Dg_1_3"/>
      <w:bookmarkStart w:id="978" w:name="Tc_LWlvuP-qDESdEYs2_sBFMQ_1_0"/>
      <w:bookmarkStart w:id="979" w:name="_748cb571_f8bc_4f39_b7a3_beaebdfb2a8e"/>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primarily leases its distribution facilities, corporate offices and retail stores under operating lease agreements expiring on various dates through December 2031, most of which contain options to extend. In addition to payment of base rent, the Company is also required to pay property taxes, insurance, and common area maintenance expenses. The Company records lease expense on a straight-line basis over the term of the lease. </w:t>
      </w:r>
      <w:r>
        <w:rPr>
          <w:rFonts w:ascii="Times New Roman;Times;serif" w:hAnsi="Times New Roman;Times;serif"/>
          <w:sz w:val="20"/>
          <w:shd w:fill="FFFFFF" w:val="clear"/>
        </w:rPr>
        <w:t xml:space="preserve">In early 2025 the Company consolidated two of its distribution facilities by moving operations from its former distribution facility in Chico, California to its existing distribution facility in Ontario, </w:t>
      </w:r>
      <w:r>
        <w:rPr>
          <w:rFonts w:ascii="Times New Roman;Times;serif" w:hAnsi="Times New Roman;Times;serif"/>
          <w:sz w:val="20"/>
        </w:rPr>
        <w:t xml:space="preserve">California. </w:t>
      </w:r>
      <w:r>
        <w:rPr>
          <w:rFonts w:ascii="Times New Roman;Times;serif" w:hAnsi="Times New Roman;Times;serif"/>
          <w:sz w:val="20"/>
          <w:shd w:fill="FFFFFF" w:val="clear"/>
        </w:rPr>
        <w:t>During </w:t>
      </w:r>
      <w:r>
        <w:rPr>
          <w:rFonts w:ascii="Times New Roman;Times;serif" w:hAnsi="Times New Roman;Times;serif"/>
          <w:sz w:val="20"/>
        </w:rPr>
        <w:t xml:space="preserve">the thirteen weeks ended March 30, 2025, the Company modified the terms and discount rate of two of its operating leases. As a result of the modification, the Company derecognized the related right-of-use asset and lease liability of $3.1 million and $3.2 million, respectively. The modification resulted in the recognition of a gain of $0.1 million. During the thirteen weeks ended June 29, 2025, the Company terminated the lease agreement for one of its leases located in Chico, California. As a result of the termination, the Company derecognized the remaining lease liability of $0.4 million, resulting in a gain of $0.2 million. Termination penalties of $0.2 million, net of deposits, were included in accrued expenses and other current liabilities and subsequently paid before the period ended June 29, 2025. </w:t>
      </w:r>
      <w:r>
        <w:rPr>
          <w:rFonts w:ascii="Times New Roman;Times;serif" w:hAnsi="Times New Roman;Times;serif"/>
          <w:sz w:val="20"/>
          <w:shd w:fill="FFFFFF" w:val="clear"/>
        </w:rPr>
        <w:t>D</w:t>
      </w:r>
      <w:r>
        <w:rPr>
          <w:rFonts w:ascii="Times New Roman;Times;serif" w:hAnsi="Times New Roman;Times;serif"/>
          <w:sz w:val="20"/>
        </w:rPr>
        <w:t>uring the thirteen weeks ended June 29, 2025, the Company also reassessed the lease terms and discount rates of two of its leases. As a result of the modification, the Company derecognized the lease liability of $0.4 million and the corresponding right-of-use asset, with no impact to the condensed consolidated statement of operations.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April 2029.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29, 2025, the future minimum lease payments for the Company’s operating and finance leases for each of the fiscal years were as follows (in thousands): </w:t>
      </w:r>
    </w:p>
    <w:p>
      <w:pPr>
        <w:pStyle w:val="TextBody"/>
        <w:bidi w:val="0"/>
        <w:spacing w:before="0" w:after="0"/>
        <w:ind w:left="0" w:right="0" w:firstLine="360"/>
        <w:jc w:val="both"/>
        <w:rPr/>
      </w:pPr>
      <w:r>
        <w:rPr/>
        <w:t>​</w:t>
      </w:r>
    </w:p>
    <w:tbl>
      <w:tblPr>
        <w:tblW w:w="7719" w:type="dxa"/>
        <w:jc w:val="left"/>
        <w:tblInd w:w="0" w:type="dxa"/>
        <w:tblLayout w:type="fixed"/>
        <w:tblCellMar>
          <w:top w:w="0" w:type="dxa"/>
          <w:left w:w="0" w:type="dxa"/>
          <w:bottom w:w="0" w:type="dxa"/>
          <w:right w:w="0" w:type="dxa"/>
        </w:tblCellMar>
      </w:tblPr>
      <w:tblGrid>
        <w:gridCol w:w="2986"/>
        <w:gridCol w:w="326"/>
        <w:gridCol w:w="211"/>
        <w:gridCol w:w="1591"/>
        <w:gridCol w:w="109"/>
        <w:gridCol w:w="326"/>
        <w:gridCol w:w="1069"/>
        <w:gridCol w:w="109"/>
        <w:gridCol w:w="211"/>
        <w:gridCol w:w="78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896110" cy="175260"/>
                      <wp:effectExtent l="0" t="0" r="0" b="0"/>
                      <wp:wrapNone/>
                      <wp:docPr id="132" name="Frame131"/>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10285" cy="175260"/>
                      <wp:effectExtent l="0" t="0" r="0" b="0"/>
                      <wp:wrapNone/>
                      <wp:docPr id="135" name="Frame13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78815" cy="175260"/>
                      <wp:effectExtent l="0" t="0" r="0" b="0"/>
                      <wp:wrapNone/>
                      <wp:docPr id="138" name="Frame137"/>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9"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26" w:type="dxa"/>
            <w:tcBorders/>
            <w:vAlign w:val="center"/>
          </w:tcPr>
          <w:p>
            <w:pPr>
              <w:pStyle w:val="TableContents"/>
              <w:bidi w:val="0"/>
              <w:spacing w:before="0" w:after="0"/>
              <w:ind w:left="0" w:right="0" w:hanging="0"/>
              <w:jc w:val="center"/>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2025 remaining 6 months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5,755</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6,101</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5,666</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5,515</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19,877</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21,418</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(1,907)</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19,475</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(5,121)</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(6,402)</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12,849</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13,073</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 and Other</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June 29, 2025, the Company was not aware of any currently pending legal matters or claims, individually or in the aggregate, that are expected to have a material adverse impact on its condensed consolidated 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Stockholders’ Equity</w:t>
      </w:r>
      <w:r>
        <w:rPr>
          <w:rFonts w:ascii="Times New Roman;Times;serif" w:hAnsi="Times New Roman;Times;serif"/>
          <w:b/>
          <w:color w:val="EE0000"/>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Pursuant to the Company’s amended and restated certificate of incorporation, the Company is authorized to issue 250,000,000 shares of common stock having a par value of $0.001 per share. Holders of common stock are entitled to one vote per share on all matters to be voted upon by the stockholders of the Company. Subject to the preferences that may be applicable to any outstanding share</w:t>
      </w:r>
      <w:r>
        <w:rPr>
          <w:rFonts w:ascii="Times New Roman;Times;serif" w:hAnsi="Times New Roman;Times;serif"/>
          <w:sz w:val="20"/>
          <w:shd w:fill="FFFFFF" w:val="clear"/>
        </w:rPr>
        <w:t xml:space="preserve"> of preferred stock, the holders of common stock are entitled to receive dividends, if any, as may be declared by the Board of Directors. No dividends have been declared to date. As of June 29, 2025, </w:t>
      </w:r>
      <w:r>
        <w:rPr>
          <w:rFonts w:ascii="Times New Roman;Times;serif" w:hAnsi="Times New Roman;Times;serif"/>
          <w:sz w:val="20"/>
        </w:rPr>
        <w:t xml:space="preserve">the Company has reserved 10,760 shares of common </w:t>
      </w:r>
      <w:r>
        <w:rPr>
          <w:rFonts w:ascii="Times New Roman;Times;serif" w:hAnsi="Times New Roman;Times;serif"/>
          <w:sz w:val="20"/>
          <w:shd w:fill="FFFFFF" w:val="clear"/>
        </w:rPr>
        <w:t>stock for issuance upon the exercise of stock options, and 205,900 shares of common stock available for future issuance under the Lulu’s Fashion Lounge Holdings, Inc. Omnibus Equity Plan (the “Omnibus Equity Plan”), and</w:t>
      </w:r>
      <w:r>
        <w:rPr>
          <w:rFonts w:ascii="Times New Roman;Times;serif" w:hAnsi="Times New Roman;Times;serif"/>
          <w:sz w:val="20"/>
        </w:rPr>
        <w:t xml:space="preserve"> 83,422 </w:t>
      </w:r>
      <w:r>
        <w:rPr>
          <w:rFonts w:ascii="Times New Roman;Times;serif" w:hAnsi="Times New Roman;Times;serif"/>
          <w:sz w:val="20"/>
          <w:shd w:fill="FFFFFF" w:val="clear"/>
        </w:rPr>
        <w:t>shares of common stock available for future issuance under the 2021 Employee Stock Purchase Plan (the “ESPP”), as adjusted on a retroactive basis for the Reverse Stock Split. Refer to Note 2, Significant Accounting Policies in the accompanying Notes to the Condensed Consolidated Financial Statements for additional details. Both equity plans are further described below.</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Company’s amended and restated certificate of incorporation, the Company is authorized to issue 10,000,000 shares of preferred stock having a par value of $0.001 per share. The Company’s Board of Directors has the authority to issue preferred stock and to determine the rights, preferences, privileges, and restrictions, including voting rights, of those shares. As of June 29, 2025 and December 29, 2024, no shares of preferred stock were issued or outstanding</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Equity-Based Compensation</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closing of the IPO, the Company adopted the Omnibus Equity Plan and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Omnibus Equity Plan, incentive awards may be granted to employees, directors, and consultants of the Company. The Company initially reserved 247,933 shares of common stock, for future issuance under the Omnibus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Plan, including any shares subject to awards under the</w:t>
      </w:r>
      <w:r>
        <w:rPr>
          <w:rFonts w:ascii="Times New Roman;Times;serif" w:hAnsi="Times New Roman;Times;serif"/>
          <w:sz w:val="20"/>
          <w:shd w:fill="FFFFFF" w:val="clear"/>
        </w:rPr>
        <w:t xml:space="preserve"> 2021 Equity Incentive Plan (the “2021 Equity Plan”)</w:t>
      </w:r>
      <w:r>
        <w:rPr>
          <w:rFonts w:ascii="Times New Roman;Times;serif" w:hAnsi="Times New Roman;Times;serif"/>
          <w:sz w:val="20"/>
        </w:rPr>
        <w:t xml:space="preserve"> that are forfeited or lapse unexercised. The number of shares reserved for issuance under the Omnibus Equity Plan automatically increases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ESPP, the Company initially reserved 49,587 shares of common stock, for future issuance. The number of shares of common stock reserved for issuance automatically increases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1, 2022, the Company filed a Registration Statement on Form S-8 with the SEC for the purpose of registering an additional 394,736 shares of the Company’s common stock, inclusive of 102,456 shares and 25,614 shares associated with automatic increases that occurred on January 3, 2022 under the Omnibus Equity Plan and ESPP, respectively. This registration also included 213,333 and 53,333 shares for the Omnibus Equity Plan and the ESPP, respectively, representing two years’ worth of estimated future automatic increases in availability for these plans.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29, 2023, the Company filed a Registration Statement on Form S-8 with the SEC for the purpose of registering an additional 133,333 shares of the Company's common stock under the Omnibus Equity Plan corresponding to the increase in shares approved by stockholders at the 2023 annual meeting of stockholders.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June 29, 2025, the Company had 205,900 shares and 83,422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vesting schedule and the other terms and conditions of the awards granted under the Omnibus Equity Plan. The Compensation Committee may or may not issue the full number of shares that are reserved for issuance.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Equity-based compensation expense is included in general and administrative expenses in the condensed consolidated statements of operations and comprehensive loss.</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and twenty-six weeks ended June 29, 2025, and June 30, 2024, equity-based compensation expense related to our ESPP was immaterial. During the thirteen weeks ended March 30, 2025 and March 31, 2024, the Company issued 3,951 shares and 3,470 shares, respectively, pursuant to the ESPP six-month purchase periods ended February 25, 2025 and February 26, 2024, respectively.</w:t>
      </w:r>
      <w:r>
        <w:rPr>
          <w:rFonts w:ascii="Times New Roman;Times;serif" w:hAnsi="Times New Roman;Times;serif"/>
          <w:color w:val="212529"/>
          <w:sz w:val="20"/>
          <w:shd w:fill="FFFFFF" w:val="clear"/>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980" w:name="Tc_RFUf74h_-0CE6vm8TybTUg_11_10"/>
      <w:bookmarkStart w:id="981" w:name="Tc_6MduxFxzcUy850gsHgWQyw_11_9"/>
      <w:bookmarkStart w:id="982" w:name="Tc_pi0YNdvZJ029k09LlbkATA_11_4"/>
      <w:bookmarkStart w:id="983" w:name="Tc_ka4dqwwyU0Kjyr6iRn2aGg_11_0"/>
      <w:bookmarkStart w:id="984" w:name="Tc_Bdga1n3x6USYK5sfU9bLwg_10_10"/>
      <w:bookmarkStart w:id="985" w:name="Tc_QKta1-cNiUS9Nkbe3DhcoA_10_9"/>
      <w:bookmarkStart w:id="986" w:name="Tc_QW3i_8iCZE27L2F7AYhf7A_10_4"/>
      <w:bookmarkStart w:id="987" w:name="Tc_404SpZAem0SAoYQTD_IzkA_10_0"/>
      <w:bookmarkStart w:id="988" w:name="Tc_I9YpAwUI_Ee-fgJDqrDLSw_9_4"/>
      <w:bookmarkStart w:id="989" w:name="Tc_DWTnpGo5M0KgANLN3aSC6w_9_0"/>
      <w:bookmarkStart w:id="990" w:name="Tc_cmL5Ra_iVky1pCDbOmXvUQ_8_7"/>
      <w:bookmarkStart w:id="991" w:name="Tc_8uSPIb2_i0aT8L-OeYMh_g_8_5"/>
      <w:bookmarkStart w:id="992" w:name="Tc_QbjDA5G9FUmx7iAjdqRzIA_8_2"/>
      <w:bookmarkStart w:id="993" w:name="Tc_Yu9Ji14FE026p6Sbj_TkWQ_8_0"/>
      <w:bookmarkStart w:id="994" w:name="Tc_BKdkix_D8keT42Xrb26LMQ_7_7"/>
      <w:bookmarkStart w:id="995" w:name="Tc_LdnrMTIiu0-hAg3GUcDtTw_7_5"/>
      <w:bookmarkStart w:id="996" w:name="Tc_TpXinHS9d0mNBjV9kArUlw_7_2"/>
      <w:bookmarkStart w:id="997" w:name="Tc_v_XH5At2hUWesAQJGWmAVw_7_0"/>
      <w:bookmarkStart w:id="998" w:name="Tc_HrxAHKaXbEC9mYypY_GxSA_6_4"/>
      <w:bookmarkStart w:id="999" w:name="Tc_iXN8pR3eXkOPuZZx39HWgA_6_0"/>
      <w:bookmarkStart w:id="1000" w:name="Tc_MLP390e_jEmQr_U8BZQPNQ_5_9"/>
      <w:bookmarkStart w:id="1001" w:name="Tc_4OZ0MP8xRkidMhQnCUkoCQ_5_7"/>
      <w:bookmarkStart w:id="1002" w:name="Tc_E0XFM9IEaUiToSGxLk5Xrg_5_4"/>
      <w:bookmarkStart w:id="1003" w:name="Tc_nuyatLB9qkmRszt1iGMVVA_5_2"/>
      <w:bookmarkStart w:id="1004" w:name="Tc_G6TlH0oZiU6S_FE-9gSXig_4_9"/>
      <w:bookmarkStart w:id="1005" w:name="Tc_7DJs8QeVokChcL1VYygLJw_4_7"/>
      <w:bookmarkStart w:id="1006" w:name="Tc_YWB4YRD9xEGGb2vyhhDdTw_4_4"/>
      <w:bookmarkStart w:id="1007" w:name="Tc_6ILirDxi1UKouNra6s9LBw_4_2"/>
      <w:bookmarkStart w:id="1008" w:name="Tc_ilEuSz6l3UemvvB7HBLetw_3_9"/>
      <w:bookmarkStart w:id="1009" w:name="Tc_epeVSqG7iE22Nw5iRlKFBw_3_7"/>
      <w:bookmarkStart w:id="1010" w:name="Tc_nPzbWXbklEei52I6BvlnWw_3_4"/>
      <w:bookmarkStart w:id="1011" w:name="Tc_I28caIbDsUSKjdbZziE0vg_2_7"/>
      <w:bookmarkStart w:id="1012" w:name="Tc_GRp2sv7SRkqyMl8RRbPGow_2_4"/>
      <w:bookmarkStart w:id="1013" w:name="Tc_sss9p2YC9kStwEBOf3oUpg_1_7"/>
      <w:bookmarkStart w:id="1014" w:name="Tc_7T7mpOIHTUigK25macBokA_1_4"/>
      <w:bookmarkStart w:id="1015" w:name="_d87b9053_b183_4a57_8e12_061bafe0b814"/>
      <w:bookmarkStart w:id="1016" w:name="Tc_wYJ5BGG5LkmOAavXq3iZuQ_5_3"/>
      <w:bookmarkStart w:id="1017" w:name="Tc_KOvIg4IRUkOW6iBRyeQ3uA_5_2"/>
      <w:bookmarkStart w:id="1018" w:name="Tc_3NUJM6FqdU6Z3vycMetBWw_5_0"/>
      <w:bookmarkStart w:id="1019" w:name="Tc_o7KYdMWhqkeHno7yrfDWTw_4_3"/>
      <w:bookmarkStart w:id="1020" w:name="Tc_GWKBJA_9g0yrfE9YcVkFGA_4_0"/>
      <w:bookmarkStart w:id="1021" w:name="Tc_fMEbwx5L4k-nsM7ML-HYwQ_3_4"/>
      <w:bookmarkStart w:id="1022" w:name="Tc_IZH_vUvzXEW9hi1WRjrSng_3_3"/>
      <w:bookmarkStart w:id="1023" w:name="Tc_RTwSSXV6LECVz2EY1QPQiQ_3_0"/>
      <w:bookmarkStart w:id="1024" w:name="Tc_xMEw4meGNUCCZVEhxTOPfw_2_4"/>
      <w:bookmarkStart w:id="1025" w:name="Tc_F6-IFxPXWEWFzDcP4P49Og_2_3"/>
      <w:bookmarkStart w:id="1026" w:name="Tc_uK_f9ABv2k2huQbUgSzxqQ_2_0"/>
      <w:bookmarkStart w:id="1027" w:name="Tc_l1eBk50WjUChnFoKpaFmTQ_1_3"/>
      <w:bookmarkStart w:id="1028" w:name="Tc_O5_nHOQvjE60s-8SFtKNXQ_1_0"/>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rPr>
          <w:rFonts w:ascii="Times New Roman;Times;serif" w:hAnsi="Times New Roman;Times;serif"/>
          <w:sz w:val="20"/>
        </w:rPr>
        <w:t>The Company used the Black-Scholes model to estimate the fair value of the purchase rights under the ESPP. For the thirteen weeks ended June 29, 2025, the Company utilized the following assumptions:</w:t>
      </w:r>
    </w:p>
    <w:p>
      <w:pPr>
        <w:pStyle w:val="TextBody"/>
        <w:bidi w:val="0"/>
        <w:spacing w:before="0" w:after="0"/>
        <w:ind w:left="0" w:right="0" w:hanging="0"/>
        <w:jc w:val="both"/>
        <w:rPr/>
      </w:pPr>
      <w:r>
        <w:rPr/>
        <w:t>​</w:t>
      </w:r>
    </w:p>
    <w:tbl>
      <w:tblPr>
        <w:tblW w:w="7058" w:type="dxa"/>
        <w:jc w:val="left"/>
        <w:tblInd w:w="0" w:type="dxa"/>
        <w:tblLayout w:type="fixed"/>
        <w:tblCellMar>
          <w:top w:w="0" w:type="dxa"/>
          <w:left w:w="0" w:type="dxa"/>
          <w:bottom w:w="0" w:type="dxa"/>
          <w:right w:w="0" w:type="dxa"/>
        </w:tblCellMar>
      </w:tblPr>
      <w:tblGrid>
        <w:gridCol w:w="5131"/>
        <w:gridCol w:w="109"/>
        <w:gridCol w:w="211"/>
        <w:gridCol w:w="1291"/>
        <w:gridCol w:w="31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258185" cy="175260"/>
                      <wp:effectExtent l="0" t="0" r="0" b="0"/>
                      <wp:wrapNone/>
                      <wp:docPr id="142" name="Frame141"/>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19785" cy="175260"/>
                      <wp:effectExtent l="0" t="0" r="0" b="0"/>
                      <wp:wrapNone/>
                      <wp:docPr id="145" name="Frame14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0660" cy="175260"/>
                      <wp:effectExtent l="0" t="0" r="0" b="0"/>
                      <wp:wrapNone/>
                      <wp:docPr id="146" name="Frame1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 to 1.00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84.72 to 85.54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 to 4.28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fair value per share of ESPP awards granted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 to 0.33</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Equity-based compensation expense is included in general and administrative expenses in the condensed consolidated statements of operations and comprehensive loss.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2021 Equity Plan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During April 2021, the Company’s Board of Directors adopted the 2021 Equity Plan. The 2021 Equity Plan provided for the issuance of incentive stock options, restricted stock, restricted stock units and other equity-based and cash-based awards to the Company’s employees, directors, and consultants. The maximum aggregate number of shares reserved for issuance under the 2021 Equity Plan was 61,667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shd w:fill="FFFFFF" w:val="clear"/>
        </w:rPr>
        <w:t>A summary of stock option activity,</w:t>
      </w:r>
      <w:r>
        <w:rPr>
          <w:rFonts w:ascii="Times New Roman;Times;serif" w:hAnsi="Times New Roman;Times;serif"/>
          <w:sz w:val="20"/>
        </w:rPr>
        <w:t xml:space="preserve"> </w:t>
      </w:r>
      <w:r>
        <w:rPr>
          <w:rFonts w:ascii="Times New Roman;Times;serif" w:hAnsi="Times New Roman;Times;serif"/>
          <w:sz w:val="20"/>
          <w:shd w:fill="FFFFFF" w:val="clear"/>
        </w:rPr>
        <w:t>is as follows (in thousands, except per share amounts and years):</w:t>
      </w:r>
    </w:p>
    <w:tbl>
      <w:tblPr>
        <w:tblW w:w="9095" w:type="dxa"/>
        <w:jc w:val="left"/>
        <w:tblInd w:w="0" w:type="dxa"/>
        <w:tblLayout w:type="fixed"/>
        <w:tblCellMar>
          <w:top w:w="0" w:type="dxa"/>
          <w:left w:w="0" w:type="dxa"/>
          <w:bottom w:w="0" w:type="dxa"/>
          <w:right w:w="0" w:type="dxa"/>
        </w:tblCellMar>
      </w:tblPr>
      <w:tblGrid>
        <w:gridCol w:w="3991"/>
        <w:gridCol w:w="326"/>
        <w:gridCol w:w="1006"/>
        <w:gridCol w:w="326"/>
        <w:gridCol w:w="211"/>
        <w:gridCol w:w="676"/>
        <w:gridCol w:w="326"/>
        <w:gridCol w:w="991"/>
        <w:gridCol w:w="326"/>
        <w:gridCol w:w="291"/>
        <w:gridCol w:w="625"/>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34285" cy="175260"/>
                      <wp:effectExtent l="0" t="0" r="0" b="0"/>
                      <wp:wrapNone/>
                      <wp:docPr id="147" name="Frame14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38810" cy="175260"/>
                      <wp:effectExtent l="0" t="0" r="0" b="0"/>
                      <wp:wrapNone/>
                      <wp:docPr id="149" name="Frame14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29285" cy="175260"/>
                      <wp:effectExtent l="0" t="0" r="0" b="0"/>
                      <wp:wrapNone/>
                      <wp:docPr id="154" name="Frame15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4785" cy="175260"/>
                      <wp:effectExtent l="0" t="0" r="0" b="0"/>
                      <wp:wrapNone/>
                      <wp:docPr id="156" name="Frame155"/>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96875" cy="175260"/>
                      <wp:effectExtent l="0" t="0" r="0" b="0"/>
                      <wp:wrapNone/>
                      <wp:docPr id="157" name="Frame156"/>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91" w:type="dxa"/>
            <w:tcBorders/>
            <w:vAlign w:val="center"/>
          </w:tcPr>
          <w:p>
            <w:pPr>
              <w:pStyle w:val="TableContents"/>
              <w:bidi w:val="0"/>
              <w:spacing w:before="0" w:after="0"/>
              <w:ind w:left="0" w:right="0" w:hanging="0"/>
              <w:jc w:val="center"/>
              <w:rPr/>
            </w:pPr>
            <w:r>
              <w:rPr/>
              <w:t>​</w:t>
            </w:r>
          </w:p>
        </w:tc>
        <w:tc>
          <w:tcPr>
            <w:tcW w:w="625"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29, 2024</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Outstanding as of June 29,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Exercisable as of June 29, 2025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2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Vested and expected to vest as of June 29, 2025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2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had no equity-based compensation expense or unrecognized compensation cost related to stock options during the </w:t>
      </w:r>
      <w:r>
        <w:rPr>
          <w:rFonts w:ascii="Times New Roman;Times;serif" w:hAnsi="Times New Roman;Times;serif"/>
          <w:sz w:val="20"/>
        </w:rPr>
        <w:t>thirteen and twenty-six weeks ended June 29, 2025 and June 30, 2024</w:t>
      </w:r>
      <w:r>
        <w:rPr>
          <w:rFonts w:ascii="Times New Roman;Times;serif" w:hAnsi="Times New Roman;Times;serif"/>
          <w:sz w:val="20"/>
          <w:shd w:fill="FFFFFF" w:val="clear"/>
        </w:rPr>
        <w:t xml:space="preserve">. </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Restricted Stock and Restricted Stock Units (“RSUs”)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Immediately before the completion of the IPO, the LP was liquidated and the unit holders of the LP received shares of the Company’s common stock in exchange for their units of the LP. The Class P unit holders received approximately 130,940 shares of common stock, comprised of approximately 102,420 shares of vested common stock and approximately 28,520 shares of unvested restricted stock. Any such shares of restricted stock received in respect of unvested Class P units of the LP were subject to vesting and a risk of forfeiture to the same extent as the corresponding Class P units. The Company recognized the final $0.3 million of equity-based compensation expense related to exchanged restricted stock during 2024</w:t>
      </w:r>
      <w:r>
        <w:rPr>
          <w:rFonts w:ascii="Times New Roman;Times;serif" w:hAnsi="Times New Roman;Times;serif"/>
          <w:sz w:val="20"/>
        </w:rPr>
        <w:t xml:space="preserve">. </w:t>
      </w:r>
      <w:r>
        <w:rPr>
          <w:rFonts w:ascii="Times New Roman;Times;serif" w:hAnsi="Times New Roman;Times;serif"/>
          <w:sz w:val="20"/>
          <w:shd w:fill="FFFFFF" w:val="clear"/>
        </w:rPr>
        <w:t>As of December 29, 2024, the exchanged restricted stock was settled in fully-vested shares of the Company</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240"/>
        <w:ind w:left="0" w:right="0" w:firstLine="360"/>
        <w:jc w:val="both"/>
        <w:rPr>
          <w:rFonts w:ascii="Times New Roman;Times;serif" w:hAnsi="Times New Roman;Times;serif"/>
          <w:sz w:val="20"/>
        </w:rPr>
      </w:pPr>
      <w:bookmarkStart w:id="1029" w:name="Tc_Jojr-RQuzE6dEqpAKQEqOQ_8_4"/>
      <w:bookmarkStart w:id="1030" w:name="Tc_xMn3AziZRUqXaASWcFusUg_8_0"/>
      <w:bookmarkStart w:id="1031" w:name="Tc_Ozv9CRVmKEeiktYWVGK-_w_7_0"/>
      <w:bookmarkStart w:id="1032" w:name="Tc_CEwtgrwta0meTGerc242hw_6_0"/>
      <w:bookmarkStart w:id="1033" w:name="Tc_cusceetj90ugvCB25G5JjQ_5_0"/>
      <w:bookmarkStart w:id="1034" w:name="Tc_Kgc7QU9cv0OfZ5z-mNscgA_4_4"/>
      <w:bookmarkStart w:id="1035" w:name="Tc_rhbrtLK8V0ONDC5mT_OPGQ_4_0"/>
      <w:bookmarkStart w:id="1036" w:name="Tc_1YsqgK6-606BIHwDwE5ZVw_3_4"/>
      <w:bookmarkStart w:id="1037" w:name="Tc_wlu6wip1J0GR8uotrTBuHg_3_2"/>
      <w:bookmarkStart w:id="1038" w:name="Tc_6wvpk0bcQk6ZDDpd_vbCAw_2_4"/>
      <w:bookmarkStart w:id="1039" w:name="Tc_eRP7qdvm30CkQvTPK8gUMA_2_2"/>
      <w:bookmarkStart w:id="1040" w:name="Tc_AN-BZGZuIkabzI4gfK9Aag_1_4"/>
      <w:bookmarkEnd w:id="1029"/>
      <w:bookmarkEnd w:id="1030"/>
      <w:bookmarkEnd w:id="1031"/>
      <w:bookmarkEnd w:id="1032"/>
      <w:bookmarkEnd w:id="1033"/>
      <w:bookmarkEnd w:id="1034"/>
      <w:bookmarkEnd w:id="1035"/>
      <w:bookmarkEnd w:id="1036"/>
      <w:bookmarkEnd w:id="1037"/>
      <w:bookmarkEnd w:id="1038"/>
      <w:bookmarkEnd w:id="1039"/>
      <w:bookmarkEnd w:id="1040"/>
      <w:r>
        <w:rPr>
          <w:rFonts w:ascii="Times New Roman;Times;serif" w:hAnsi="Times New Roman;Times;serif"/>
          <w:sz w:val="20"/>
        </w:rPr>
        <w:t xml:space="preserve">On March 20, 2025, Mark Vos, the Company’s President and Chief Information Officer, and Laura Deady Holt, the Company’s Chief Merchandising Officer, received grants of 24,000 RSUs and 3,333 RSUs, respectively, pursuant to their respective employment agreements and RSU Award Agreements, which vest </w:t>
      </w:r>
      <w:r>
        <w:rPr>
          <w:rFonts w:ascii="Times New Roman;Times;serif" w:hAnsi="Times New Roman;Times;serif"/>
          <w:color w:val="212529"/>
          <w:sz w:val="20"/>
        </w:rPr>
        <w:t>in equal, quarterly installments on the last day of each calendar quarter, starting on March 31, 2025, and are subject to continued service requirements.</w:t>
      </w:r>
      <w:r>
        <w:rPr>
          <w:rFonts w:ascii="Times New Roman;Times;serif" w:hAnsi="Times New Roman;Times;serif"/>
          <w:sz w:val="20"/>
        </w:rPr>
        <w:t xml:space="preserve"> On March 20, 2025, the Company granted a total of 3,649 RSUs, to certain employees, which vest </w:t>
      </w:r>
      <w:r>
        <w:rPr>
          <w:rFonts w:ascii="Times New Roman;Times;serif" w:hAnsi="Times New Roman;Times;serif"/>
          <w:color w:val="212529"/>
          <w:sz w:val="20"/>
        </w:rPr>
        <w:t>in equal</w:t>
      </w:r>
      <w:r>
        <w:rPr>
          <w:rFonts w:ascii="Times New Roman;Times;serif" w:hAnsi="Times New Roman;Times;serif"/>
          <w:sz w:val="20"/>
        </w:rPr>
        <w:t xml:space="preserve"> installments over a three-year service period.  </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28, 2025 the Compensation Committee of the Company approved an amendment to the Company's Non-Employee Director Compensation Program to (i) eliminate the additional annual RSU award for the Non-Employee Board Chair and increase the applicable cash retainer to $75,000 for the Non-Employee Board Chair, (ii) provide that each award of RSUs under the Omnibus Equity Plan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 Compensation Program entirely or for a specific period, and (v) permit for cash to be paid in lieu of any RSU grant or portion of any RSU grant under the Non-Employee Director Compensation Program and provide for flexibility relating to the timing of any cash payment or award of RSUs as the Compensation Committee may deem appropriate.</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After evaluating the potential dilutive impact of the non-employee director RSU awards pursuant to the Company’s Amended Non-Employee Director Compensation Program, on May 1, 2025, the Board approved a one-time, cash payment of $50,000 to each eligible non-employee director in lieu of his or her $100,000 fiscal year 2025 annual RSU award. This cash payment will be payable on the date of the 2026 annual meeting of stockholders, subject to each non-employee director’s continued service on the Board of Directors through such payment date.</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equity-based compensation expense related to RSUs of $1.1 million and $2.3 million during the thirteen and twenty-six weeks ended June 29, 2025, respectively, and $1.7 million and $3.3 million during the thirteen and twenty-six weeks ended June 30, 2024, respectively. As of June 29, 2025, the unrecognized equity-based compensation expense is $4.6 million and will be recognized over a weighted-average period of 1.38 years.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roll forward of unvested RSUs during the twenty-six weeks ended June 29, 2025:</w:t>
      </w:r>
    </w:p>
    <w:p>
      <w:pPr>
        <w:pStyle w:val="TextBody"/>
        <w:bidi w:val="0"/>
        <w:spacing w:before="0" w:after="240"/>
        <w:ind w:left="0" w:right="0" w:firstLine="360"/>
        <w:jc w:val="both"/>
        <w:rPr>
          <w:shd w:fill="FFFFFF" w:val="clear"/>
        </w:rPr>
      </w:pPr>
      <w:r>
        <w:rPr>
          <w:shd w:fill="FFFFFF" w:val="clear"/>
        </w:rPr>
        <w:t>​</w:t>
      </w:r>
    </w:p>
    <w:tbl>
      <w:tblPr>
        <w:tblW w:w="4930" w:type="dxa"/>
        <w:jc w:val="left"/>
        <w:tblInd w:w="0" w:type="dxa"/>
        <w:tblLayout w:type="fixed"/>
        <w:tblCellMar>
          <w:top w:w="0" w:type="dxa"/>
          <w:left w:w="0" w:type="dxa"/>
          <w:bottom w:w="0" w:type="dxa"/>
          <w:right w:w="0" w:type="dxa"/>
        </w:tblCellMar>
      </w:tblPr>
      <w:tblGrid>
        <w:gridCol w:w="2596"/>
        <w:gridCol w:w="109"/>
        <w:gridCol w:w="796"/>
        <w:gridCol w:w="109"/>
        <w:gridCol w:w="335"/>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48460" cy="175260"/>
                      <wp:effectExtent l="0" t="0" r="0" b="0"/>
                      <wp:wrapNone/>
                      <wp:docPr id="158" name="Frame15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9215" cy="175260"/>
                      <wp:effectExtent l="0" t="0" r="0" b="0"/>
                      <wp:wrapNone/>
                      <wp:docPr id="159"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05460" cy="175260"/>
                      <wp:effectExtent l="0" t="0" r="0" b="0"/>
                      <wp:wrapNone/>
                      <wp:docPr id="160" name="Frame15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9215" cy="175260"/>
                      <wp:effectExtent l="0" t="0" r="0" b="0"/>
                      <wp:wrapNone/>
                      <wp:docPr id="161"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2725" cy="175260"/>
                      <wp:effectExtent l="0" t="0" r="0" b="0"/>
                      <wp:wrapNone/>
                      <wp:docPr id="162" name="Frame16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25475" cy="175260"/>
                      <wp:effectExtent l="0" t="0" r="0" b="0"/>
                      <wp:wrapNone/>
                      <wp:docPr id="163" name="Frame16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29, 2024</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243,582</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33,132</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(98,589)</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(5,612)</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29, 2025</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172,513</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36.15</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bookmarkStart w:id="1041" w:name="Tc_mKlMDTES2UWxK8VXHXpgzA_8_4"/>
      <w:bookmarkStart w:id="1042" w:name="Tc_ZKy-8m9e-ECw83tPt0xS6A_8_0"/>
      <w:bookmarkStart w:id="1043" w:name="Tc_zMxVZ8ea9EuMxYY1ihkJyA_7_5"/>
      <w:bookmarkStart w:id="1044" w:name="Tc_0uHkEZOmwE6LB0qgZfJ8bg_7_2"/>
      <w:bookmarkStart w:id="1045" w:name="Tc_pAwoObiGDEGAYea1GdTTSw_7_0"/>
      <w:bookmarkStart w:id="1046" w:name="Tc_H3UHqlz6J0e7wasvCsY3gg_6_5"/>
      <w:bookmarkStart w:id="1047" w:name="Tc_Hq2iNYg_5kS7DZ1ATfl6sQ_6_2"/>
      <w:bookmarkStart w:id="1048" w:name="Tc_DOpPHtkdc0-tx_xjCOl9zA_6_0"/>
      <w:bookmarkStart w:id="1049" w:name="Tc_t2AfUqzNwkemKaMACR2tTw_5_0"/>
      <w:bookmarkStart w:id="1050" w:name="Tc_jJL4fMi6rk2u36cmsQZpWg_4_4"/>
      <w:bookmarkStart w:id="1051" w:name="Tc_9W8LWt_MQUSP_JvKpQ1jlA_4_0"/>
      <w:bookmarkStart w:id="1052" w:name="Tc_JrzCoMB6Ak-bLGJf9fJDhg_3_4"/>
      <w:bookmarkStart w:id="1053" w:name="Tc_pppltODrCE6o6jaRS7fLAQ_3_2"/>
      <w:bookmarkStart w:id="1054" w:name="Tc_ZNYFrHAfwUyBKuWbXzk__A_2_4"/>
      <w:bookmarkStart w:id="1055" w:name="Tc_sTn5I0wBk0WQ-ZDhogV0Gw_2_2"/>
      <w:bookmarkStart w:id="1056" w:name="Tc_dQ-AzPHX0k6JOOjql3cgeg_1_4"/>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On March 20, 2025, Mark Vos, received a grant of 20,000 PSUs, which vest on the date when both of the following have occurred: (i) Performance Achievement: the Volume-Weighted-Average Price (“VWAP”) of the Company’s common stock over trailing 10 trading days equals or exceeds $150.00, as adjusted for the Reverse Stock Split, on a date when Mr. Vos remains employed by the Company or within 90 days following termination of Mr. Vos' employment; and (ii) Service Achievement: Mr. Vos remains employed with the Company through December 31, 2025. On March 20, 2025, Laura Deady Holt also received a grant of 3,333 PSUs, which vest on the date when both of the following have occurred, provided that Ms. Deady Holt remains employed with the Company through such date: (i) the Company files a Form 10-Q or Form 10-K with the SEC indicating that the Company has trailing twelve months’ net revenue that is at least $150 million more than the Company’s net revenue in the fiscal year ended December 31, 2023 and (ii) the second anniversary of Ms. Holt's start date has occurred</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The Company recognized equity-based compensation expense of $</w:t>
      </w:r>
      <w:r>
        <w:rPr>
          <w:rFonts w:ascii="revert-layer" w:hAnsi="revert-layer"/>
          <w:color w:val="212529"/>
          <w:sz w:val="20"/>
          <w:shd w:fill="FFFFFF" w:val="clear"/>
        </w:rPr>
        <w:t>0.1</w:t>
      </w:r>
      <w:r>
        <w:rPr>
          <w:rFonts w:ascii="Times New Roman;Times;serif" w:hAnsi="Times New Roman;Times;serif"/>
          <w:color w:val="212529"/>
          <w:sz w:val="20"/>
          <w:shd w:fill="FFFFFF" w:val="clear"/>
        </w:rPr>
        <w:t> million and $</w:t>
      </w:r>
      <w:r>
        <w:rPr>
          <w:rFonts w:ascii="revert-layer" w:hAnsi="revert-layer"/>
          <w:color w:val="212529"/>
          <w:sz w:val="20"/>
          <w:shd w:fill="FFFFFF" w:val="clear"/>
        </w:rPr>
        <w:t>0.4</w:t>
      </w:r>
      <w:r>
        <w:rPr>
          <w:rFonts w:ascii="Times New Roman;Times;serif" w:hAnsi="Times New Roman;Times;serif"/>
          <w:color w:val="212529"/>
          <w:sz w:val="20"/>
          <w:shd w:fill="FFFFFF" w:val="clear"/>
        </w:rPr>
        <w:t> million during the thirteen and twenty-six weeks ended June 29, 2025, and $</w:t>
      </w:r>
      <w:r>
        <w:rPr>
          <w:rFonts w:ascii="revert-layer" w:hAnsi="revert-layer"/>
          <w:color w:val="212529"/>
          <w:sz w:val="20"/>
          <w:shd w:fill="FFFFFF" w:val="clear"/>
        </w:rPr>
        <w:t>0.4</w:t>
      </w:r>
      <w:r>
        <w:rPr>
          <w:rFonts w:ascii="Times New Roman;Times;serif" w:hAnsi="Times New Roman;Times;serif"/>
          <w:color w:val="212529"/>
          <w:sz w:val="20"/>
          <w:shd w:fill="FFFFFF" w:val="clear"/>
        </w:rPr>
        <w:t> million and $</w:t>
      </w:r>
      <w:r>
        <w:rPr>
          <w:rFonts w:ascii="revert-layer" w:hAnsi="revert-layer"/>
          <w:color w:val="212529"/>
          <w:sz w:val="20"/>
          <w:shd w:fill="FFFFFF" w:val="clear"/>
        </w:rPr>
        <w:t>1.0</w:t>
      </w:r>
      <w:r>
        <w:rPr>
          <w:rFonts w:ascii="Times New Roman;Times;serif" w:hAnsi="Times New Roman;Times;serif"/>
          <w:color w:val="212529"/>
          <w:sz w:val="20"/>
          <w:shd w:fill="FFFFFF" w:val="clear"/>
        </w:rPr>
        <w:t> million during the thirteen and twenty-six weeks ended June 30, 2024, related to the PSUs</w:t>
      </w:r>
      <w:r>
        <w:rPr>
          <w:rFonts w:ascii="Times New Roman;Times;serif" w:hAnsi="Times New Roman;Times;serif"/>
          <w:sz w:val="20"/>
        </w:rPr>
        <w:t>. As of June 29, 2025, the unrecognized equity-based compensation expense is $0.4 million for the financial milestones that were considered probable of achievement, which will be recognized over a weighted-average period of 1.08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roll forward of unvested PSUs during the twenty-six weeks ended June 29, 2025:</w:t>
      </w:r>
    </w:p>
    <w:p>
      <w:pPr>
        <w:pStyle w:val="TextBody"/>
        <w:bidi w:val="0"/>
        <w:spacing w:before="0" w:after="0"/>
        <w:ind w:left="0" w:right="0" w:hanging="0"/>
        <w:jc w:val="left"/>
        <w:rPr/>
      </w:pPr>
      <w:r>
        <w:rPr/>
        <w:t>​</w:t>
      </w:r>
    </w:p>
    <w:tbl>
      <w:tblPr>
        <w:tblW w:w="4915" w:type="dxa"/>
        <w:jc w:val="left"/>
        <w:tblInd w:w="0" w:type="dxa"/>
        <w:tblLayout w:type="fixed"/>
        <w:tblCellMar>
          <w:top w:w="0" w:type="dxa"/>
          <w:left w:w="0" w:type="dxa"/>
          <w:bottom w:w="0" w:type="dxa"/>
          <w:right w:w="0" w:type="dxa"/>
        </w:tblCellMar>
      </w:tblPr>
      <w:tblGrid>
        <w:gridCol w:w="2596"/>
        <w:gridCol w:w="109"/>
        <w:gridCol w:w="781"/>
        <w:gridCol w:w="109"/>
        <w:gridCol w:w="335"/>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48460" cy="175260"/>
                      <wp:effectExtent l="0" t="0" r="0" b="0"/>
                      <wp:wrapNone/>
                      <wp:docPr id="164" name="Frame16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260"/>
                      <wp:effectExtent l="0" t="0" r="0" b="0"/>
                      <wp:wrapNone/>
                      <wp:docPr id="165"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2725" cy="175260"/>
                      <wp:effectExtent l="0" t="0" r="0" b="0"/>
                      <wp:wrapNone/>
                      <wp:docPr id="168" name="Frame1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25475" cy="175260"/>
                      <wp:effectExtent l="0" t="0" r="0" b="0"/>
                      <wp:wrapNone/>
                      <wp:docPr id="169" name="Frame168"/>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29, 2024</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144,105</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23,333</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29, 2025</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167,438</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33.02</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57" w:name="Tc_th9I0GFzPkOlD9fwAlCmqQ_6_7"/>
      <w:bookmarkStart w:id="1058" w:name="Tc_Fbbp2Kt6Q0iX9__QlhlzlQ_6_4"/>
      <w:bookmarkStart w:id="1059" w:name="Tc_w_2xKKNYAEm7-DmD3wS68w_6_0"/>
      <w:bookmarkStart w:id="1060" w:name="Tc_rBtcESvXdkyNma_38qVkww_5_0"/>
      <w:bookmarkStart w:id="1061" w:name="Tc_wxRH-RZGCEq-zOniWZZbpA_4_5"/>
      <w:bookmarkStart w:id="1062" w:name="Tc_Y3CYZZpQWkas14hU6S_SQQ_4_2"/>
      <w:bookmarkStart w:id="1063" w:name="Tc_joNhiEgnMkegz1XZT61BZw_4_0"/>
      <w:bookmarkStart w:id="1064" w:name="Tc_afn3PbxHNkmWMaPsUJFMjA_3_5"/>
      <w:bookmarkStart w:id="1065" w:name="Tc_9RMBn3Lsi0W_I6kr5seZig_3_2"/>
      <w:bookmarkStart w:id="1066" w:name="Tc_p6k0qGl1IEmgUKvGPwUMkA_2_5"/>
      <w:bookmarkStart w:id="1067" w:name="Tc_1xXLdLDC3Uew4DMQNw7qsA_2_2"/>
      <w:bookmarkStart w:id="1068" w:name="Tc_5JToV33pZE2bfbPDH5L5Mg_1_2"/>
      <w:bookmarkStart w:id="1069" w:name="_bdcd5a02_5d81_4772_a8bc_feee0ac2a167"/>
      <w:bookmarkStart w:id="1070" w:name="Tc_WAK3Sl1xQkqgPJyuDKy8jw_6_7"/>
      <w:bookmarkStart w:id="1071" w:name="Tc_HR-6o-qBnUCKvPfzfpO25Q_6_4"/>
      <w:bookmarkStart w:id="1072" w:name="Tc_IaLdu2iuhUSlxw6G8P48Qw_6_0"/>
      <w:bookmarkStart w:id="1073" w:name="Tc_mL6BRE-pIkOH6c8aAqn69Q_5_0"/>
      <w:bookmarkStart w:id="1074" w:name="Tc_CpTWXKsg10y5XWOLyQFvkg_4_5"/>
      <w:bookmarkStart w:id="1075" w:name="Tc_jQMZ37fckUmtb4pgPiJZng_4_2"/>
      <w:bookmarkStart w:id="1076" w:name="Tc_9rrkv-F37U6wqjYc8mfhZA_4_0"/>
      <w:bookmarkStart w:id="1077" w:name="Tc_Aer1SisbP0u9kUxiVxSbkw_3_5"/>
      <w:bookmarkStart w:id="1078" w:name="Tc_9iAlF_eSfE-s3mMIF9VqFA_3_2"/>
      <w:bookmarkStart w:id="1079" w:name="Tc_cqbzo4wMkkOLBwPGliGdPw_2_5"/>
      <w:bookmarkStart w:id="1080" w:name="Tc_1G-dfwxHp0-aKmj_3AiRMg_2_2"/>
      <w:bookmarkStart w:id="1081" w:name="Tc_cdlwajuP70KgGWmk-rwUsg_1_2"/>
      <w:bookmarkStart w:id="1082" w:name="_3d95aeb4_8976_44c5_9501_78b82425d041"/>
      <w:bookmarkStart w:id="1083" w:name="_Hlk180477383"/>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Pr>
          <w:rFonts w:ascii="Times New Roman;Times;serif" w:hAnsi="Times New Roman;Times;serif"/>
          <w:b/>
          <w:i w:val="false"/>
          <w:caps w:val="false"/>
          <w:smallCaps w:val="false"/>
          <w:sz w:val="20"/>
        </w:rPr>
        <w:t>9.</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before income taxes is from the United States. The following table presents the components of the benefit for income taxes (in thousands):</w:t>
      </w:r>
    </w:p>
    <w:p>
      <w:pPr>
        <w:pStyle w:val="TextBody"/>
        <w:bidi w:val="0"/>
        <w:spacing w:before="0" w:after="0"/>
        <w:ind w:left="0" w:right="0" w:hanging="0"/>
        <w:jc w:val="left"/>
        <w:rPr/>
      </w:pPr>
      <w:r>
        <w:rPr/>
        <w:t>​</w:t>
      </w:r>
    </w:p>
    <w:tbl>
      <w:tblPr>
        <w:tblW w:w="6028" w:type="dxa"/>
        <w:jc w:val="left"/>
        <w:tblInd w:w="0" w:type="dxa"/>
        <w:tblLayout w:type="fixed"/>
        <w:tblCellMar>
          <w:top w:w="0" w:type="dxa"/>
          <w:left w:w="0" w:type="dxa"/>
          <w:bottom w:w="0" w:type="dxa"/>
          <w:right w:w="0" w:type="dxa"/>
        </w:tblCellMar>
      </w:tblPr>
      <w:tblGrid>
        <w:gridCol w:w="3256"/>
        <w:gridCol w:w="326"/>
        <w:gridCol w:w="211"/>
        <w:gridCol w:w="691"/>
        <w:gridCol w:w="326"/>
        <w:gridCol w:w="211"/>
        <w:gridCol w:w="691"/>
        <w:gridCol w:w="31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67560" cy="175260"/>
                      <wp:effectExtent l="0" t="0" r="0" b="0"/>
                      <wp:wrapNone/>
                      <wp:docPr id="170" name="Frame169"/>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8785" cy="175260"/>
                      <wp:effectExtent l="0" t="0" r="0" b="0"/>
                      <wp:wrapNone/>
                      <wp:docPr id="173" name="Frame1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38785" cy="175260"/>
                      <wp:effectExtent l="0" t="0" r="0" b="0"/>
                      <wp:wrapNone/>
                      <wp:docPr id="176" name="Frame1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0660" cy="175260"/>
                      <wp:effectExtent l="0" t="0" r="0" b="0"/>
                      <wp:wrapNone/>
                      <wp:docPr id="177" name="Frame1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16" w:type="dxa"/>
            <w:tcBorders/>
            <w:vAlign w:val="center"/>
          </w:tcPr>
          <w:p>
            <w:pPr>
              <w:pStyle w:val="TableContents"/>
              <w:bidi w:val="0"/>
              <w:spacing w:before="0" w:after="0"/>
              <w:ind w:left="0" w:right="0" w:hanging="0"/>
              <w:jc w:val="left"/>
              <w:rPr/>
            </w:pPr>
            <w:r>
              <w:rPr/>
              <w:t> </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 </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316"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6918" w:type="dxa"/>
        <w:jc w:val="left"/>
        <w:tblInd w:w="0" w:type="dxa"/>
        <w:tblLayout w:type="fixed"/>
        <w:tblCellMar>
          <w:top w:w="0" w:type="dxa"/>
          <w:left w:w="0" w:type="dxa"/>
          <w:bottom w:w="0" w:type="dxa"/>
          <w:right w:w="0" w:type="dxa"/>
        </w:tblCellMar>
      </w:tblPr>
      <w:tblGrid>
        <w:gridCol w:w="3991"/>
        <w:gridCol w:w="326"/>
        <w:gridCol w:w="211"/>
        <w:gridCol w:w="796"/>
        <w:gridCol w:w="271"/>
        <w:gridCol w:w="211"/>
        <w:gridCol w:w="796"/>
        <w:gridCol w:w="31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534285" cy="175260"/>
                      <wp:effectExtent l="0" t="0" r="0" b="0"/>
                      <wp:wrapNone/>
                      <wp:docPr id="178" name="Frame17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05460" cy="175260"/>
                      <wp:effectExtent l="0" t="0" r="0" b="0"/>
                      <wp:wrapNone/>
                      <wp:docPr id="181" name="Frame18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2085" cy="175260"/>
                      <wp:effectExtent l="0" t="0" r="0" b="0"/>
                      <wp:wrapNone/>
                      <wp:docPr id="182" name="Frame18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5460" cy="175260"/>
                      <wp:effectExtent l="0" t="0" r="0" b="0"/>
                      <wp:wrapNone/>
                      <wp:docPr id="184" name="Frame1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0660" cy="175260"/>
                      <wp:effectExtent l="0" t="0" r="0" b="0"/>
                      <wp:wrapNone/>
                      <wp:docPr id="185" name="Frame1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271"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16" w:type="dxa"/>
            <w:tcBorders/>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1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084" w:name="_Hlk180477403"/>
      <w:bookmarkEnd w:id="1084"/>
      <w:r>
        <w:rPr>
          <w:rFonts w:ascii="Times New Roman;Times;serif" w:hAnsi="Times New Roman;Times;serif"/>
          <w:sz w:val="20"/>
        </w:rPr>
        <w:t>The Company’s benefit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For fiscal year 2025, due to the uncertain and evolving impacts related to tariffs, the Company believed that using the year-to-date actual operating result was more reasonable. As such, beginning with the thirteen weeks ended March 30, 2025, the Company’s tax provision for interim periods was determined using a discrete effective tax rate method, as allowed by ASC Topic 740-270, Income Taxes, Interim Reporting.</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thirteen and twenty-six weeks ended June 29, 2025, the Company's effective tax rate differs from the federal income tax rate of 21% primarily due to the valuation allowance against its deferred tax assets as the Company could not provide sufficient positive evidence that the deferred taxes will be more-likely-than-not realized in the future. For the thirteen and twenty-six weeks ended June 30, 2024, the Company's effective tax rate differs from the federal income tax rate of 21% primarily due to the establishment of the valuation allowance against its deferred tax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regularly assesses the realizability of deferred tax assets and records a valuation allowance to reduce the deferred tax assets to the amount that is more likely than not to be realized. In assessing the realizability of our deferred tax assets, the Company weighs all available positive and negative evidence. This evidence includes, but is not limited to, historical earnings, scheduled reversal of taxable temporary differences, tax planning strategies and projected future taxable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4, 2025, H.R. 1, commonly referred to as the One Big Beautiful Bill Act (the "OBBBA"), was enacted. The OBBBA legislation includes several changes to federal tax law that generally allow for more favorable deductibility of certain business expenses beginning in 2025, including the restoration of immediate expensing of domestic research and development expenditures, reinstatement of 100% bonus depreciation, and more favorable rules for determining the limitation on business interest expense. These changes were not reflected in the income tax provision for the period ended June 29, 2025, as enactment occurred after the close of the quarter. The Company is currently evaluating the potential impact on future effective tax rate, tax liabilities and cash taxes.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1085" w:name="Tc_GISnvH8pX0WdQBUPujFIHg_15_10"/>
      <w:bookmarkStart w:id="1086" w:name="Tc_6zzcDnVcVEmcHxJqVxfqiw_15_7"/>
      <w:bookmarkStart w:id="1087" w:name="Tc_D65CUT2kYk6WkaTAXT03BQ_15_4"/>
      <w:bookmarkStart w:id="1088" w:name="Tc_hMu6ahOMzESBR6Ro9EBIZA_15_1"/>
      <w:bookmarkStart w:id="1089" w:name="Tc_BzUrWvtRTUKE9CQ6p4xTuA_15_0"/>
      <w:bookmarkStart w:id="1090" w:name="Tc_sGsaaNxt50Op9oHk3EUP8A_14_0"/>
      <w:bookmarkStart w:id="1091" w:name="Tc_BhOjmZHoekKiAcM2nIdmGg_13_0"/>
      <w:bookmarkStart w:id="1092" w:name="Tc_ZPENDzrbnEyZf8nDJE_3Sg_12_0"/>
      <w:bookmarkStart w:id="1093" w:name="Tc_tR4wUy9PcEmm8RgexSNs8A_11_0"/>
      <w:bookmarkStart w:id="1094" w:name="Tc_i50XnVsd60uHadMGN6DUYg_10_0"/>
      <w:bookmarkStart w:id="1095" w:name="Tc_bNY8b-XCukaQnuaYu0k2hA_9_0"/>
      <w:bookmarkStart w:id="1096" w:name="Tc_E-TdJQUESEeeDm1YxFhmcQ_8_0"/>
      <w:bookmarkStart w:id="1097" w:name="Tc_dIu6UjcOoUeqj3B08L16xg_7_0"/>
      <w:bookmarkStart w:id="1098" w:name="Tc_--AcwOZNWEysqUNmSCgiGg_6_0"/>
      <w:bookmarkStart w:id="1099" w:name="Tc_kAcNosBymUSaN36PcH0nVA_5_10"/>
      <w:bookmarkStart w:id="1100" w:name="Tc_mq6EfQCu_UiXNpKx4IkZuQ_5_7"/>
      <w:bookmarkStart w:id="1101" w:name="Tc_VBMdfpCjWUaiFBzm4zNE0Q_5_4"/>
      <w:bookmarkStart w:id="1102" w:name="Tc_EgQgZrF0rkyTYV_cRyaIdQ_5_1"/>
      <w:bookmarkStart w:id="1103" w:name="Tc_n9gJ3t_fsEqnpkSwVgHh2A_5_0"/>
      <w:bookmarkStart w:id="1104" w:name="Tc_P-limqlhq0GDFOS6YnxsTA_3_10"/>
      <w:bookmarkStart w:id="1105" w:name="Tc_ESCedZTK20SM1dnGQlHjhw_3_7"/>
      <w:bookmarkStart w:id="1106" w:name="Tc_-EK2ZfKfIUykGTf2dNxmiQ_3_4"/>
      <w:bookmarkStart w:id="1107" w:name="Tc_ZxSiYZ1IpUqsdto5GWP0Cw_3_1"/>
      <w:bookmarkStart w:id="1108" w:name="Tc_rRRlomacIE2SnCWSvUG-3A_2_10"/>
      <w:bookmarkStart w:id="1109" w:name="Tc_3B3Yng_u5EecsnZDXo7iyQ_2_7"/>
      <w:bookmarkStart w:id="1110" w:name="Tc_eiCr58PZB0SVbvMHctGgWw_2_4"/>
      <w:bookmarkStart w:id="1111" w:name="Tc_APXBS5Ll7UCKGZEsAmBiLg_2_1"/>
      <w:bookmarkStart w:id="1112" w:name="Tc_rwm7BzVrUkWzLZ235nlEHQ_1_7"/>
      <w:bookmarkStart w:id="1113" w:name="Tc_fmZvDAiu2Uuky5solumVtQ_1_1"/>
      <w:bookmarkStart w:id="1114" w:name="_96c89278_d65b_4db8_9209_4ace4600faca"/>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Fonts w:ascii="Times New Roman;Times;serif" w:hAnsi="Times New Roman;Times;serif"/>
          <w:b/>
          <w:i w:val="false"/>
          <w:caps w:val="false"/>
          <w:smallCaps w:val="false"/>
          <w:sz w:val="20"/>
        </w:rPr>
        <w:t>11.</w:t>
      </w:r>
      <w:r>
        <w:rPr>
          <w:rFonts w:ascii="Times New Roman;Times;serif" w:hAnsi="Times New Roman;Times;serif"/>
          <w:b/>
          <w:sz w:val="20"/>
        </w:rPr>
        <w:t>Segment Reporting</w:t>
      </w:r>
    </w:p>
    <w:p>
      <w:pPr>
        <w:pStyle w:val="TextBody"/>
        <w:bidi w:val="0"/>
        <w:spacing w:before="0" w:after="180"/>
        <w:ind w:left="0" w:right="0" w:firstLine="360"/>
        <w:jc w:val="both"/>
        <w:rPr>
          <w:rFonts w:ascii="Times New Roman;Times;serif" w:hAnsi="Times New Roman;Times;serif"/>
          <w:sz w:val="20"/>
        </w:rPr>
      </w:pPr>
      <w:r>
        <w:rPr>
          <w:rFonts w:ascii="Times New Roman;Times;serif" w:hAnsi="Times New Roman;Times;serif"/>
          <w:sz w:val="20"/>
        </w:rPr>
        <w:t>All long-lived assets are located in the United States and substantially all revenue is attributable to customers based in the United States. International sales are not significant.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one reportable segment related to the sale of merchandise directly to end customers. When evaluating the Company’s financial performance and making strategic decisions, the Chief Operating Decision Maker (“CODM”) focuses their review of expenses incurred by the nature of those expenses. The measurement of segment assets is reported on the condensed consolidated balance sheet as total condensed consolidated assets. All assets, liabilities, cash flows, revenue and expenses are reported in the Company’s one reportable segment.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table below is a summary of the segment profit or loss, including significant segment expenses (in thousands):</w:t>
      </w:r>
    </w:p>
    <w:p>
      <w:pPr>
        <w:pStyle w:val="TextBody"/>
        <w:bidi w:val="0"/>
        <w:spacing w:before="0" w:after="0"/>
        <w:ind w:left="0" w:right="0" w:hanging="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5374"/>
        <w:gridCol w:w="211"/>
        <w:gridCol w:w="689"/>
        <w:gridCol w:w="326"/>
        <w:gridCol w:w="211"/>
        <w:gridCol w:w="791"/>
        <w:gridCol w:w="109"/>
        <w:gridCol w:w="211"/>
        <w:gridCol w:w="794"/>
        <w:gridCol w:w="326"/>
        <w:gridCol w:w="211"/>
        <w:gridCol w:w="794"/>
        <w:gridCol w:w="158"/>
      </w:tblGrid>
      <w:tr>
        <w:trPr/>
        <w:tc>
          <w:tcPr>
            <w:tcW w:w="5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412490" cy="175260"/>
                      <wp:effectExtent l="0" t="0" r="0" b="0"/>
                      <wp:wrapNone/>
                      <wp:docPr id="186" name="Frame185"/>
                      <a:graphic xmlns:a="http://schemas.openxmlformats.org/drawingml/2006/main">
                        <a:graphicData uri="http://schemas.microsoft.com/office/word/2010/wordprocessingShape">
                          <wps:wsp>
                            <wps:cNvSpPr txBox="1"/>
                            <wps:spPr>
                              <a:xfrm>
                                <a:off x="0" y="0"/>
                                <a:ext cx="3412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7515" cy="175260"/>
                      <wp:effectExtent l="0" t="0" r="0" b="0"/>
                      <wp:wrapNone/>
                      <wp:docPr id="188" name="Frame18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02285" cy="175260"/>
                      <wp:effectExtent l="0" t="0" r="0" b="0"/>
                      <wp:wrapNone/>
                      <wp:docPr id="191" name="Frame19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04190" cy="175260"/>
                      <wp:effectExtent l="0" t="0" r="0" b="0"/>
                      <wp:wrapNone/>
                      <wp:docPr id="194" name="Frame193"/>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04190" cy="175260"/>
                      <wp:effectExtent l="0" t="0" r="0" b="0"/>
                      <wp:wrapNone/>
                      <wp:docPr id="197" name="Frame196"/>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00330" cy="175260"/>
                      <wp:effectExtent l="0" t="0" r="0" b="0"/>
                      <wp:wrapNone/>
                      <wp:docPr id="198" name="Frame197"/>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74" w:type="dxa"/>
            <w:tcBorders/>
            <w:vAlign w:val="center"/>
          </w:tcPr>
          <w:p>
            <w:pPr>
              <w:pStyle w:val="TableContents"/>
              <w:bidi w:val="0"/>
              <w:spacing w:before="0" w:after="1"/>
              <w:ind w:left="0" w:right="0" w:hanging="0"/>
              <w:jc w:val="right"/>
              <w:rPr/>
            </w:pPr>
            <w:r>
              <w:rPr/>
              <w:t>​</w:t>
            </w:r>
          </w:p>
        </w:tc>
        <w:tc>
          <w:tcPr>
            <w:tcW w:w="22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center"/>
              <w:rPr/>
            </w:pPr>
            <w:r>
              <w:rPr/>
              <w:t>​</w:t>
            </w:r>
          </w:p>
        </w:tc>
        <w:tc>
          <w:tcPr>
            <w:tcW w:w="23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righ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1"/>
              <w:ind w:left="0" w:right="0" w:hanging="0"/>
              <w:jc w:val="left"/>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8" w:type="dxa"/>
            <w:tcBorders/>
            <w:vAlign w:val="center"/>
          </w:tcPr>
          <w:p>
            <w:pPr>
              <w:pStyle w:val="TableContents"/>
              <w:bidi w:val="0"/>
              <w:spacing w:before="0" w:after="1"/>
              <w:ind w:left="0" w:right="0" w:hanging="0"/>
              <w:jc w:val="left"/>
              <w:rPr/>
            </w:pPr>
            <w:r>
              <w:rPr/>
              <w:t>​</w:t>
            </w:r>
          </w:p>
        </w:tc>
      </w:tr>
      <w:tr>
        <w:trPr/>
        <w:tc>
          <w:tcPr>
            <w:tcW w:w="5374" w:type="dxa"/>
            <w:tcBorders/>
            <w:vAlign w:val="center"/>
          </w:tcPr>
          <w:p>
            <w:pPr>
              <w:pStyle w:val="TableContents"/>
              <w:bidi w:val="0"/>
              <w:spacing w:before="0" w:after="1"/>
              <w:ind w:left="0" w:right="0" w:hanging="0"/>
              <w:jc w:val="righ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8" w:type="dxa"/>
            <w:tcBorders/>
            <w:vAlign w:val="center"/>
          </w:tcPr>
          <w:p>
            <w:pPr>
              <w:pStyle w:val="TableContents"/>
              <w:bidi w:val="0"/>
              <w:spacing w:before="0" w:after="1"/>
              <w:ind w:left="0" w:right="0" w:hanging="0"/>
              <w:jc w:val="left"/>
              <w:rPr/>
            </w:pPr>
            <w:r>
              <w:rPr/>
              <w:t>​</w:t>
            </w:r>
          </w:p>
        </w:tc>
      </w:tr>
      <w:tr>
        <w:trPr/>
        <w:tc>
          <w:tcPr>
            <w:tcW w:w="5374"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81,520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91,966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145,675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169,225</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44,588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50,083</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82,902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94,696</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expenses (excluding equity-based compensation expense)</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13,694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27,389</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4,128</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20,025</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33,068</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 costs (1)</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9,474</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18,706</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(2)</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9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5,750</w:t>
            </w:r>
          </w:p>
        </w:tc>
        <w:tc>
          <w:tcPr>
            <w:tcW w:w="158" w:type="dxa"/>
            <w:tcBorders/>
            <w:vAlign w:val="center"/>
          </w:tcPr>
          <w:p>
            <w:pPr>
              <w:pStyle w:val="TableContents"/>
              <w:bidi w:val="0"/>
              <w:spacing w:before="0" w:after="1"/>
              <w:ind w:left="0" w:right="0" w:hanging="0"/>
              <w:jc w:val="right"/>
              <w:rPr/>
            </w:pPr>
            <w:r>
              <w:rPr/>
              <w:t>​</w:t>
            </w:r>
          </w:p>
        </w:tc>
      </w:tr>
      <w:tr>
        <w:trPr/>
        <w:tc>
          <w:tcPr>
            <w:tcW w:w="5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(16,532)</w:t>
            </w:r>
          </w:p>
        </w:tc>
        <w:tc>
          <w:tcPr>
            <w:tcW w:w="158" w:type="dxa"/>
            <w:tcBorders/>
            <w:shd w:fill="CCEEFF" w:val="clear"/>
            <w:vAlign w:val="center"/>
          </w:tcPr>
          <w:p>
            <w:pPr>
              <w:pStyle w:val="TableContents"/>
              <w:bidi w:val="0"/>
              <w:spacing w:before="0" w:after="1"/>
              <w:ind w:left="0" w:right="0" w:hanging="0"/>
              <w:jc w:val="right"/>
              <w:rPr/>
            </w:pPr>
            <w:r>
              <w:rPr/>
              <w:t>​</w:t>
            </w:r>
          </w:p>
        </w:tc>
      </w:tr>
      <w:tr>
        <w:trPr/>
        <w:tc>
          <w:tcPr>
            <w:tcW w:w="5374" w:type="dxa"/>
            <w:tcBorders/>
            <w:vAlign w:val="center"/>
          </w:tcPr>
          <w:p>
            <w:pPr>
              <w:pStyle w:val="TableContents"/>
              <w:bidi w:val="0"/>
              <w:spacing w:before="0" w:after="1"/>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689"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top w:val="single" w:sz="2" w:space="0" w:color="000000"/>
            </w:tcBorders>
            <w:tcMar>
              <w:top w:w="28" w:type="dxa"/>
            </w:tcMar>
            <w:vAlign w:val="center"/>
          </w:tcPr>
          <w:p>
            <w:pPr>
              <w:pStyle w:val="TableContents"/>
              <w:bidi w:val="0"/>
              <w:spacing w:before="0" w:after="1"/>
              <w:ind w:left="0" w:right="0" w:hanging="0"/>
              <w:jc w:val="left"/>
              <w:rPr/>
            </w:pPr>
            <w:r>
              <w:rPr/>
              <w:t>​</w:t>
            </w:r>
          </w:p>
        </w:tc>
        <w:tc>
          <w:tcPr>
            <w:tcW w:w="791" w:type="dxa"/>
            <w:tcBorders>
              <w:top w:val="single" w:sz="2" w:space="0" w:color="000000"/>
            </w:tcBorders>
            <w:tcMar>
              <w:top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94" w:type="dxa"/>
            <w:tcBorders/>
            <w:vAlign w:val="center"/>
          </w:tcPr>
          <w:p>
            <w:pPr>
              <w:pStyle w:val="TableContents"/>
              <w:bidi w:val="0"/>
              <w:spacing w:before="0" w:after="1"/>
              <w:ind w:left="0" w:right="0" w:hanging="0"/>
              <w:jc w:val="right"/>
              <w:rPr/>
            </w:pPr>
            <w:r>
              <w:rPr/>
              <w:t>​</w:t>
            </w:r>
          </w:p>
        </w:tc>
        <w:tc>
          <w:tcPr>
            <w:tcW w:w="158" w:type="dxa"/>
            <w:tcBorders/>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categories.</w:t>
            </w:r>
          </w:p>
        </w:tc>
      </w:tr>
    </w:tbl>
    <w:tbl>
      <w:tblPr>
        <w:tblW w:w="7971" w:type="dxa"/>
        <w:jc w:val="left"/>
        <w:tblInd w:w="0" w:type="dxa"/>
        <w:tblLayout w:type="fixed"/>
        <w:tblCellMar>
          <w:top w:w="28" w:type="dxa"/>
          <w:left w:w="28" w:type="dxa"/>
          <w:bottom w:w="28" w:type="dxa"/>
          <w:right w:w="28" w:type="dxa"/>
        </w:tblCellMar>
      </w:tblPr>
      <w:tblGrid>
        <w:gridCol w:w="124"/>
        <w:gridCol w:w="33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Excludes depreciation expense related to distribution facilities recorded in cost of revenue.</w:t>
            </w:r>
          </w:p>
        </w:tc>
      </w:tr>
    </w:tbl>
    <w:p>
      <w:pPr>
        <w:pStyle w:val="TextBody"/>
        <w:pBdr/>
        <w:bidi w:val="0"/>
        <w:spacing w:before="0" w:after="0"/>
        <w:ind w:left="0" w:right="0" w:hanging="0"/>
        <w:jc w:val="left"/>
        <w:rPr>
          <w:rFonts w:ascii="Times New Roman;Times;serif" w:hAnsi="Times New Roman;Times;serif"/>
          <w:b/>
          <w:sz w:val="20"/>
        </w:rPr>
      </w:pPr>
      <w:bookmarkStart w:id="1115" w:name="_Hlk205664533"/>
      <w:bookmarkEnd w:id="1115"/>
      <w:r>
        <w:rPr>
          <w:rFonts w:ascii="Times New Roman;Times;serif" w:hAnsi="Times New Roman;Times;serif"/>
          <w:b/>
          <w:i w:val="false"/>
          <w:caps w:val="false"/>
          <w:smallCaps w:val="false"/>
          <w:sz w:val="20"/>
        </w:rPr>
        <w:t>12.</w:t>
      </w:r>
      <w:r>
        <w:rPr>
          <w:rFonts w:ascii="Times New Roman;Times;serif" w:hAnsi="Times New Roman;Times;serif"/>
          <w:b/>
          <w:sz w:val="20"/>
        </w:rPr>
        <w:t>Subsequent Events</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Compliance with Nasdaq Continued Listing Standards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was previously notified on February 27, 2025 that it was not in compliance with Nasdaq Listing Rule 5450(a)(1) because its common stock had failed to maintain a minimum bid price of $1.00 per share for a period of thirty (30) consecutive business days.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21, 2025, the Company received a notice (the “Nasdaq Notice”) from The Nasdaq Stock Market LLC (“Nasdaq”) notifying the Company that it had regained compliance with the minimum bid price requirement set forth in Nasdaq Listing Rule 5550(a)(2) (the “Minimum Bid Price Requirement”) for continued listing on the Nasdaq Capital Market.</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Nasdaq Notice, Nasdaq notified the Company that for 10 consecutive business days from July 7 to July 18, 2025, the closing bid price of the Company’s common stock was at $1.00 per share or greater, and as such, the Company has regained compliance with the Minimum Bid Price Requirement.</w:t>
      </w:r>
      <w:r>
        <w:rPr>
          <w:rFonts w:ascii="Times New Roman;Times;serif" w:hAnsi="Times New Roman;Times;serif"/>
          <w:color w:val="212529"/>
          <w:sz w:val="20"/>
          <w:shd w:fill="FFFFFF" w:val="clear"/>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16" w:name="Item2ManagementsDiscussionandAnalysisofF"/>
      <w:bookmarkStart w:id="1117" w:name="_00947685_3629_49fd_9406_728851aa98bd"/>
      <w:bookmarkEnd w:id="1116"/>
      <w:bookmarkEnd w:id="1117"/>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29, 2024, filed with the Securities and Exchange Commission (“SEC”) on March 27, 2025 (the “2024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Item I, Part 1A, “Risk Factors” in our 2024 10-K, Part II, Item 1A, “Risk Factors” in the Quarterly Report on Form 10-Q for the quarter ended March 30, 2025, and in Part II, Item 1A, “Risk Factors” in this Quarterly Report on Form 10-Q for the quarter ended June 29, 2025.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Lulu’s Fashion Lounge Holdings, Inc., a Delaware Corporation (“Lulus”, “we”, “our”, or the “Company”) is a customer-driven, digitally-native attainable luxury fashion brand for women, offering modern, unapologetically feminine designs at attainable prices for all of life’s fashionable moments. Our goal is to become the most trusted and number one destination for dresses, helping every woman feel confident and celebrated, supporting her for all of life's occasions. Lulus primarily serves a large, diverse community of Millennial and Gen Z women, who typically meet us in their 20s and stay with us through their 30s and beyond. We focus relentlessly on giving our customers what they want by using direct consumer feedback and insights to refine product offerings and elevate the customer experience. Lulus’ world class personal stylists, bridal concierge, and customer care team share an unwavering commitment to elevating style and quality and bring exceptional customer service and personalized shopping to customers around the world</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Transfer to Nasdaq Capital Market</w:t>
      </w:r>
    </w:p>
    <w:p>
      <w:pPr>
        <w:pStyle w:val="TextBody"/>
        <w:pBdr/>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May 27, 2025, we submitted an application for a transfer from the Nasdaq Global Market to the Nasdaq Capital Market which was approved and became effective as of the opening of business on June 10, 2025.  The transfer to the Nasdaq Capital Market addressed a deficiency with the minimum of $10 million of stockholders’ equity required for continued listing on the Nasdaq Global Market. The Nasdaq Capital Market requires a minimum of $2.5 million of stockholders’ equity for continued listing.</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Departure of Chief Financial Officer</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30, 2025, Tiffany R. Smith notified us of her decision to resign as Chief Financial Officer, effective June 30, 2025 (the “Transition Date”). Following the Transition Date, Ms. Smith continued to serve in an advisory position with us through the filing of this Quarterly Report on Form 10-Q for the fiscal quarter ended June 29, 2025, to ensure an orderly transition of her duties. Ms. Smith’s resignation was for personal reasons and did not arise from any disagreement on any matter relating to the operations, policies, financial results or accounting practices of the Company. Our Board of Directors is conducting a search process with the assistance of a leading executive search firm to identify our next Chief Financial Officer.  In the interim, our Board of Directors appointed Crystal Landsem to serve as the Company’s Interim Chief Financial Officer, effective as of the Transition Date, and she will hold the position of Interim Chief Financial Officer until a successor Chief Financial Officer is appointed. For avoidance of doubt, Ms. Landsem will also continue to serve as Chief Executive Officer, a position she has held with the Company since March 6, 2023.</w:t>
      </w:r>
    </w:p>
    <w:p>
      <w:pPr>
        <w:pStyle w:val="TextBody"/>
        <w:shd w:fill="FFFFFF" w:val="clear"/>
        <w:bidi w:val="0"/>
        <w:spacing w:before="0" w:after="0"/>
        <w:ind w:left="0" w:right="0" w:firstLine="360"/>
        <w:jc w:val="both"/>
        <w:rPr>
          <w:color w:val="EE0000"/>
        </w:rPr>
      </w:pPr>
      <w:r>
        <w:rPr>
          <w:color w:val="EE0000"/>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11, 2025, the Company’s Board of Directors approved a 1-for-15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one share of common stock for every fifteen shares held on the record date. All share, equity award, and per share amounts presented herein have been retroactively adjusted to reflect this Reverse Stock Split. The Reverse Stock Split was effective for purposes of trading on the Nasdaq Capital Market as of the opening of business on July 7, 2025</w:t>
      </w:r>
      <w:r>
        <w:rPr>
          <w:rFonts w:ascii="Times New Roman;Times;serif" w:hAnsi="Times New Roman;Times;serif"/>
          <w:sz w:val="20"/>
          <w:shd w:fill="FFFFFF" w:val="clear"/>
        </w:rPr>
        <w: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Compliance with Nasdaq Continued Listing Standards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were previously notified on February 27, 2025 that we were not in compliance with Nasdaq Listing Rule 5450(a)(1) because our common stock had failed to maintain a minimum bid price of $1.00 per share for a period of thirty (30) consecutive business days.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Nasdaq Notice, Nasdaq notified us that for 10 consecutive business days from July 7 to July 18, 2025, the closing bid price of our common stock was at $1.00 per share or greater, and as such, we had regained compliance with the Minimum Bid Price Requirement.</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21, 2025, we received a notice (the “Nasdaq Notice”) from The Nasdaq Stock Market LLC (“Nasdaq”) notifying us that we had regained compliance with the minimum bid price requirement set forth in Nasdaq Listing Rule 5550(a)(2) (the “Minimum Bid Price Requirement”) for continued listing on The Nasdaq Capital Market.</w:t>
      </w:r>
    </w:p>
    <w:p>
      <w:pPr>
        <w:pStyle w:val="TextBody"/>
        <w:shd w:fill="FFFFFF" w:val="clear"/>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color w:val="212529"/>
          <w:sz w:val="20"/>
          <w:shd w:fill="FFFFFF" w:val="clear"/>
        </w:rPr>
      </w:pPr>
      <w:r>
        <w:rPr>
          <w:rFonts w:ascii="Times New Roman;Times;serif" w:hAnsi="Times New Roman;Times;serif"/>
          <w:b/>
          <w:i/>
          <w:color w:val="212529"/>
          <w:sz w:val="20"/>
          <w:shd w:fill="FFFFFF" w:val="clear"/>
        </w:rPr>
        <w:t>Amendment to Forbearance Agreement and Fifth Amendment to 2021 Credit Agreement, As Amended</w:t>
      </w:r>
    </w:p>
    <w:p>
      <w:pPr>
        <w:pStyle w:val="TextBody"/>
        <w:bidi w:val="0"/>
        <w:spacing w:before="0" w:after="0"/>
        <w:ind w:left="0" w:right="0" w:firstLine="360"/>
        <w:jc w:val="both"/>
        <w:rPr>
          <w:shd w:fill="FFFF00" w:val="clear"/>
        </w:rPr>
      </w:pPr>
      <w:r>
        <w:rPr>
          <w:shd w:fill="FFFF00" w:val="clea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August 11, 2025, we entered into the Forbearance Amendment with the </w:t>
      </w:r>
      <w:r>
        <w:rPr>
          <w:rFonts w:ascii="Times New Roman;Times;serif" w:hAnsi="Times New Roman;Times;serif"/>
          <w:sz w:val="20"/>
        </w:rPr>
        <w:t>Administrative Agent and Lenders</w:t>
      </w:r>
      <w:r>
        <w:rPr>
          <w:rFonts w:ascii="Times New Roman;Times;serif" w:hAnsi="Times New Roman;Times;serif"/>
          <w:color w:val="212529"/>
          <w:sz w:val="20"/>
        </w:rPr>
        <w:t xml:space="preserve">. </w:t>
      </w:r>
      <w:r>
        <w:rPr>
          <w:rFonts w:ascii="Times New Roman;Times;serif" w:hAnsi="Times New Roman;Times;serif"/>
          <w:sz w:val="20"/>
        </w:rPr>
        <w:t xml:space="preserve">Pursuant to the terms of the Forbearance </w:t>
      </w:r>
      <w:r>
        <w:rPr>
          <w:rFonts w:ascii="Times New Roman;Times;serif" w:hAnsi="Times New Roman;Times;serif"/>
          <w:color w:val="212529"/>
          <w:sz w:val="20"/>
        </w:rPr>
        <w:t>Amendment</w:t>
      </w:r>
      <w:r>
        <w:rPr>
          <w:rFonts w:ascii="Times New Roman;Times;serif" w:hAnsi="Times New Roman;Times;serif"/>
          <w:sz w:val="20"/>
        </w:rPr>
        <w:t>, the Administrative Agent and Lenders agreed to amend the definition of “Forbearance Termination Event” set forth in the Forbearance Agreement to replace “August 15, 2025” with “August 22, 2025”</w:t>
      </w:r>
      <w:r>
        <w:rPr>
          <w:rFonts w:ascii="Times New Roman;Times;serif" w:hAnsi="Times New Roman;Times;serif"/>
          <w:sz w:val="24"/>
        </w:rPr>
        <w:t>.</w:t>
      </w:r>
      <w:r>
        <w:rPr>
          <w:rFonts w:ascii="Times New Roman;Times;serif" w:hAnsi="Times New Roman;Times;serif"/>
          <w:sz w:val="20"/>
        </w:rPr>
        <w:t xml:space="preserve"> The Forbearance Amendment also amended the definition of “Maturity Date” set forth in the 2021 Credit Agreement, as amended, to replace “August 15, 2025” with “August 22, 2025”.</w:t>
      </w:r>
      <w:r>
        <w:rPr>
          <w:rFonts w:ascii="Times New Roman;Times;serif" w:hAnsi="Times New Roman;Times;serif"/>
          <w:color w:val="212529"/>
          <w:sz w:val="20"/>
        </w:rPr>
        <w:t xml:space="preserve"> We are currently negotiating a new asset-based revolving credit facility.</w:t>
      </w:r>
    </w:p>
    <w:p>
      <w:pPr>
        <w:pStyle w:val="TextBody"/>
        <w:shd w:fill="FFFFFF" w:val="clear"/>
        <w:bidi w:val="0"/>
        <w:spacing w:before="0" w:after="0"/>
        <w:ind w:left="0" w:right="0" w:firstLine="360"/>
        <w:jc w:val="both"/>
        <w:rPr>
          <w:color w:val="EE0000"/>
        </w:rPr>
      </w:pPr>
      <w:r>
        <w:rPr>
          <w:color w:val="EE0000"/>
        </w:rPr>
        <w:t>​</w:t>
      </w:r>
    </w:p>
    <w:p>
      <w:pPr>
        <w:pStyle w:val="TextBody"/>
        <w:shd w:fill="FFFFFF" w:val="clear"/>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Changing macroeconomic factors, including inflation, interest rates, student loan repayment resumption, tariffs or bans, world events, wars and domestic and international conflicts, existing and future laws, regulations and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 </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condensed consolidated financial statements have been prepared on a going concern basis, which contemplates the realization of assets and the satisfaction of liabilities in the normal course of business. During the thirteen and twenty-six weeks ended June 29, 2025, the Company incurred net losses of $3.0 million and $11.0 million, respectively. As of June 29, 2025, we had $1.5 million in cash and cash equivalents and $5.8 million in outstanding amounts under the credit agreement with Bank of America for the Company’s revolving facility (“2021 Credit Agreement”), as amended, classified within total current liabilities. During the twenty-six weeks ended June 29, 2025, the Company did not borrow any amount under the 2021 Credit Agreement, as amended, and repaid  $7.3 million of the outstanding balance.</w:t>
      </w:r>
      <w:r>
        <w:rPr>
          <w:rFonts w:ascii="Times New Roman;Times;serif" w:hAnsi="Times New Roman;Times;serif"/>
          <w:sz w:val="20"/>
          <w:shd w:fill="FFFFFF" w:val="clear"/>
        </w:rPr>
        <w:t xml:space="preserve"> See Note 5, </w:t>
      </w:r>
      <w:r>
        <w:rPr>
          <w:rFonts w:ascii="Times New Roman;Times;serif" w:hAnsi="Times New Roman;Times;serif"/>
          <w:i/>
          <w:sz w:val="20"/>
          <w:shd w:fill="FFFFFF" w:val="clear"/>
        </w:rPr>
        <w:t>Debt</w:t>
      </w:r>
      <w:r>
        <w:rPr>
          <w:rFonts w:ascii="Times New Roman;Times;serif" w:hAnsi="Times New Roman;Times;serif"/>
          <w:sz w:val="20"/>
          <w:shd w:fill="FFFFFF" w:val="clear"/>
        </w:rPr>
        <w:t> </w:t>
      </w:r>
      <w:r>
        <w:rPr>
          <w:rFonts w:ascii="Times New Roman;Times;serif" w:hAnsi="Times New Roman;Times;serif"/>
          <w:sz w:val="20"/>
        </w:rPr>
        <w:t xml:space="preserve">within the Notes to the Condensed Consolidated Financial Statements included elsewhere in this Quarterly Report on Form 10-Q </w:t>
      </w:r>
      <w:r>
        <w:rPr>
          <w:rFonts w:ascii="Times New Roman;Times;serif" w:hAnsi="Times New Roman;Times;serif"/>
          <w:sz w:val="20"/>
          <w:shd w:fill="FFFFFF" w:val="clear"/>
        </w:rPr>
        <w:t>for further information on the 2021 Credit Agreement, as amended</w:t>
      </w:r>
      <w:r>
        <w:rPr>
          <w:rFonts w:ascii="Times New Roman;Times;serif" w:hAnsi="Times New Roman;Times;serif"/>
          <w:sz w:val="20"/>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actively seeking alternative debt financing and continuing to take certain cash conservation measures, including adjustments to marketing and other fixed and variable costs and capital spend to meet our obligations as needed.  While we are currently negotiating a new asset-based revolving credit facility, there can be no assurances that we will be able to close such credit facility in a timely manner on acceptable terms, if at all. As the ability to raise additional debt financing is outside of management’s control, we cannot conclude that management’s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that might result from the outcome of this uncertainty.</w:t>
      </w:r>
    </w:p>
    <w:p>
      <w:pPr>
        <w:pStyle w:val="TextBody"/>
        <w:bidi w:val="0"/>
        <w:spacing w:before="0" w:after="0"/>
        <w:ind w:left="0" w:right="0" w:firstLine="360"/>
        <w:jc w:val="both"/>
        <w:rPr>
          <w:color w:val="212529"/>
          <w:shd w:fill="FFFFFF" w:val="clear"/>
        </w:rPr>
      </w:pPr>
      <w:r>
        <w:rPr>
          <w:color w:val="212529"/>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w:t>
      </w:r>
    </w:p>
    <w:tbl>
      <w:tblPr>
        <w:tblW w:w="8776" w:type="dxa"/>
        <w:jc w:val="left"/>
        <w:tblInd w:w="0" w:type="dxa"/>
        <w:tblLayout w:type="fixed"/>
        <w:tblCellMar>
          <w:top w:w="0" w:type="dxa"/>
          <w:left w:w="0" w:type="dxa"/>
          <w:bottom w:w="0" w:type="dxa"/>
          <w:right w:w="0" w:type="dxa"/>
        </w:tblCellMar>
      </w:tblPr>
      <w:tblGrid>
        <w:gridCol w:w="2491"/>
        <w:gridCol w:w="326"/>
        <w:gridCol w:w="211"/>
        <w:gridCol w:w="691"/>
        <w:gridCol w:w="361"/>
        <w:gridCol w:w="146"/>
        <w:gridCol w:w="211"/>
        <w:gridCol w:w="796"/>
        <w:gridCol w:w="361"/>
        <w:gridCol w:w="109"/>
        <w:gridCol w:w="211"/>
        <w:gridCol w:w="796"/>
        <w:gridCol w:w="361"/>
        <w:gridCol w:w="146"/>
        <w:gridCol w:w="211"/>
        <w:gridCol w:w="796"/>
        <w:gridCol w:w="361"/>
        <w:gridCol w:w="19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581785" cy="175260"/>
                      <wp:effectExtent l="0" t="0" r="0" b="0"/>
                      <wp:wrapNone/>
                      <wp:docPr id="199" name="Frame19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8785" cy="175260"/>
                      <wp:effectExtent l="0" t="0" r="0" b="0"/>
                      <wp:wrapNone/>
                      <wp:docPr id="202" name="Frame2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9235" cy="175260"/>
                      <wp:effectExtent l="0" t="0" r="0" b="0"/>
                      <wp:wrapNone/>
                      <wp:docPr id="203" name="Frame20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92710" cy="175260"/>
                      <wp:effectExtent l="0" t="0" r="0" b="0"/>
                      <wp:wrapNone/>
                      <wp:docPr id="204" name="Frame2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5460" cy="175260"/>
                      <wp:effectExtent l="0" t="0" r="0" b="0"/>
                      <wp:wrapNone/>
                      <wp:docPr id="206" name="Frame2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29235" cy="175260"/>
                      <wp:effectExtent l="0" t="0" r="0" b="0"/>
                      <wp:wrapNone/>
                      <wp:docPr id="207" name="Frame20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05460" cy="175260"/>
                      <wp:effectExtent l="0" t="0" r="0" b="0"/>
                      <wp:wrapNone/>
                      <wp:docPr id="210" name="Frame2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29235" cy="175260"/>
                      <wp:effectExtent l="0" t="0" r="0" b="0"/>
                      <wp:wrapNone/>
                      <wp:docPr id="211" name="Frame21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2710" cy="175260"/>
                      <wp:effectExtent l="0" t="0" r="0" b="0"/>
                      <wp:wrapNone/>
                      <wp:docPr id="212" name="Frame2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05460" cy="175260"/>
                      <wp:effectExtent l="0" t="0" r="0" b="0"/>
                      <wp:wrapNone/>
                      <wp:docPr id="214" name="Frame21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9235" cy="175260"/>
                      <wp:effectExtent l="0" t="0" r="0" b="0"/>
                      <wp:wrapNone/>
                      <wp:docPr id="215" name="Frame2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21285" cy="175260"/>
                      <wp:effectExtent l="0" t="0" r="0" b="0"/>
                      <wp:wrapNone/>
                      <wp:docPr id="216" name="Frame21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88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91"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46"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center"/>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46"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left"/>
              <w:rPr/>
            </w:pPr>
            <w:r>
              <w:rPr/>
              <w:t>​</w:t>
            </w:r>
          </w:p>
        </w:tc>
      </w:tr>
      <w:tr>
        <w:trPr/>
        <w:tc>
          <w:tcPr>
            <w:tcW w:w="877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68" w:type="dxa"/>
            <w:gridSpan w:val="1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Average Order Value)</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6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9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c>
          <w:tcPr>
            <w:tcW w:w="361"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2,670</w:t>
            </w:r>
          </w:p>
        </w:tc>
        <w:tc>
          <w:tcPr>
            <w:tcW w:w="361"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6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For a reconciliation of non-GAAP financial measures to the most directly comparable GAAP financial measure and why we consider them useful, see “Management’s Discussion and Analysis of Financial Condition and Results of Operations - 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We consider Total Orders Placed as a key performance metric on the basis that it is directly related to our ability to attract and retain customers as well as drive purchase frequency. Total Orders Placed, together with AOV, is an indicator of the net revenue we expect to generate in a particular period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shd w:fill="FFFFFF" w:val="clear"/>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Adjusted EBITDA, Adjusted EBITDA Margin, and Free Cash Flow</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net loss before interest expense, income taxes or benefit,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We believe that Adjusted EBITDA and Adjusted EBITDA Margin provide useful information to investors and others in understanding and evaluating our operating results and in comparing operating results across periods. We view Free Cash Flow as an important indicator of our liquidity because it measures the amount of cash we generate.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supplement our condensed consolidated financial statements which are prepared in accordance with GAAP, we use “Adjusted EBITDA,” “Adjusted EBITDA Margin” (collectively referred to as “Adjusted EBITDA”) and “Free Cash Flow”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does not reflect certain non-routine expenses that may represent a reduction in cash available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excludes equity-based compensation which has been, and will continue to be for the foreseeable future, a significant recurring expense in our business and an important part of our compensation strategy.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Although depreciation and amortization are non-cash charges, the assets being depreciated and amortized will often have to be replaced in the future and such measures do not reflect any cash requirements for such replacements;</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Free Cash Flow does not represent the total residual cash flow available for discretionary purposes;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0" w:after="240"/>
        <w:ind w:left="0" w:right="0" w:firstLine="432"/>
        <w:jc w:val="both"/>
        <w:rPr>
          <w:rFonts w:ascii="Times New Roman;Times;serif" w:hAnsi="Times New Roman;Times;serif"/>
          <w:sz w:val="20"/>
          <w:shd w:fill="FFFFFF" w:val="clear"/>
        </w:rPr>
      </w:pPr>
      <w:r>
        <w:rPr>
          <w:rFonts w:ascii="Times New Roman;Times;serif" w:hAnsi="Times New Roman;Times;serif"/>
          <w:sz w:val="20"/>
          <w:shd w:fill="FFFFFF" w:val="clear"/>
        </w:rPr>
        <w:t>Due to these limitations, Adjusted EBITDA, Adjusted EBITDA Margin, and Free Cash Flow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and equity-based compensation.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9355" w:type="dxa"/>
        <w:jc w:val="left"/>
        <w:tblInd w:w="0" w:type="dxa"/>
        <w:tblLayout w:type="fixed"/>
        <w:tblCellMar>
          <w:top w:w="0" w:type="dxa"/>
          <w:left w:w="0" w:type="dxa"/>
          <w:bottom w:w="0" w:type="dxa"/>
          <w:right w:w="0" w:type="dxa"/>
        </w:tblCellMar>
      </w:tblPr>
      <w:tblGrid>
        <w:gridCol w:w="3361"/>
        <w:gridCol w:w="326"/>
        <w:gridCol w:w="211"/>
        <w:gridCol w:w="691"/>
        <w:gridCol w:w="271"/>
        <w:gridCol w:w="109"/>
        <w:gridCol w:w="211"/>
        <w:gridCol w:w="796"/>
        <w:gridCol w:w="361"/>
        <w:gridCol w:w="109"/>
        <w:gridCol w:w="211"/>
        <w:gridCol w:w="796"/>
        <w:gridCol w:w="271"/>
        <w:gridCol w:w="109"/>
        <w:gridCol w:w="211"/>
        <w:gridCol w:w="796"/>
        <w:gridCol w:w="361"/>
        <w:gridCol w:w="154"/>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34235" cy="175260"/>
                      <wp:effectExtent l="0" t="0" r="0" b="0"/>
                      <wp:wrapNone/>
                      <wp:docPr id="217" name="Frame216"/>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38785" cy="175260"/>
                      <wp:effectExtent l="0" t="0" r="0" b="0"/>
                      <wp:wrapNone/>
                      <wp:docPr id="220" name="Frame21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72085" cy="175260"/>
                      <wp:effectExtent l="0" t="0" r="0" b="0"/>
                      <wp:wrapNone/>
                      <wp:docPr id="221" name="Frame22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9215" cy="175260"/>
                      <wp:effectExtent l="0" t="0" r="0" b="0"/>
                      <wp:wrapNone/>
                      <wp:docPr id="222"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505460" cy="175260"/>
                      <wp:effectExtent l="0" t="0" r="0" b="0"/>
                      <wp:wrapNone/>
                      <wp:docPr id="224" name="Frame2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29235" cy="175260"/>
                      <wp:effectExtent l="0" t="0" r="0" b="0"/>
                      <wp:wrapNone/>
                      <wp:docPr id="225" name="Frame22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05460" cy="175260"/>
                      <wp:effectExtent l="0" t="0" r="0" b="0"/>
                      <wp:wrapNone/>
                      <wp:docPr id="228" name="Frame22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2085" cy="175260"/>
                      <wp:effectExtent l="0" t="0" r="0" b="0"/>
                      <wp:wrapNone/>
                      <wp:docPr id="229" name="Frame22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05460" cy="175260"/>
                      <wp:effectExtent l="0" t="0" r="0" b="0"/>
                      <wp:wrapNone/>
                      <wp:docPr id="232" name="Frame2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9235" cy="175260"/>
                      <wp:effectExtent l="0" t="0" r="0" b="0"/>
                      <wp:wrapNone/>
                      <wp:docPr id="233" name="Frame23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7790" cy="175260"/>
                      <wp:effectExtent l="0" t="0" r="0" b="0"/>
                      <wp:wrapNone/>
                      <wp:docPr id="234" name="Frame23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75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left"/>
              <w:rPr/>
            </w:pPr>
            <w:r>
              <w:rPr/>
              <w:t>​</w:t>
            </w:r>
          </w:p>
        </w:tc>
        <w:tc>
          <w:tcPr>
            <w:tcW w:w="127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left"/>
              <w:rPr/>
            </w:pPr>
            <w:r>
              <w:rPr/>
              <w:t>​</w:t>
            </w:r>
          </w:p>
        </w:tc>
        <w:tc>
          <w:tcPr>
            <w:tcW w:w="13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3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935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275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center"/>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36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361"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2,710</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provision (benefit)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4,128</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non-routine expense (2)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w:t>
            </w:r>
          </w:p>
        </w:tc>
        <w:tc>
          <w:tcPr>
            <w:tcW w:w="36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5"/>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and twenty-six weeks ended June 29, 2025 include equity-based compensation expense for performance stock units (“PSUs”) and restricted stock units (“RSUs”) granted during the period and prior periods. </w:t>
            </w:r>
            <w:r>
              <w:rPr>
                <w:rFonts w:ascii="Times New Roman;Times;serif" w:hAnsi="Times New Roman;Times;serif"/>
                <w:b w:val="false"/>
                <w:i w:val="false"/>
                <w:caps w:val="false"/>
                <w:smallCaps w:val="false"/>
                <w:color w:val="212529"/>
                <w:sz w:val="20"/>
                <w:shd w:fill="FFFFFF" w:val="clear"/>
              </w:rPr>
              <w:t>The thirteen and twenty-six weeks ended June 30, 2024 include equity-based compensation expense for PSUs and RSUs granted during the period and prior periods, as well as other equity-based awards granted in prior periods.</w:t>
            </w:r>
            <w:r>
              <w:rPr>
                <w:caps w:val="false"/>
                <w:smallCaps w:val="false"/>
                <w:color w:val="212529"/>
                <w:shd w:fill="FFFF00" w:val="clear"/>
              </w:rPr>
              <w:t xml:space="preserve"> </w:t>
            </w:r>
          </w:p>
        </w:tc>
      </w:tr>
    </w:tbl>
    <w:p>
      <w:pPr>
        <w:pStyle w:val="TextBody"/>
        <w:bidi w:val="0"/>
        <w:spacing w:before="0" w:after="0"/>
        <w:ind w:left="720" w:right="0" w:hanging="0"/>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shd w:fill="FFFFFF" w:val="clear"/>
              </w:rPr>
              <w:t>The thirteen and twenty-six weeks ended June 30, 2024 include non-routine expenses related to a legal reserve accrual net of an anticipated and contingent insurance receivable. See Note 7, </w:t>
            </w:r>
            <w:r>
              <w:rPr>
                <w:rFonts w:ascii="Times New Roman;Times;serif" w:hAnsi="Times New Roman;Times;serif"/>
                <w:b w:val="false"/>
                <w:i/>
                <w:color w:val="212529"/>
                <w:sz w:val="20"/>
                <w:shd w:fill="FFFFFF" w:val="clear"/>
              </w:rPr>
              <w:t>Commitments and Contingencies - Litigation and Other</w:t>
            </w:r>
            <w:r>
              <w:rPr>
                <w:rFonts w:ascii="Times New Roman;Times;serif" w:hAnsi="Times New Roman;Times;serif"/>
                <w:b w:val="false"/>
                <w:i w:val="false"/>
                <w:caps w:val="false"/>
                <w:smallCaps w:val="false"/>
                <w:color w:val="212529"/>
                <w:sz w:val="20"/>
                <w:shd w:fill="FFFFFF" w:val="clear"/>
              </w:rPr>
              <w:t>, in the Notes to the Condensed Consolidated Financial Statements included in the Quarterly Report on Form 10-Q for the period ended June 30, 2024, for more information.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and twenty-six weeks ended June 29, 2025 and June 30, 2024 is as follows:</w:t>
      </w:r>
    </w:p>
    <w:tbl>
      <w:tblPr>
        <w:tblW w:w="8561" w:type="dxa"/>
        <w:jc w:val="left"/>
        <w:tblInd w:w="0" w:type="dxa"/>
        <w:tblLayout w:type="fixed"/>
        <w:tblCellMar>
          <w:top w:w="0" w:type="dxa"/>
          <w:left w:w="0" w:type="dxa"/>
          <w:bottom w:w="0" w:type="dxa"/>
          <w:right w:w="0" w:type="dxa"/>
        </w:tblCellMar>
      </w:tblPr>
      <w:tblGrid>
        <w:gridCol w:w="3466"/>
        <w:gridCol w:w="109"/>
        <w:gridCol w:w="263"/>
        <w:gridCol w:w="862"/>
        <w:gridCol w:w="109"/>
        <w:gridCol w:w="303"/>
        <w:gridCol w:w="822"/>
        <w:gridCol w:w="109"/>
        <w:gridCol w:w="303"/>
        <w:gridCol w:w="822"/>
        <w:gridCol w:w="111"/>
        <w:gridCol w:w="267"/>
        <w:gridCol w:w="858"/>
        <w:gridCol w:w="157"/>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200910" cy="175260"/>
                      <wp:effectExtent l="0" t="0" r="0" b="0"/>
                      <wp:wrapNone/>
                      <wp:docPr id="235" name="Frame234"/>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67005" cy="175260"/>
                      <wp:effectExtent l="0" t="0" r="0" b="0"/>
                      <wp:wrapNone/>
                      <wp:docPr id="237" name="Frame236"/>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47370" cy="175260"/>
                      <wp:effectExtent l="0" t="0" r="0" b="0"/>
                      <wp:wrapNone/>
                      <wp:docPr id="238" name="Frame23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92405" cy="175260"/>
                      <wp:effectExtent l="0" t="0" r="0" b="0"/>
                      <wp:wrapNone/>
                      <wp:docPr id="240" name="Frame23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21970" cy="175260"/>
                      <wp:effectExtent l="0" t="0" r="0" b="0"/>
                      <wp:wrapNone/>
                      <wp:docPr id="241" name="Frame240"/>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92405" cy="175260"/>
                      <wp:effectExtent l="0" t="0" r="0" b="0"/>
                      <wp:wrapNone/>
                      <wp:docPr id="243" name="Frame242"/>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521970" cy="175260"/>
                      <wp:effectExtent l="0" t="0" r="0" b="0"/>
                      <wp:wrapNone/>
                      <wp:docPr id="244" name="Frame243"/>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70485" cy="175260"/>
                      <wp:effectExtent l="0" t="0" r="0" b="0"/>
                      <wp:wrapNone/>
                      <wp:docPr id="245" name="Frame244"/>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69545" cy="175260"/>
                      <wp:effectExtent l="0" t="0" r="0" b="0"/>
                      <wp:wrapNone/>
                      <wp:docPr id="246" name="Frame24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44830" cy="175260"/>
                      <wp:effectExtent l="0" t="0" r="0" b="0"/>
                      <wp:wrapNone/>
                      <wp:docPr id="247" name="Frame24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99695" cy="175260"/>
                      <wp:effectExtent l="0" t="0" r="0" b="0"/>
                      <wp:wrapNone/>
                      <wp:docPr id="248" name="Frame247"/>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5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4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111"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57"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w:t>
            </w:r>
          </w:p>
        </w:tc>
        <w:tc>
          <w:tcPr>
            <w:tcW w:w="111"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111"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pPr>
            <w:r>
              <w:rPr/>
              <w:t>​</w:t>
            </w:r>
          </w:p>
        </w:tc>
        <w:tc>
          <w:tcPr>
            <w:tcW w:w="8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c>
          <w:tcPr>
            <w:tcW w:w="157" w:type="dxa"/>
            <w:tcBorders/>
            <w:vAlign w:val="center"/>
          </w:tcPr>
          <w:p>
            <w:pPr>
              <w:pStyle w:val="TableContents"/>
              <w:bidi w:val="0"/>
              <w:spacing w:before="0" w:after="0"/>
              <w:ind w:left="0" w:right="0" w:hanging="0"/>
              <w:jc w:val="righ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before="0" w:after="0"/>
              <w:ind w:left="0" w:right="0" w:hanging="0"/>
              <w:jc w:val="righ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11" w:type="dxa"/>
            <w:tcBorders/>
            <w:shd w:fill="CCEEFF" w:val="clear"/>
            <w:vAlign w:val="center"/>
          </w:tcPr>
          <w:p>
            <w:pPr>
              <w:pStyle w:val="TableContents"/>
              <w:bidi w:val="0"/>
              <w:spacing w:before="0" w:after="0"/>
              <w:ind w:left="0" w:right="0" w:hanging="0"/>
              <w:jc w:val="righ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157"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w:t>
            </w:r>
          </w:p>
        </w:tc>
        <w:tc>
          <w:tcPr>
            <w:tcW w:w="109" w:type="dxa"/>
            <w:tcBorders/>
            <w:vAlign w:val="center"/>
          </w:tcPr>
          <w:p>
            <w:pPr>
              <w:pStyle w:val="TableContents"/>
              <w:bidi w:val="0"/>
              <w:spacing w:before="0" w:after="0"/>
              <w:ind w:left="0" w:right="0" w:hanging="0"/>
              <w:jc w:val="righ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111" w:type="dxa"/>
            <w:tcBorders/>
            <w:vAlign w:val="center"/>
          </w:tcPr>
          <w:p>
            <w:pPr>
              <w:pStyle w:val="TableContents"/>
              <w:bidi w:val="0"/>
              <w:spacing w:before="0" w:after="0"/>
              <w:ind w:left="0" w:right="0" w:hanging="0"/>
              <w:jc w:val="righ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9,014</w:t>
            </w:r>
          </w:p>
        </w:tc>
        <w:tc>
          <w:tcPr>
            <w:tcW w:w="15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Our financial condition and results of operations have been, and will continue to be, affected by a number of factors that present significant opportunities for us but also pose risks and challenges, including what is discussed below. See Part I, Item 1A, “Risk Factors” in our 2024 10-K and 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of this Quarterly Report on Form 10-Q for the quarter ended June 29, 2025</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w:t>
      </w:r>
      <w:r>
        <w:rPr>
          <w:rFonts w:ascii="Times New Roman;Times;serif" w:hAnsi="Times New Roman;Times;serif"/>
          <w:sz w:val="20"/>
        </w:rPr>
        <w:t>. During the trailing 12 months ended June 29, 2025, we served 2.5 million Active Customers compared to 2.7 million for the trailing 12 months ended June 30,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As we continue to grow, we will adjust our inventory purchases to align with the current needs of the business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will continue to invest in our operations and infrastructure to facilitate further operational efficiencies and growth of our business, while managing expenses to align with our net revenue expectations and goals to return to profitability. We will continue to set a high bar for any new investments or capital spending initiatives as we believe that a disciplined approach to capital spending will enable us to generate positive returns on our investments over the long term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determine to have occurred upon shipment</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Gross Margin</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growth in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as we scale, our Gross Margin may fluctuate from period to period depending on the interplay of these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rent, and other occupancy expenses. General and administrative expenses are primarily driven by increases in headcount required to support business growth and meet our obligations as a public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shd w:fill="FFFFFF" w:val="clear"/>
        </w:rPr>
        <w:t>Interest Expense</w:t>
      </w:r>
      <w:r>
        <w:rPr>
          <w:rFonts w:ascii="Times New Roman;Times;serif" w:hAnsi="Times New Roman;Times;serif"/>
          <w:b/>
          <w:i/>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Interest expense consists of interest expense related to the revolving facility under the 2021 Credit Agreement, as amended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bookmarkStart w:id="1118" w:name="_Hlk180477594"/>
      <w:bookmarkStart w:id="1119" w:name="_Hlk180477505"/>
      <w:bookmarkEnd w:id="1118"/>
      <w:bookmarkEnd w:id="1119"/>
      <w:r>
        <w:rPr>
          <w:rFonts w:ascii="Times New Roman;Times;serif" w:hAnsi="Times New Roman;Times;serif"/>
          <w:b/>
          <w:i/>
          <w:sz w:val="20"/>
        </w:rPr>
        <w:t>Income Tax Benefit (Provision)</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benefit (provision) for income taxes represents federal, state, and local income taxes. The effective rate differs from the statutory rate primarily due to </w:t>
      </w:r>
      <w:r>
        <w:rPr>
          <w:rFonts w:ascii="Times New Roman;Times;serif" w:hAnsi="Times New Roman;Times;serif"/>
          <w:sz w:val="20"/>
        </w:rPr>
        <w:t>the establishment of a deferred tax asset valuation allowance as the Company could not provide sufficient positive evidence that the deferred taxes will be more-likely-than-not realized in the future. Our effective tax rate will change from quarter to quarter based on recurring and nonrecurring factors including, but not limited to, enacted tax legislation, state and local income taxes, and tax audit settlements.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regularly assesses the realizability of deferred tax assets and records a valuation allowance to reduce the deferred tax assets to the amount that is more likely than not to be realized. In assessing the realizability of our deferred tax assets,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established a valuation allowance of $14.9 million as of December 29, 2024 and the same position for the period ended June 29,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tables set forth our condensed consolidated results of operations for the periods presented and as a percentage of net revenue and net loss</w:t>
      </w:r>
      <w:r>
        <w:rPr>
          <w:rFonts w:ascii="Times New Roman;Times;serif" w:hAnsi="Times New Roman;Times;serif"/>
          <w:sz w:val="20"/>
        </w:rPr>
        <w:t>:</w:t>
      </w:r>
    </w:p>
    <w:tbl>
      <w:tblPr>
        <w:tblW w:w="8615" w:type="dxa"/>
        <w:jc w:val="left"/>
        <w:tblInd w:w="0" w:type="dxa"/>
        <w:tblLayout w:type="fixed"/>
        <w:tblCellMar>
          <w:top w:w="0" w:type="dxa"/>
          <w:left w:w="0" w:type="dxa"/>
          <w:bottom w:w="0" w:type="dxa"/>
          <w:right w:w="0" w:type="dxa"/>
        </w:tblCellMar>
      </w:tblPr>
      <w:tblGrid>
        <w:gridCol w:w="3091"/>
        <w:gridCol w:w="326"/>
        <w:gridCol w:w="301"/>
        <w:gridCol w:w="691"/>
        <w:gridCol w:w="109"/>
        <w:gridCol w:w="301"/>
        <w:gridCol w:w="796"/>
        <w:gridCol w:w="326"/>
        <w:gridCol w:w="301"/>
        <w:gridCol w:w="796"/>
        <w:gridCol w:w="109"/>
        <w:gridCol w:w="301"/>
        <w:gridCol w:w="796"/>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962785" cy="175260"/>
                      <wp:effectExtent l="0" t="0" r="0" b="0"/>
                      <wp:wrapNone/>
                      <wp:docPr id="249" name="Frame24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91135" cy="175260"/>
                      <wp:effectExtent l="0" t="0" r="0" b="0"/>
                      <wp:wrapNone/>
                      <wp:docPr id="251" name="Frame25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38785" cy="175260"/>
                      <wp:effectExtent l="0" t="0" r="0" b="0"/>
                      <wp:wrapNone/>
                      <wp:docPr id="252" name="Frame2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91135" cy="175260"/>
                      <wp:effectExtent l="0" t="0" r="0" b="0"/>
                      <wp:wrapNone/>
                      <wp:docPr id="254" name="Frame25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05460" cy="175260"/>
                      <wp:effectExtent l="0" t="0" r="0" b="0"/>
                      <wp:wrapNone/>
                      <wp:docPr id="255" name="Frame2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1135" cy="175260"/>
                      <wp:effectExtent l="0" t="0" r="0" b="0"/>
                      <wp:wrapNone/>
                      <wp:docPr id="257" name="Frame25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5460" cy="175260"/>
                      <wp:effectExtent l="0" t="0" r="0" b="0"/>
                      <wp:wrapNone/>
                      <wp:docPr id="258" name="Frame2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91135" cy="175260"/>
                      <wp:effectExtent l="0" t="0" r="0" b="0"/>
                      <wp:wrapNone/>
                      <wp:docPr id="260" name="Frame25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505460" cy="175260"/>
                      <wp:effectExtent l="0" t="0" r="0" b="0"/>
                      <wp:wrapNone/>
                      <wp:docPr id="261" name="Frame2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35585" cy="175260"/>
                      <wp:effectExtent l="0" t="0" r="0" b="0"/>
                      <wp:wrapNone/>
                      <wp:docPr id="262" name="Frame26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23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w:t>
            </w:r>
          </w:p>
        </w:tc>
      </w:tr>
      <w:tr>
        <w:trPr/>
        <w:tc>
          <w:tcPr>
            <w:tcW w:w="861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27"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81,520</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91,966</w:t>
            </w:r>
          </w:p>
        </w:tc>
        <w:tc>
          <w:tcPr>
            <w:tcW w:w="326" w:type="dxa"/>
            <w:tcBorders/>
            <w:shd w:fill="CCEEFF" w:val="clear"/>
            <w:vAlign w:val="center"/>
          </w:tcPr>
          <w:p>
            <w:pPr>
              <w:pStyle w:val="TableContents"/>
              <w:bidi w:val="0"/>
              <w:spacing w:before="0" w:after="0"/>
              <w:ind w:left="0" w:right="0" w:hanging="0"/>
              <w:jc w:val="left"/>
              <w:rPr/>
            </w:pPr>
            <w:r>
              <w:rPr/>
              <w:t>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169,225</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44,588</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50,083</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82,902</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94,696</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62,773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21,993</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24,914</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37,908</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42,607</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(4,467)</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(10,741)</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(6,331)</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(10,796)</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(16,532)</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81" w:type="dxa"/>
        <w:jc w:val="left"/>
        <w:tblInd w:w="0" w:type="dxa"/>
        <w:tblLayout w:type="fixed"/>
        <w:tblCellMar>
          <w:top w:w="0" w:type="dxa"/>
          <w:left w:w="0" w:type="dxa"/>
          <w:bottom w:w="0" w:type="dxa"/>
          <w:right w:w="0" w:type="dxa"/>
        </w:tblCellMar>
      </w:tblPr>
      <w:tblGrid>
        <w:gridCol w:w="3091"/>
        <w:gridCol w:w="326"/>
        <w:gridCol w:w="421"/>
        <w:gridCol w:w="326"/>
        <w:gridCol w:w="326"/>
        <w:gridCol w:w="436"/>
        <w:gridCol w:w="326"/>
        <w:gridCol w:w="326"/>
        <w:gridCol w:w="447"/>
        <w:gridCol w:w="346"/>
        <w:gridCol w:w="346"/>
        <w:gridCol w:w="447"/>
        <w:gridCol w:w="346"/>
        <w:gridCol w:w="3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962785" cy="175260"/>
                      <wp:effectExtent l="0" t="0" r="0" b="0"/>
                      <wp:wrapNone/>
                      <wp:docPr id="263" name="Frame26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67335" cy="175260"/>
                      <wp:effectExtent l="0" t="0" r="0" b="0"/>
                      <wp:wrapNone/>
                      <wp:docPr id="265" name="Frame26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76860" cy="175260"/>
                      <wp:effectExtent l="0" t="0" r="0" b="0"/>
                      <wp:wrapNone/>
                      <wp:docPr id="268" name="Frame26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83845" cy="175260"/>
                      <wp:effectExtent l="0" t="0" r="0" b="0"/>
                      <wp:wrapNone/>
                      <wp:docPr id="271" name="Frame270"/>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83845" cy="175260"/>
                      <wp:effectExtent l="0" t="0" r="0" b="0"/>
                      <wp:wrapNone/>
                      <wp:docPr id="274" name="Frame273"/>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35585" cy="175260"/>
                      <wp:effectExtent l="0" t="0" r="0" b="0"/>
                      <wp:wrapNone/>
                      <wp:docPr id="276" name="Frame27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26" w:type="dxa"/>
            <w:tcBorders/>
            <w:vAlign w:val="center"/>
          </w:tcPr>
          <w:p>
            <w:pPr>
              <w:pStyle w:val="TableContents"/>
              <w:bidi w:val="0"/>
              <w:spacing w:before="0" w:after="0"/>
              <w:ind w:left="0" w:right="0" w:hanging="0"/>
              <w:jc w:val="left"/>
              <w:rPr/>
            </w:pPr>
            <w:r>
              <w:rPr/>
              <w:t>​</w:t>
            </w:r>
          </w:p>
        </w:tc>
        <w:tc>
          <w:tcPr>
            <w:tcW w:w="19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w:t>
            </w:r>
          </w:p>
        </w:tc>
        <w:tc>
          <w:tcPr>
            <w:tcW w:w="7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left"/>
              <w:rPr/>
            </w:pPr>
            <w:r>
              <w:rPr/>
              <w:t>​</w:t>
            </w:r>
          </w:p>
        </w:tc>
        <w:tc>
          <w:tcPr>
            <w:tcW w:w="7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46" w:type="dxa"/>
            <w:tcBorders/>
            <w:vAlign w:val="center"/>
          </w:tcPr>
          <w:p>
            <w:pPr>
              <w:pStyle w:val="TableContents"/>
              <w:bidi w:val="0"/>
              <w:spacing w:before="0" w:after="0"/>
              <w:ind w:left="0" w:right="0" w:hanging="0"/>
              <w:jc w:val="left"/>
              <w:rPr/>
            </w:pPr>
            <w:r>
              <w:rPr/>
              <w:t>​</w:t>
            </w:r>
          </w:p>
        </w:tc>
        <w:tc>
          <w:tcPr>
            <w:tcW w:w="7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w:t>
            </w:r>
          </w:p>
        </w:tc>
        <w:tc>
          <w:tcPr>
            <w:tcW w:w="7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June 29, 2025 and June 30, 2024</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Net revenue decreased in the thirteen weeks ended June 29, 2025 by $10.4 million, or 11%, compared to the same period of the prior year, primarily due to a 16% decrease in Total Orders Placed, partially offset by the impact of higher AOV and lower return rates.</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Cost of revenue decreased in the thirteen weeks ended </w:t>
      </w:r>
      <w:r>
        <w:rPr>
          <w:rFonts w:ascii="Times New Roman;Times;serif" w:hAnsi="Times New Roman;Times;serif"/>
          <w:sz w:val="20"/>
        </w:rPr>
        <w:t xml:space="preserve">June 29, 2025 </w:t>
      </w:r>
      <w:r>
        <w:rPr>
          <w:rFonts w:ascii="Times New Roman;Times;serif" w:hAnsi="Times New Roman;Times;serif"/>
          <w:sz w:val="20"/>
          <w:shd w:fill="FFFFFF" w:val="clear"/>
        </w:rPr>
        <w:t>by $5.5 million, or 11%</w:t>
      </w:r>
      <w:r>
        <w:rPr>
          <w:rFonts w:ascii="Times New Roman;Times;serif" w:hAnsi="Times New Roman;Times;serif"/>
          <w:sz w:val="20"/>
        </w:rPr>
        <w:t xml:space="preserve"> </w:t>
      </w:r>
      <w:r>
        <w:rPr>
          <w:rFonts w:ascii="Times New Roman;Times;serif" w:hAnsi="Times New Roman;Times;serif"/>
          <w:sz w:val="20"/>
          <w:shd w:fill="FFFFFF" w:val="clear"/>
        </w:rPr>
        <w:t>compared to the same period of the prior year, primarily driven by the impact of lower net revenue.</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Gross profit decreased in the thirteen weeks ended </w:t>
      </w:r>
      <w:r>
        <w:rPr>
          <w:rFonts w:ascii="Times New Roman;Times;serif" w:hAnsi="Times New Roman;Times;serif"/>
          <w:sz w:val="20"/>
        </w:rPr>
        <w:t xml:space="preserve">June 29, 2025 </w:t>
      </w:r>
      <w:r>
        <w:rPr>
          <w:rFonts w:ascii="Times New Roman;Times;serif" w:hAnsi="Times New Roman;Times;serif"/>
          <w:sz w:val="20"/>
          <w:shd w:fill="FFFFFF" w:val="clear"/>
        </w:rPr>
        <w:t>by $5.0 million, or 12%</w:t>
      </w:r>
      <w:r>
        <w:rPr>
          <w:rFonts w:ascii="Times New Roman;Times;serif" w:hAnsi="Times New Roman;Times;serif"/>
          <w:sz w:val="20"/>
        </w:rPr>
        <w:t xml:space="preserve"> </w:t>
      </w:r>
      <w:r>
        <w:rPr>
          <w:rFonts w:ascii="Times New Roman;Times;serif" w:hAnsi="Times New Roman;Times;serif"/>
          <w:sz w:val="20"/>
          <w:shd w:fill="FFFFFF" w:val="clear"/>
        </w:rPr>
        <w:t>compared to the same period of the prior year, primarily driven by the impact of the lower volume of sales.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0"/>
        <w:ind w:left="36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decreased in the thirteen weeks ended June 29, 2025 by $2.9 million, or 12%, compared to </w:t>
      </w:r>
      <w:r>
        <w:rPr>
          <w:rFonts w:ascii="Times New Roman;Times;serif" w:hAnsi="Times New Roman;Times;serif"/>
          <w:sz w:val="20"/>
          <w:shd w:fill="FFFFFF" w:val="clear"/>
        </w:rPr>
        <w:t>the same period of the prior year</w:t>
      </w:r>
      <w:r>
        <w:rPr>
          <w:rFonts w:ascii="Times New Roman;Times;serif" w:hAnsi="Times New Roman;Times;serif"/>
          <w:sz w:val="20"/>
        </w:rPr>
        <w:t xml:space="preserve">, </w:t>
      </w:r>
      <w:r>
        <w:rPr>
          <w:rFonts w:ascii="Times New Roman;Times;serif" w:hAnsi="Times New Roman;Times;serif"/>
          <w:sz w:val="20"/>
          <w:shd w:fill="FFFFFF" w:val="clear"/>
        </w:rPr>
        <w:t>due to lower online marketing costs of $2.4 million, lower merchant processing fees of $0.3 million, and lower campaign shoots and website spend of $0.2 million.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in the thirteen weeks ended June 29, 2025 by $3.9 million or 18%, compared to </w:t>
      </w:r>
      <w:r>
        <w:rPr>
          <w:rFonts w:ascii="Times New Roman;Times;serif" w:hAnsi="Times New Roman;Times;serif"/>
          <w:sz w:val="20"/>
          <w:shd w:fill="FFFFFF" w:val="clear"/>
        </w:rPr>
        <w:t>the same period of the prior year</w:t>
      </w:r>
      <w:r>
        <w:rPr>
          <w:rFonts w:ascii="Times New Roman;Times;serif" w:hAnsi="Times New Roman;Times;serif"/>
          <w:sz w:val="20"/>
        </w:rPr>
        <w:t xml:space="preserve">. The decrease was primarily due to a $1.0 million decrease in fixed labor driven by </w:t>
      </w:r>
      <w:r>
        <w:rPr>
          <w:rFonts w:ascii="Times New Roman;Times;serif" w:hAnsi="Times New Roman;Times;serif"/>
          <w:sz w:val="20"/>
          <w:shd w:fill="FFFFFF" w:val="clear"/>
        </w:rPr>
        <w:t>reduced fixed headcount</w:t>
      </w:r>
      <w:r>
        <w:rPr>
          <w:rFonts w:ascii="Times New Roman;Times;serif" w:hAnsi="Times New Roman;Times;serif"/>
          <w:sz w:val="20"/>
        </w:rPr>
        <w:t xml:space="preserve">, a $0.8 million decrease in equity-based compensation expense, a $0.6 million decrease in variable labor and benefits associated with lower sales volume, a $0.5 million decrease in directors and officers (“D&amp;O”) liability insurance and legal and professional fees and a $0.4 million decrease in software, supplies and travel.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increased in the thirteen weeks ended June 29, 2025 by $0.6 million, or 218%, compared to </w:t>
      </w:r>
      <w:r>
        <w:rPr>
          <w:rFonts w:ascii="Times New Roman;Times;serif" w:hAnsi="Times New Roman;Times;serif"/>
          <w:sz w:val="20"/>
          <w:shd w:fill="FFFFFF" w:val="clear"/>
        </w:rPr>
        <w:t>the same period of the prior year</w:t>
      </w:r>
      <w:r>
        <w:rPr>
          <w:rFonts w:ascii="Times New Roman;Times;serif" w:hAnsi="Times New Roman;Times;serif"/>
          <w:sz w:val="20"/>
        </w:rPr>
        <w:t xml:space="preserve">. The increase is attributable to </w:t>
      </w:r>
      <w:r>
        <w:rPr>
          <w:rFonts w:ascii="Times New Roman;Times;serif" w:hAnsi="Times New Roman;Times;serif"/>
          <w:sz w:val="20"/>
          <w:shd w:fill="FFFFFF" w:val="clear"/>
        </w:rPr>
        <w:t>higher interest rates and higher average borrowings.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bookmarkStart w:id="1120" w:name="_Hlk180477734"/>
      <w:bookmarkEnd w:id="1120"/>
      <w:r>
        <w:rPr>
          <w:rFonts w:ascii="Times New Roman;Times;serif" w:hAnsi="Times New Roman;Times;serif"/>
          <w:i/>
          <w:sz w:val="20"/>
        </w:rPr>
        <w:t>Income Tax Provision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 xml:space="preserve">Income tax provision in the thirteen weeks ended June 29, 2025 decreased by $6.2 million to a provision of $0.1 million, compared to a provision of $6.3 </w:t>
      </w:r>
      <w:r>
        <w:rPr>
          <w:rFonts w:ascii="Times New Roman;Times;serif" w:hAnsi="Times New Roman;Times;serif"/>
          <w:sz w:val="20"/>
        </w:rPr>
        <w:t xml:space="preserve">million in the thirteen weeks ended June 30, 2024. The decrease was primarily due to the establishment of valuation allowance in 2024. </w:t>
      </w:r>
    </w:p>
    <w:p>
      <w:pPr>
        <w:pStyle w:val="TextBody"/>
        <w:bidi w:val="0"/>
        <w:spacing w:before="0" w:after="0"/>
        <w:ind w:left="0" w:right="0" w:hanging="0"/>
        <w:jc w:val="both"/>
        <w:rPr>
          <w:color w:val="212529"/>
          <w:shd w:fill="FFFF00" w:val="clear"/>
        </w:rPr>
      </w:pPr>
      <w:r>
        <w:rPr>
          <w:color w:val="212529"/>
          <w:shd w:fill="FFFF00" w:val="clear"/>
        </w:rPr>
        <w:t>​</w:t>
      </w:r>
    </w:p>
    <w:p>
      <w:pPr>
        <w:pStyle w:val="TextBody"/>
        <w:shd w:fill="FFFFFF" w:val="clear"/>
        <w:bidi w:val="0"/>
        <w:spacing w:before="0" w:after="24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Comparisons for the Twenty-Six Weeks Ended June 29, 2025 and June 30, 2024</w:t>
      </w:r>
    </w:p>
    <w:p>
      <w:pPr>
        <w:pStyle w:val="TextBody"/>
        <w:shd w:fill="FFFFFF" w:val="clear"/>
        <w:bidi w:val="0"/>
        <w:spacing w:before="0" w:after="240"/>
        <w:ind w:left="360" w:right="0" w:hanging="0"/>
        <w:jc w:val="both"/>
        <w:rPr>
          <w:rFonts w:ascii="Times New Roman;Times;serif" w:hAnsi="Times New Roman;Times;serif"/>
          <w:i/>
          <w:color w:val="212529"/>
          <w:sz w:val="20"/>
        </w:rPr>
      </w:pPr>
      <w:r>
        <w:rPr>
          <w:rFonts w:ascii="Times New Roman;Times;serif" w:hAnsi="Times New Roman;Times;serif"/>
          <w:i/>
          <w:color w:val="212529"/>
          <w:sz w:val="20"/>
        </w:rPr>
        <w:t>Net Revenue</w:t>
      </w:r>
    </w:p>
    <w:p>
      <w:pPr>
        <w:pStyle w:val="TextBody"/>
        <w:shd w:fill="FFFFFF" w:val="clear"/>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Net revenue decreased in the twenty-six weeks ended June 29, 2025 by $23.6 million, or 14%, compared to the twenty-six weeks ended June 30, 2024. The decrease is primarily the result of a 17% decrease in Total Orders Placed and lower AOV, partially offset by lower return rates, compared to the twenty-six weeks ended June 30, 2024.</w:t>
      </w:r>
    </w:p>
    <w:p>
      <w:pPr>
        <w:pStyle w:val="TextBody"/>
        <w:shd w:fill="FFFFFF" w:val="clear"/>
        <w:bidi w:val="0"/>
        <w:spacing w:before="0" w:after="240"/>
        <w:ind w:left="360" w:right="0" w:hanging="0"/>
        <w:jc w:val="left"/>
        <w:rPr>
          <w:rFonts w:ascii="Times New Roman;Times;serif" w:hAnsi="Times New Roman;Times;serif"/>
          <w:i/>
          <w:color w:val="212529"/>
          <w:sz w:val="20"/>
        </w:rPr>
      </w:pPr>
      <w:r>
        <w:rPr>
          <w:rFonts w:ascii="Times New Roman;Times;serif" w:hAnsi="Times New Roman;Times;serif"/>
          <w:i/>
          <w:color w:val="212529"/>
          <w:sz w:val="20"/>
        </w:rPr>
        <w:t>Cost of Revenue</w:t>
      </w:r>
    </w:p>
    <w:p>
      <w:pPr>
        <w:pStyle w:val="TextBody"/>
        <w:shd w:fill="FFFFFF" w:val="clear"/>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Cost of revenue decreased in the twenty-six weeks ended June 29, 2025 by $11.8 million, or 13%, compared to the same period of the prior year, which was primarily driven by the impact of lower net revenue.</w:t>
      </w:r>
    </w:p>
    <w:p>
      <w:pPr>
        <w:pStyle w:val="TextBody"/>
        <w:shd w:fill="FFFFFF" w:val="clear"/>
        <w:bidi w:val="0"/>
        <w:spacing w:before="0" w:after="240"/>
        <w:ind w:left="360" w:right="0" w:hanging="0"/>
        <w:jc w:val="both"/>
        <w:rPr>
          <w:rFonts w:ascii="Times New Roman;Times;serif" w:hAnsi="Times New Roman;Times;serif"/>
          <w:i/>
          <w:color w:val="212529"/>
          <w:sz w:val="20"/>
        </w:rPr>
      </w:pPr>
      <w:r>
        <w:rPr>
          <w:rFonts w:ascii="Times New Roman;Times;serif" w:hAnsi="Times New Roman;Times;serif"/>
          <w:i/>
          <w:color w:val="212529"/>
          <w:sz w:val="20"/>
        </w:rPr>
        <w:t>Gross Profit</w:t>
      </w:r>
    </w:p>
    <w:p>
      <w:pPr>
        <w:pStyle w:val="TextBody"/>
        <w:shd w:fill="FFFFFF" w:val="clear"/>
        <w:bidi w:val="0"/>
        <w:spacing w:before="0" w:after="24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Gross profit decreased in the twenty-six weeks ended June 29, 2025 by $11.8 million, or 16% compared to the same period of the prior year, which was primarily driven by the impact of the lower volume of sales.</w:t>
      </w:r>
    </w:p>
    <w:p>
      <w:pPr>
        <w:pStyle w:val="TextBody"/>
        <w:shd w:fill="FFFFFF" w:val="clear"/>
        <w:bidi w:val="0"/>
        <w:spacing w:before="0" w:after="240"/>
        <w:ind w:left="360" w:right="0" w:hanging="0"/>
        <w:jc w:val="left"/>
        <w:rPr>
          <w:rFonts w:ascii="Times New Roman;Times;serif" w:hAnsi="Times New Roman;Times;serif"/>
          <w:i/>
          <w:color w:val="212529"/>
          <w:sz w:val="20"/>
        </w:rPr>
      </w:pPr>
      <w:r>
        <w:rPr>
          <w:rFonts w:ascii="Times New Roman;Times;serif" w:hAnsi="Times New Roman;Times;serif"/>
          <w:i/>
          <w:color w:val="212529"/>
          <w:sz w:val="20"/>
        </w:rPr>
        <w:t>Selling and Marketing Expenses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Selling and marketing expenses decreased in the twenty-six weeks ended June 29, 2025 by $4.7 million, or 11%, compared to the same period of the prior year, </w:t>
      </w:r>
      <w:r>
        <w:rPr>
          <w:rFonts w:ascii="Times New Roman;Times;serif" w:hAnsi="Times New Roman;Times;serif"/>
          <w:sz w:val="20"/>
        </w:rPr>
        <w:t xml:space="preserve">due to lower online marketing costs of $3.5 million, lower performance and awareness marketing spend of $0.6 million, and lower merchant processing fees of $0.6 million, partly due to the lower volume </w:t>
      </w:r>
      <w:r>
        <w:rPr>
          <w:rFonts w:ascii="Times New Roman;Times;serif" w:hAnsi="Times New Roman;Times;serif"/>
          <w:color w:val="212529"/>
          <w:sz w:val="20"/>
        </w:rPr>
        <w:t>of sales.</w:t>
      </w:r>
    </w:p>
    <w:p>
      <w:pPr>
        <w:pStyle w:val="TextBody"/>
        <w:pBdr/>
        <w:shd w:fill="FFFFFF" w:val="clear"/>
        <w:bidi w:val="0"/>
        <w:spacing w:before="0" w:after="0"/>
        <w:ind w:left="0" w:right="0" w:firstLine="360"/>
        <w:jc w:val="both"/>
        <w:rPr>
          <w:rFonts w:ascii="Times New Roman;Times;serif" w:hAnsi="Times New Roman;Times;serif"/>
          <w:i/>
          <w:color w:val="212529"/>
          <w:sz w:val="20"/>
        </w:rPr>
      </w:pPr>
      <w:r>
        <w:rPr>
          <w:rFonts w:ascii="Times New Roman;Times;serif" w:hAnsi="Times New Roman;Times;serif"/>
          <w:i/>
          <w:color w:val="212529"/>
          <w:sz w:val="20"/>
        </w:rPr>
        <w:t>General and Administrative Expenses</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 xml:space="preserve">General and administrative expenses decreased in the twenty-six weeks ended June 29, 2025 by $6.9 million or 16%, compared to the same period of the prior year. The decrease was primarily due to a $2.3 million decrease in fixed labor costs due to reduced headcount, a $1.4 million decrease in equity-based compensation expense, a $1.1 million decrease in variable labor and benefits costs primarily associated with lower sales volume and operational efficiencies, a $0.9 million decrease in D&amp;O insurance costs, and a $0.5 million decrease in software expenses. </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increased in the twenty-six weeks ended June 29, 2025 by $0.8 million, compared to the same period of the prior year. The increase is attributable to higher average borrowings and higher interest rates.</w:t>
      </w:r>
    </w:p>
    <w:p>
      <w:pPr>
        <w:pStyle w:val="TextBody"/>
        <w:shd w:fill="FFFFFF" w:val="clear"/>
        <w:bidi w:val="0"/>
        <w:spacing w:before="0" w:after="240"/>
        <w:ind w:left="360" w:right="0" w:hanging="0"/>
        <w:jc w:val="left"/>
        <w:rPr>
          <w:rFonts w:ascii="Times New Roman;Times;serif" w:hAnsi="Times New Roman;Times;serif"/>
          <w:i/>
          <w:color w:val="212529"/>
          <w:sz w:val="20"/>
        </w:rPr>
      </w:pPr>
      <w:r>
        <w:rPr>
          <w:rFonts w:ascii="Times New Roman;Times;serif" w:hAnsi="Times New Roman;Times;serif"/>
          <w:i/>
          <w:color w:val="212529"/>
          <w:sz w:val="20"/>
        </w:rPr>
        <w:t>Income Tax Benefit (Provision)</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Our income tax provision in the twenty-six weeks ended June 29, 2025 decreased by $5.8 million to an immaterial benefit position, compared to a </w:t>
      </w:r>
      <w:r>
        <w:rPr>
          <w:rFonts w:ascii="Times New Roman;Times;serif" w:hAnsi="Times New Roman;Times;serif"/>
          <w:sz w:val="20"/>
        </w:rPr>
        <w:t xml:space="preserve">provision of $5.8 million in the twenty-six weeks ended June 30, 2024. The decrease was primarily due to the establishment of valuation </w:t>
      </w:r>
      <w:r>
        <w:rPr>
          <w:rFonts w:ascii="Times New Roman;Times;serif" w:hAnsi="Times New Roman;Times;serif"/>
          <w:color w:val="212529"/>
          <w:sz w:val="20"/>
        </w:rPr>
        <w:t>allowance in 2024.</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experience moderate seasonal fluctuations in aggregate sales volume during the year. Seasonality in our business does not follow that of traditional retailers, such as a typical concentration of revenue in the holiday quarter. Our net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quarterly gross profit fluctuates primarily based on how we manage our inventory and merchandise mix and has typically been in line with fluctuations in net revenue. When quarterly gross profit fluctuations have deviated relative to the fluctuations in sales, these situations have been driven by non-recurring, external factors, such as global pandemics or trade wars.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due to changes in the number of seasonal workers to meet demand based on our seasonality.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sources of liquidity and capital resources are cash generated from operating activities as we have no further access to borrowings under our 2021 Credit Agreement, as amended</w:t>
      </w:r>
      <w:r>
        <w:rPr>
          <w:rFonts w:ascii="Times New Roman;Times;serif" w:hAnsi="Times New Roman;Times;serif"/>
          <w:sz w:val="20"/>
        </w:rPr>
        <w:t xml:space="preserve">. </w:t>
      </w:r>
      <w:r>
        <w:rPr>
          <w:rFonts w:ascii="Times New Roman;Times;serif" w:hAnsi="Times New Roman;Times;serif"/>
          <w:sz w:val="20"/>
          <w:shd w:fill="FFFFFF" w:val="clear"/>
        </w:rPr>
        <w:t>Our primary requirements for liquidity and capital are inventory purchases, payroll and general operating expenses, capital expenditures associated with our distribution facilities, capitalized software and debt service requirements</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In November 2021, we entered into the 2021 Credit Agreement that provided for borrowings up to $50.0 million with a maturity date of November 15, 2024.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July 22, 2024, we entered </w:t>
      </w:r>
      <w:r>
        <w:rPr>
          <w:rFonts w:ascii="Times New Roman;Times;serif" w:hAnsi="Times New Roman;Times;serif"/>
          <w:sz w:val="20"/>
        </w:rPr>
        <w:t xml:space="preserve">into an amendment to the 2021 Credit Agreement (the “First Credit Amendment”) </w:t>
      </w:r>
      <w:r>
        <w:rPr>
          <w:rFonts w:ascii="Times New Roman;Times;serif" w:hAnsi="Times New Roman;Times;serif"/>
          <w:color w:val="212529"/>
          <w:sz w:val="20"/>
        </w:rPr>
        <w:t>which extended the maturity date to August 15, 2025 and reduced the Revolving Commitment (as defined in the 2021 Credit Agreement) to $15.0 million, with a further reduction to $10.0 million on or about March 31, 2025. The First Credit Amendment also reduced the previous letters of credit sublimit from $7.5 million to $5.0 million.</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November 12, 2024, we entered </w:t>
      </w:r>
      <w:r>
        <w:rPr>
          <w:rFonts w:ascii="Times New Roman;Times;serif" w:hAnsi="Times New Roman;Times;serif"/>
          <w:sz w:val="20"/>
        </w:rPr>
        <w:t>into a second amendment to the 2021 Credit Agreement (the “Second Credit Amendment”) </w:t>
      </w:r>
      <w:r>
        <w:rPr>
          <w:rFonts w:ascii="Times New Roman;Times;serif" w:hAnsi="Times New Roman;Times;serif"/>
          <w:color w:val="212529"/>
          <w:sz w:val="20"/>
        </w:rPr>
        <w:t>which extended our reporting deadline for our financial statements and covenant compliance certificate for the third quarter 2024 to December 16, 2024, and required us to test the financial covenants no later than December 16, 2024. The Second Credit Amendment prohibited us from requesting any additional borrowing or letter of credit extension until the financial statements and the compliance certificate for the third quarter of 2024 were delivered. We successfully delivered the third quarter financial statements and the compliance certificate on December 16, 2024.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December 13, 2024, we entered </w:t>
      </w:r>
      <w:r>
        <w:rPr>
          <w:rFonts w:ascii="Times New Roman;Times;serif" w:hAnsi="Times New Roman;Times;serif"/>
          <w:sz w:val="20"/>
        </w:rPr>
        <w:t>into a third amendment to the 2021 Credit Agreement (the “Third Credit Amendment”)</w:t>
      </w:r>
      <w:r>
        <w:rPr>
          <w:rFonts w:ascii="Times New Roman;Times;serif" w:hAnsi="Times New Roman;Times;serif"/>
          <w:color w:val="212529"/>
          <w:sz w:val="20"/>
        </w:rPr>
        <w:t>. The Third Credit Amendment provided a limited waiver for us to comply with the financial covenants for the period of four fiscal quarters ended on or about September 30, 2024. Under the Third Credit Amendment, we are required to, among other things, not permit unrestricted cash and cash equivalents, as determined on a consolidated basis and tested weekly, to be less than certain specified minimum amounts. The Third Credit Amendment also requires the payment of certain consent fees and increases the interest rates payable under the amended 2021 Credit Agreement for periods commencing on or after December 13, 2024 and February 1, 2025, as described in Note 5, </w:t>
      </w:r>
      <w:r>
        <w:rPr>
          <w:rFonts w:ascii="Times New Roman;Times;serif" w:hAnsi="Times New Roman;Times;serif"/>
          <w:i/>
          <w:color w:val="212529"/>
          <w:sz w:val="20"/>
        </w:rPr>
        <w:t>Debt</w:t>
      </w:r>
      <w:r>
        <w:rPr>
          <w:rFonts w:ascii="Times New Roman;Times;serif" w:hAnsi="Times New Roman;Times;serif"/>
          <w:sz w:val="20"/>
        </w:rPr>
        <w:t xml:space="preserve"> within the accompanying Notes to the Condensed Consolidated Financial Statements</w:t>
      </w:r>
      <w:r>
        <w:rPr>
          <w:rFonts w:ascii="Times New Roman;Times;serif" w:hAnsi="Times New Roman;Times;serif"/>
          <w:color w:val="212529"/>
          <w:sz w:val="20"/>
        </w:rPr>
        <w:t>. Pursuant to the Third Credit Amendment, there was no financial covenant test for the quarter ended September 29, 2024.</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March 27, 2025, we entered </w:t>
      </w:r>
      <w:r>
        <w:rPr>
          <w:rFonts w:ascii="Times New Roman;Times;serif" w:hAnsi="Times New Roman;Times;serif"/>
          <w:sz w:val="20"/>
        </w:rPr>
        <w:t>into a fourth amendment to the 2021 Credit Agreement (the “Fourth Credit Amendment”)</w:t>
      </w:r>
      <w:r>
        <w:rPr>
          <w:rFonts w:ascii="Times New Roman;Times;serif" w:hAnsi="Times New Roman;Times;serif"/>
          <w:color w:val="212529"/>
          <w:sz w:val="20"/>
        </w:rPr>
        <w:t xml:space="preserve">. The Fourth Credit Amendment provided a limited waiver for us to comply with the financial covenants for the period of four fiscal quarters ended on or about December 31, 2024. It also suspends measurement of the Consolidated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color w:val="212529"/>
          <w:sz w:val="20"/>
        </w:rPr>
        <w:t>Total Leverage Ratio and Consolidated Fixed Charge Covenant Ratio for the fiscal quarter ended on or about March 31, 2025. The Fourth Credit Amendment prohibits the Company from requesting any further borrowings under the 2021 Credit Agreement, as amended. The Fourth Credit Amendment includes a timeline of milestones for a refinancing transaction with a third-party lender, and limits our ability to further enter into certain transactions, including certain liens, dispositions, investments, debt and restricted payments. The Fourth Credit Amendment also requires the payment of the remaining portion of the consent fee payable under the Third Credit Amendment and increases the interest rates payable under the 2021 Credit Agreement, as amended, for periods commencing on or after March 27, 2025, as described in Note 5, </w:t>
      </w:r>
      <w:r>
        <w:rPr>
          <w:rFonts w:ascii="Times New Roman;Times;serif" w:hAnsi="Times New Roman;Times;serif"/>
          <w:i/>
          <w:color w:val="212529"/>
          <w:sz w:val="20"/>
        </w:rPr>
        <w:t>Debt</w:t>
      </w:r>
      <w:r>
        <w:rPr>
          <w:rFonts w:ascii="Times New Roman;Times;serif" w:hAnsi="Times New Roman;Times;serif"/>
          <w:sz w:val="20"/>
        </w:rPr>
        <w:t xml:space="preserve"> within the accompanying Notes to the Condensed Consolidated Financial Statements</w:t>
      </w:r>
      <w:r>
        <w:rPr>
          <w:rFonts w:ascii="Times New Roman;Times;serif" w:hAnsi="Times New Roman;Times;serif"/>
          <w:color w:val="212529"/>
          <w:sz w:val="20"/>
        </w:rPr>
        <w:t>. Although we have secured these limited waivers, we cannot guarantee that we will be able to satisfy all of the necessary conditions or that we will not incur another covenant violation in the future.</w:t>
      </w:r>
    </w:p>
    <w:p>
      <w:pPr>
        <w:pStyle w:val="TextBody"/>
        <w:shd w:fill="FFFFFF" w:val="clear"/>
        <w:bidi w:val="0"/>
        <w:spacing w:before="0" w:after="0"/>
        <w:ind w:left="0" w:right="0" w:firstLine="720"/>
        <w:jc w:val="both"/>
        <w:rPr>
          <w:color w:val="212529"/>
        </w:rPr>
      </w:pPr>
      <w:r>
        <w:rPr>
          <w:color w:val="212529"/>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 xml:space="preserve">On June 23, 2025, we entered into a Forbearance Agreement (the “Forbearance Agreement”) related to the 2021 Credit Agreement, as amended, with the lenders party thereto and Bank of America, N.A., as administrative agent (the “Administrative Agent”), and Swing Line Lender and an L/C Issuer (the “Lenders”). </w:t>
      </w:r>
      <w:r>
        <w:rPr>
          <w:rFonts w:ascii="Times New Roman;Times;serif" w:hAnsi="Times New Roman;Times;serif"/>
          <w:sz w:val="20"/>
        </w:rPr>
        <w:t xml:space="preserve">Pursuant to the terms of the Forbearance Agreement, the Administrative Agent and Lenders agreed that they would forbear, during the Forbearance Period (as defined below), from exercising any and all rights and remedies with respect to or arising out of the events of default that occurred as a result of the Company’s failure to comply with certain Refinancing Transaction Milestones by the specified dates under Sections 6.19(a), (c) and (d) of the 2021 Credit Agreement, as amended (collectively, the “Acknowledged Defaults”). </w:t>
      </w:r>
      <w:r>
        <w:rPr>
          <w:rFonts w:ascii="Times New Roman;Times;serif" w:hAnsi="Times New Roman;Times;serif"/>
          <w:sz w:val="20"/>
          <w:shd w:fill="FFFFFF" w:val="clear"/>
        </w:rPr>
        <w:t xml:space="preserve">The forbearance period (the “Forbearance Period”) under the Forbearance Agreement will expire on the earliest date that one of the following events occurs: (a) any Event of Default other than an Event of Default constituting the Acknowledged Defaults; (b) the breach by the Borrower of any covenant or provision of the Forbearance Agreement; or (c) 11:59 p.m. (Eastern time) on August 15, 2025 (the “Forbearance Termination Events”). Under the terms of the Forbearance Agreement, the Refinancing Transaction Milestones shall be due on the Maturity Date. Additionally, during the Forbearance Period, the minimum liquidity otherwise required to be maintained pursuant to the 2021 Credit Agreement, as amended, is $1,000,000, and to the extent the minimum liquidity prior to the Effective Date was below the required threshold, any resulting Default or Event of Default was waived. </w:t>
      </w:r>
      <w:r>
        <w:rPr>
          <w:rFonts w:ascii="Times New Roman;Times;serif" w:hAnsi="Times New Roman;Times;serif"/>
          <w:sz w:val="20"/>
        </w:rPr>
        <w:t xml:space="preserve">Pursuant to the Forbearance Agreement, the Company also agreed to provide additional financial and operational reports to the Administrative Agent during the Forbearance Period, including monthly unaudited financial statements and reports related to accounts receivable, accounts payable and inventory. The Forbearance Agreement also provides for mandatory prepayments in the event that Total Revolving Outstandings exceed the difference of 55% of the net book value of inventory less 50% of the store value credit liability. The Company will pay a one-time forbearance fee of $100,000.00 (the “Forbearance Fee”), fully earned and non-refundable as of the Effective Date and payable in immediately available funds upon the earlier of (a) the Maturity Date, and (b) the occurrence of a Forbearance Termination Event; provided, that, if all Obligations (other than the Forbearance Fee) have been paid in full on or prior to the Maturity Date, the Forbearance Fee shall be cancelled and waived.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color w:val="212529"/>
          <w:sz w:val="20"/>
        </w:rPr>
      </w:pPr>
      <w:r>
        <w:rPr>
          <w:rFonts w:ascii="Times New Roman;Times;serif" w:hAnsi="Times New Roman;Times;serif"/>
          <w:color w:val="212529"/>
          <w:sz w:val="20"/>
        </w:rPr>
        <w:t>All capitalized terms used above and not otherwise defined herein are defined in the 2021 Credit Agreement, as amended.</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June 29, 2025, we did not borrow any amount under the 2021 Credit Agreement, as amended, and repaid $7.3 million of the outstanding balance</w:t>
      </w:r>
      <w:r>
        <w:rPr>
          <w:rFonts w:ascii="Times New Roman;Times;serif" w:hAnsi="Times New Roman;Times;serif"/>
          <w:color w:val="212529"/>
          <w:sz w:val="20"/>
        </w:rPr>
        <w:t xml:space="preserve">. As of June 29, 2025, we had $0.2 million in letters of credit outstanding. The effective interest rate on the $5.8 million outstanding balance as of June 29, 2025, was 41.3% and 21.5% during the thirteen and twenty-six weeks ended June 29, 2025, respectively, which was inclusive of $0.7 million in one-time fees related to the 2021 Credit Agreement, as amended. As of June 29, 2025, the weighted-average interest rate was 10.4%. </w:t>
      </w:r>
      <w:r>
        <w:rPr>
          <w:rFonts w:ascii="Times New Roman;Times;serif" w:hAnsi="Times New Roman;Times;serif"/>
          <w:sz w:val="20"/>
        </w:rPr>
        <w:t>See Note 5, </w:t>
      </w:r>
      <w:r>
        <w:rPr>
          <w:rFonts w:ascii="Times New Roman;Times;serif" w:hAnsi="Times New Roman;Times;serif"/>
          <w:i/>
          <w:sz w:val="20"/>
        </w:rPr>
        <w:t>Debt</w:t>
      </w:r>
      <w:r>
        <w:rPr>
          <w:rFonts w:ascii="Times New Roman;Times;serif" w:hAnsi="Times New Roman;Times;serif"/>
          <w:sz w:val="20"/>
        </w:rPr>
        <w:t> </w:t>
      </w:r>
      <w:r>
        <w:rPr>
          <w:rFonts w:ascii="Times New Roman;Times;serif" w:hAnsi="Times New Roman;Times;serif"/>
          <w:color w:val="212529"/>
          <w:sz w:val="20"/>
        </w:rPr>
        <w:t>within the Notes to the Condensed Consolidated Financial Statements included elsewhere in this Quarterly Report on Form 10-Q for further information on the 2021 Credit Agreement, as amended.</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rPr>
        <w:t xml:space="preserve">On August 11, 2025, the Company entered into the Forbearance Amendment with the </w:t>
      </w:r>
      <w:r>
        <w:rPr>
          <w:rFonts w:ascii="Times New Roman;Times;serif" w:hAnsi="Times New Roman;Times;serif"/>
          <w:sz w:val="20"/>
        </w:rPr>
        <w:t>Administrative Agent and Lenders</w:t>
      </w:r>
      <w:r>
        <w:rPr>
          <w:rFonts w:ascii="Times New Roman;Times;serif" w:hAnsi="Times New Roman;Times;serif"/>
          <w:color w:val="212529"/>
          <w:sz w:val="20"/>
        </w:rPr>
        <w:t xml:space="preserve">. </w:t>
      </w:r>
      <w:r>
        <w:rPr>
          <w:rFonts w:ascii="Times New Roman;Times;serif" w:hAnsi="Times New Roman;Times;serif"/>
          <w:sz w:val="20"/>
        </w:rPr>
        <w:t xml:space="preserve">Pursuant to the terms of the Forbearance </w:t>
      </w:r>
      <w:r>
        <w:rPr>
          <w:rFonts w:ascii="Times New Roman;Times;serif" w:hAnsi="Times New Roman;Times;serif"/>
          <w:color w:val="212529"/>
          <w:sz w:val="20"/>
        </w:rPr>
        <w:t>Amendment</w:t>
      </w:r>
      <w:r>
        <w:rPr>
          <w:rFonts w:ascii="Times New Roman;Times;serif" w:hAnsi="Times New Roman;Times;serif"/>
          <w:sz w:val="20"/>
        </w:rPr>
        <w:t>, the Administrative Agent and Lenders agreed to amend the definition of “Forbearance Termination Event” set forth in the Forbearance Agreement to replace “August 15, 2025” with “August 22, 2025”</w:t>
      </w:r>
      <w:r>
        <w:rPr>
          <w:rFonts w:ascii="Times New Roman;Times;serif" w:hAnsi="Times New Roman;Times;serif"/>
          <w:sz w:val="24"/>
        </w:rPr>
        <w:t>.</w:t>
      </w:r>
      <w:r>
        <w:rPr>
          <w:rFonts w:ascii="Times New Roman;Times;serif" w:hAnsi="Times New Roman;Times;serif"/>
          <w:sz w:val="20"/>
        </w:rPr>
        <w:t xml:space="preserve"> The Forbearance Amendment also amended the definition of “Maturity Date” set forth in the 2021 Credit Agreement, as amended, to replace “August 15, 2025” with “August 22, 2025</w:t>
      </w:r>
      <w:r>
        <w:rPr>
          <w:rFonts w:ascii="Times New Roman;Times;serif" w:hAnsi="Times New Roman;Times;serif"/>
          <w:color w:val="212529"/>
          <w:sz w:val="20"/>
        </w:rPr>
        <w:t>. The Company is currently negotiating a new asset-based revolving credit facility.</w:t>
      </w:r>
    </w:p>
    <w:p>
      <w:pPr>
        <w:pStyle w:val="TextBody"/>
        <w:shd w:fill="FFFFFF" w:val="clear"/>
        <w:bidi w:val="0"/>
        <w:spacing w:before="0" w:after="0"/>
        <w:ind w:left="0" w:right="0" w:firstLine="360"/>
        <w:jc w:val="both"/>
        <w:rPr>
          <w:color w:val="212529"/>
        </w:rPr>
      </w:pPr>
      <w:r>
        <w:rPr>
          <w:color w:val="212529"/>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June 29, 2025, we had cash and cash equivalents of $1.5 million. During the thirteen and twenty-six weeks ended June 29, 2025, we took certain cost reduction and cash conservation measures, adjustments to marketing spend, and other fixed, variable, and capital spend. We are actively seeking alternative debt financing and continuing to take certain cash conservation measures, including adjustments to marketing and other fixed and variable costs and capital spend to meet our obligations as needed. While we are currently negotiating a new asset-based revolving credit facility, there can be no assurances that we will be able to close such credit facility in a timely manner on acceptable terms, if at all. As the ability to raise additional debt financing is outside of management’s control, we cannot conclude that management’s plans will be effectively implemented within twelve months from the date the condensed consolidated financial statements are issued. Accordingly, we have concluded that these plans do not alleviate substantial doubt about our ability to continue as a going concern. The condensed consolidated financial statements do not reflect any adjustments that might result from the outcome of this uncertainty. Actual results of operations will depend</w:t>
      </w:r>
      <w:r>
        <w:rPr>
          <w:rFonts w:ascii="Times New Roman;Times;serif" w:hAnsi="Times New Roman;Times;serif"/>
          <w:sz w:val="20"/>
          <w:shd w:fill="FFFFFF" w:val="clear"/>
        </w:rPr>
        <w:t xml:space="preserve"> on numerous factors, many of which are beyond our control, as further discussed in Part I, Item 1A, “Risk Factors” included in our 2024 10-K, </w:t>
      </w:r>
      <w:r>
        <w:rPr>
          <w:rFonts w:ascii="Times New Roman;Times;serif" w:hAnsi="Times New Roman;Times;serif"/>
          <w:color w:val="212529"/>
          <w:sz w:val="20"/>
          <w:shd w:fill="FFFFFF" w:val="clear"/>
        </w:rPr>
        <w:t>Item 1A of our Quarterly Report on Form 10-Q for the quarter ended March 30, 2025</w:t>
      </w:r>
      <w:r>
        <w:rPr>
          <w:rFonts w:ascii="Times New Roman;Times;serif" w:hAnsi="Times New Roman;Times;serif"/>
          <w:sz w:val="20"/>
          <w:shd w:fill="FFFFFF" w:val="clear"/>
        </w:rPr>
        <w:t xml:space="preserve"> and Part II, Item 1A, </w:t>
      </w:r>
      <w:r>
        <w:rPr>
          <w:rFonts w:ascii="Times New Roman;Times;serif" w:hAnsi="Times New Roman;Times;serif"/>
          <w:sz w:val="20"/>
        </w:rPr>
        <w:t>“Risk Factors”</w:t>
      </w:r>
      <w:r>
        <w:rPr>
          <w:rFonts w:ascii="Times New Roman;Times;serif" w:hAnsi="Times New Roman;Times;serif"/>
          <w:sz w:val="20"/>
          <w:shd w:fill="FFFFFF" w:val="clear"/>
        </w:rPr>
        <w:t xml:space="preserve"> in this Quarterly Report on Form 10-Q for the quarter ended June 29, 2025.</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Repurchases Pursuant to the 2024 Repurchase Program</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May 3, 2024, our Board of Directors authorized a stock repurchase program to repurchase up to $2.5 million of our common stock (the “2024 Repurchase Program”). </w:t>
      </w:r>
      <w:r>
        <w:rPr>
          <w:rFonts w:ascii="Times New Roman;Times;serif" w:hAnsi="Times New Roman;Times;serif"/>
          <w:color w:val="212529"/>
          <w:sz w:val="20"/>
          <w:shd w:fill="FFFFFF" w:val="clear"/>
        </w:rPr>
        <w:t xml:space="preserve">During the thirteen and twenty-six weeks ended June 29, 2025, we repurchased 73,333 shares and 89,471 shares, respectively, of common stock in open market transactions pursuant to a 10b5-1 purchase plan. As of June 29, 2025, there was $1.3 million available under the 2024 Repurchase Program authorization. </w:t>
      </w:r>
    </w:p>
    <w:p>
      <w:pPr>
        <w:pStyle w:val="TextBody"/>
        <w:bidi w:val="0"/>
        <w:spacing w:before="0" w:after="0"/>
        <w:ind w:left="0" w:right="0" w:firstLine="360"/>
        <w:jc w:val="both"/>
        <w:rPr>
          <w:color w:val="212529"/>
          <w:shd w:fill="FFFFFF" w:val="clear"/>
        </w:rPr>
      </w:pPr>
      <w:r>
        <w:rPr>
          <w:color w:val="212529"/>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actual timing, number, and value of shares repurchased in the future will be determined at our discretion and will depend on a number of factors, including market conditions, applicable legal requirements, our capital needs, and whether there is a better alternative use of capital. Repurchases will be funded from our existing cash and cash equivalents, or future cash flow. The 2024 Repurchase Program may be modified, suspended, or terminated at any time. For further information on the 2024 Repurchase Program, see Note 2, </w:t>
      </w:r>
      <w:r>
        <w:rPr>
          <w:rFonts w:ascii="Times New Roman;Times;serif" w:hAnsi="Times New Roman;Times;serif"/>
          <w:i/>
          <w:sz w:val="20"/>
          <w:shd w:fill="FFFFFF" w:val="clear"/>
        </w:rPr>
        <w:t>Significant Accounting Policies</w:t>
      </w:r>
      <w:r>
        <w:rPr>
          <w:rFonts w:ascii="Times New Roman;Times;serif" w:hAnsi="Times New Roman;Times;serif"/>
          <w:sz w:val="20"/>
          <w:shd w:fill="FFFFFF" w:val="clear"/>
        </w:rPr>
        <w:t xml:space="preserve">, </w:t>
      </w:r>
      <w:r>
        <w:rPr>
          <w:rFonts w:ascii="Times New Roman;Times;serif" w:hAnsi="Times New Roman;Times;serif"/>
          <w:sz w:val="20"/>
        </w:rPr>
        <w:t>within the Notes to the Condensed Consolidated Financial Statements included elsewhere in this Quarterly Report on Form 10-Q</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Cash Flow Analysis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6151" w:type="dxa"/>
        <w:jc w:val="left"/>
        <w:tblInd w:w="0" w:type="dxa"/>
        <w:tblLayout w:type="fixed"/>
        <w:tblCellMar>
          <w:top w:w="0" w:type="dxa"/>
          <w:left w:w="0" w:type="dxa"/>
          <w:bottom w:w="0" w:type="dxa"/>
          <w:right w:w="0" w:type="dxa"/>
        </w:tblCellMar>
      </w:tblPr>
      <w:tblGrid>
        <w:gridCol w:w="3541"/>
        <w:gridCol w:w="326"/>
        <w:gridCol w:w="211"/>
        <w:gridCol w:w="691"/>
        <w:gridCol w:w="326"/>
        <w:gridCol w:w="211"/>
        <w:gridCol w:w="691"/>
        <w:gridCol w:w="154"/>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248535" cy="175260"/>
                      <wp:effectExtent l="0" t="0" r="0" b="0"/>
                      <wp:wrapNone/>
                      <wp:docPr id="277" name="Frame276"/>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80" name="Frame2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8785" cy="175260"/>
                      <wp:effectExtent l="0" t="0" r="0" b="0"/>
                      <wp:wrapNone/>
                      <wp:docPr id="283" name="Frame2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97790" cy="175260"/>
                      <wp:effectExtent l="0" t="0" r="0" b="0"/>
                      <wp:wrapNone/>
                      <wp:docPr id="284" name="Frame28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154" w:type="dxa"/>
            <w:tcBorders/>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4" w:type="dxa"/>
            <w:tcBorders/>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54" w:type="dxa"/>
            <w:tcBorders/>
            <w:vAlign w:val="center"/>
          </w:tcPr>
          <w:p>
            <w:pPr>
              <w:pStyle w:val="TableContents"/>
              <w:bidi w:val="0"/>
              <w:spacing w:before="0" w:after="0"/>
              <w:ind w:left="0" w:right="0" w:hanging="0"/>
              <w:jc w:val="left"/>
              <w:rPr/>
            </w:pPr>
            <w:r>
              <w:rPr/>
              <w:t>​</w:t>
            </w:r>
          </w:p>
        </w:tc>
      </w:tr>
      <w:tr>
        <w:trPr/>
        <w:tc>
          <w:tcPr>
            <w:tcW w:w="615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154" w:type="dxa"/>
            <w:tcBorders/>
            <w:vAlign w:val="center"/>
          </w:tcPr>
          <w:p>
            <w:pPr>
              <w:pStyle w:val="TableContents"/>
              <w:bidi w:val="0"/>
              <w:spacing w:before="0" w:after="0"/>
              <w:ind w:left="0" w:right="0" w:hanging="0"/>
              <w:jc w:val="lef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decrease in cash and cash equivalents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Operating Activities </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loss adjusted for certain non-cash items, including depreciation, amortization, equity-based compensation, the effect of changes in working capital and other activities.</w:t>
      </w:r>
    </w:p>
    <w:p>
      <w:pPr>
        <w:pStyle w:val="TextBody"/>
        <w:shd w:fill="FFFFFF" w:val="clear"/>
        <w:bidi w:val="0"/>
        <w:spacing w:before="0" w:after="0"/>
        <w:ind w:left="0" w:right="0" w:firstLine="360"/>
        <w:jc w:val="both"/>
        <w:rPr>
          <w:rFonts w:ascii="Times New Roman;Times;serif" w:hAnsi="Times New Roman;Times;serif"/>
          <w:sz w:val="20"/>
        </w:rPr>
      </w:pPr>
      <w:bookmarkStart w:id="1121" w:name="_Hlk180736890"/>
      <w:bookmarkEnd w:id="1121"/>
      <w:r>
        <w:rPr>
          <w:rFonts w:ascii="Times New Roman;Times;serif" w:hAnsi="Times New Roman;Times;serif"/>
          <w:sz w:val="20"/>
        </w:rPr>
        <w:t xml:space="preserve">During the twenty-six weeks ended June 29, 2025, net cash provided by operating activities was $7.0 million, which consisted of a net loss of $11.0 million, partially offset by non-cash charges of $7.7 million and a net change of $10.3 million in operating assets and liabilities. The non-cash charges were primarily comprised of $2.8 of equity-based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expense, $2.6 million of depreciation and amortization, and $2.3 million of non-cash lease expense. The net change in operating assets and liabilities was primarily driven by a $20.5 million increase in accrued expenses driven by an increase in marketing cost, accrued inventory, and returns reserve; and a $3.0 million decrease in income tax receivable due to the receipt of state income tax refunds. These increases were partially offset by a $4.6 million decrease in accounts payable related to the timing of payments, a $3.3 million increase in inventory, and a $2.3 million decrease in operating lease liabilities.</w:t>
      </w:r>
      <w:r>
        <w:rPr>
          <w:rFonts w:ascii="Times New Roman;Times;serif" w:hAnsi="Times New Roman;Times;serif"/>
          <w:color w:val="212529"/>
          <w:sz w:val="20"/>
        </w:rPr>
        <w:t xml:space="preserve">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July 2, 2024, net cash provided by operating activities was $10.6 million, which consisted of a net loss of $16.5 million, partially offset by non-cash charges of $12.7 million and a net change of $14.4 million in operating assets and liabilities. The non-cash charges were primarily comprised of $4.1 of equity-based compensation expense, $3.8 million of deferred income taxes, $2.7 million of depreciation and amortization, and $2.0 million of non-cash lease expense. The net change in operating assets and liabilities was primarily driven by a $15.2 million increase in accrued expenses driven by an increase in return reserve and a $3.0 million increase in accounts payable due to the timing of payments. These increases were partially offset by a $2.2 million increase in inventory and a $1.9 million decrease in operating lease liabilities.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primary investing activities have consisted of purchases of equipment to support our overall business growth and internally developed software for the continued development of our proprietary technology infrastructure. Purchases of property and equipment may vary from period to period due to the timing of the expansion of our operations. We have no material commitments for capital expenditures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twenty-six weeks ended June 29, 2025, net cash used in investing activities decreased by $0.6 million as compared to the same period in 2024, primarily due to lower purchases of property and equipment.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Financing activities consist primarily of borrowings and repayments related to our revolving facility under our </w:t>
      </w:r>
      <w:r>
        <w:rPr>
          <w:rFonts w:ascii="Times New Roman;Times;serif" w:hAnsi="Times New Roman;Times;serif"/>
          <w:color w:val="212529"/>
          <w:sz w:val="20"/>
          <w:shd w:fill="FFFFFF" w:val="clear"/>
        </w:rPr>
        <w:t>2021 Credit Agreement, as amended</w:t>
      </w:r>
      <w:r>
        <w:rPr>
          <w:rFonts w:ascii="Times New Roman;Times;serif" w:hAnsi="Times New Roman;Times;serif"/>
          <w:sz w:val="20"/>
          <w:shd w:fill="FFFFFF" w:val="clear"/>
        </w:rPr>
        <w:t>.</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During the twenty-six weeks ended June 29, 2025, cash used in financing activities was $8.8 million, primarily due to $7.3 million of repayments on our revolving facility, $0.7 million used in the repurchase of our common stock, and $0.6 million of principal payments on finance lease obligations.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twenty-six weeks ended July 2, 2024, cash used in financing activities was $9.7 million, primarily due to $28.0 million of repayments on our revolving facility, $1.1 million of principal payments on finance lease obligations, and $0.8 million of withholding tax payments related to the vesting of equity-based awards, partially offset by $20.0 million of proceeds from borrowings on our revolving line of credit.</w:t>
      </w:r>
    </w:p>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There have been no other material changes to our contractual obligations and commitments as disclosed in our 2024 10-K</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 - Critical Accounting Policies and Estimates” in our 2024 10-K and the notes to the audited consolidated financial statements appearing elsewhere in our 2024 10-K. There have been no significant changes to our critical accounting policies and estimates as disclosed in our 2024 10-K.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See Note 2, </w:t>
      </w:r>
      <w:r>
        <w:rPr>
          <w:rFonts w:ascii="Times New Roman;Times;serif" w:hAnsi="Times New Roman;Times;serif"/>
          <w:i/>
          <w:sz w:val="20"/>
        </w:rPr>
        <w:t>Significant Accounting Policies - Recently Issued Accounting Pronouncements</w:t>
      </w:r>
      <w:r>
        <w:rPr>
          <w:rFonts w:ascii="Times New Roman;Times;serif" w:hAnsi="Times New Roman;Times;serif"/>
          <w:sz w:val="20"/>
        </w:rPr>
        <w:t>, in the Notes to the Condensed Consolidated Financial Statements included elsewhere in this Quarterly Report on Form 10-Q for more 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as defined in the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consolidated financial statements and our unaudited interim condensed consolidated financial statements may not be comparable to companies that comply with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22" w:name="Item3QuantitativeandQualitativeDisclosur"/>
      <w:bookmarkStart w:id="1123" w:name="_bba94b05_5652_42b2_9207_888252fdea89"/>
      <w:bookmarkEnd w:id="1122"/>
      <w:bookmarkEnd w:id="1123"/>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2024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24" w:name="Item4ControlsandProcedures_489265"/>
      <w:bookmarkStart w:id="1125" w:name="_659f0e9b_a22e_4dd6_a5c3_7fd063221d17"/>
      <w:bookmarkEnd w:id="1124"/>
      <w:bookmarkEnd w:id="1125"/>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June 29, 2025, our disclosure controls and procedures were effective.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June 29, 2025 that have materially affected, or are reasonably likely to materially affect, our internal control over financial reporting.</w:t>
      </w:r>
    </w:p>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26" w:name="PARTIIOTHERINFORMATION_807620"/>
      <w:bookmarkStart w:id="1127" w:name="_3909b78a_4b78_43a2_94cd_38c47146e066"/>
      <w:bookmarkEnd w:id="1126"/>
      <w:bookmarkEnd w:id="1127"/>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128" w:name="Item1LegalProceedings_569580"/>
      <w:bookmarkEnd w:id="1128"/>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129" w:name="Item1ARiskFactors_224374"/>
      <w:bookmarkStart w:id="1130" w:name="_89e47018_1f96_4b5b_84bb_7c9921217a01"/>
      <w:bookmarkEnd w:id="1129"/>
      <w:bookmarkEnd w:id="1130"/>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bookmarkStart w:id="1131" w:name="_Hlk181098108"/>
      <w:bookmarkEnd w:id="1131"/>
      <w:r>
        <w:rPr>
          <w:rFonts w:ascii="Times New Roman;Times;serif" w:hAnsi="Times New Roman;Times;serif"/>
          <w:color w:val="212529"/>
          <w:sz w:val="20"/>
          <w:shd w:fill="FFFFFF" w:val="clear"/>
        </w:rPr>
        <w:t xml:space="preserve">For detailed information about certain risk factors that could materially affect our business, financial condition or future results see “Risk Factors” in Part I, Item 1A of our 2024 10-K and in Part II, Item 1A of our Quarterly Report on Form 10-Q for the quarter ended March 30, 2025. </w:t>
      </w:r>
      <w:r>
        <w:rPr>
          <w:rFonts w:ascii="Times New Roman;Times;serif" w:hAnsi="Times New Roman;Times;serif"/>
          <w:sz w:val="20"/>
          <w:shd w:fill="FFFFFF" w:val="clear"/>
        </w:rPr>
        <w:t xml:space="preserve">Set forth below are an additional risk factor and material changes to an existing risk factor previously disclosed in the 2024 10-K. Other than the risk factors set forth below, there have been no material changes to the risk factors previously disclosed in the 2024 10-K and the Form 10-Q for the quarter ended March 30, 2025. </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We may not be able to refinance the 2021 Credit Agreement, as amended, on favorable terms within our anticipated timeframe, or at all, in order to meet our current and future capital needs.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2021 Credit Agreement, as amended, will mature on August 22, 2025 (the "Maturity Date"). The Forbearance Period under the Forbearance Agreement, as amended, also expires on August 22, 2025.  </w:t>
      </w:r>
      <w:r>
        <w:rPr>
          <w:rFonts w:ascii="Times New Roman;Times;serif" w:hAnsi="Times New Roman;Times;serif"/>
          <w:color w:val="212529"/>
          <w:sz w:val="20"/>
          <w:shd w:fill="FFFFFF" w:val="clear"/>
        </w:rPr>
        <w:t>Although the Company is currently negotiating a new asset-based revolving credit facility, we</w:t>
      </w:r>
      <w:r>
        <w:rPr>
          <w:rFonts w:ascii="Times New Roman;Times;serif" w:hAnsi="Times New Roman;Times;serif"/>
          <w:sz w:val="20"/>
          <w:shd w:fill="FFFFFF" w:val="clear"/>
        </w:rPr>
        <w:t xml:space="preserve"> may not be able to timely refinance the 2021 Credit Agreement, as amended, on favorable terms, within our anticipated timeframe, or at all, including due to our current financial condition, market volatility and uncertainty resulting from international conflicts or geopolitical tensions, among other factors. Failure to repay the indebtedness outstanding under the 2021 Credit Agreement, as amended, by the Maturity Date, without a timely cure, waiver or further extension of the Forbearance Period, would result in an event of default under the 2021 Credit Agreement, as amended. If an event of default under the 2021 Credit Agreement, as amended, occurs and is not cured or waived, the lenders could elect to declare all amounts outstanding under the 2021 Credit Agreement, as amended, immediately due and payable and exercise other remedies as set forth in the 2021 Credit Agreement, as amended. In addition, the lenders would have the right to enforce their security interests against the collateral pledged to them, which includes substantially all of our assets.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We currently have $5.8 million of indebtedness outstanding under the terms of the 2021 Credit Agreement, as amended.  In addition, we expect to require additional capital in the future to respond to business opportunities, challenges, or unforeseen circumstances.  If we are unable to refinance the 2021 Credit Agreement, as amended, on favorable terms within our anticipated timeframe, or at all, our ability to repay our indebtedness under the 2021 Credit Agreement, as amended, and continue to grow or support our business, and respond to business challenges could be significantly limited.</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We are required to meet the Nasdaq Capital Market’s continued listing requirements and other Nasdaq rules, or we may risk delisting. Delisting could negatively affect the price of our common stock, which could make it more difficult for us to sell securities in a future financing or for you to sell our common stock.</w:t>
      </w:r>
    </w:p>
    <w:p>
      <w:pPr>
        <w:pStyle w:val="TextBody"/>
        <w:bidi w:val="0"/>
        <w:spacing w:lineRule="auto" w:line="314"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We are required to meet the continued listing requirements of the Nasdaq Capital Market and other Nasdaq rules, including those regarding director independence and independent committee requirements, minimum share price, minimum stockholders' equity and certain other continued listing standards and corporate governance requirements. </w:t>
      </w:r>
    </w:p>
    <w:p>
      <w:pPr>
        <w:pStyle w:val="TextBody"/>
        <w:bidi w:val="0"/>
        <w:spacing w:before="0" w:after="0"/>
        <w:ind w:left="0" w:right="0" w:hanging="0"/>
        <w:jc w:val="left"/>
        <w:rPr>
          <w:shd w:fill="FFFFFF" w:val="clear"/>
        </w:rPr>
      </w:pPr>
      <w:r>
        <w:rPr>
          <w:shd w:fill="FFFFFF" w:val="clea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previously failed to meet the continued listing requirements of the Nasdaq Global Market under Nasdaq rules.  Specifically, we received a deficiency letter from Nasdaq on February 27, 2025 regarding not being in compliance with the minimum close bid price of $1.00 per share required for continued listing, and we received a deficiency letter on May 21, 2025 regarding not being in compliance with the minimum $10 million of stockholders' equity required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continued listing on the Nasdaq Global Market. We regained compliance with these deficiencies through our implementation of the Reverse Stock Split and our transfer to the Nasdaq Capital Market, respectively. While we are currently in compliance with the continued listing requirements of the Nasdaq Capital Market, there can be no guarantee that we will be able to maintain compliance with these requirements in the future.  If we are unable to maintain compliance with the continued listing requirements of the Nasdaq Capital Market in the future, our common stock could be delisted.</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132" w:name="Item2UnregisteredSalesofEquitySecurities"/>
      <w:bookmarkStart w:id="1133" w:name="_1ecf1299_a4e9_4ac2_baf0_8919cddbe480"/>
      <w:bookmarkEnd w:id="1132"/>
      <w:bookmarkEnd w:id="1133"/>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A summary of our common stock repurchases during the thirteen weeks ended June 29, 2025,</w:t>
      </w:r>
      <w:r>
        <w:rPr>
          <w:rFonts w:ascii="Times New Roman;Times;serif" w:hAnsi="Times New Roman;Times;serif"/>
          <w:sz w:val="20"/>
        </w:rPr>
        <w:t xml:space="preserve"> as discussed in Note 2, </w:t>
      </w:r>
      <w:r>
        <w:rPr>
          <w:rFonts w:ascii="Times New Roman;Times;serif" w:hAnsi="Times New Roman;Times;serif"/>
          <w:i/>
          <w:sz w:val="20"/>
        </w:rPr>
        <w:t>Significant Accounting Policies</w:t>
      </w:r>
      <w:r>
        <w:rPr>
          <w:rFonts w:ascii="Times New Roman;Times;serif" w:hAnsi="Times New Roman;Times;serif"/>
          <w:sz w:val="20"/>
        </w:rPr>
        <w:t>, within the Notes to the Condensed Consolidated Financial Statements included elsewhere in this Quarterly Report on Form 10-Q, is set forth in the table below.</w:t>
      </w:r>
    </w:p>
    <w:p>
      <w:pPr>
        <w:pStyle w:val="TextBody"/>
        <w:bidi w:val="0"/>
        <w:spacing w:before="0" w:after="0"/>
        <w:ind w:left="0" w:right="0" w:firstLine="36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3064"/>
        <w:gridCol w:w="326"/>
        <w:gridCol w:w="1126"/>
        <w:gridCol w:w="326"/>
        <w:gridCol w:w="373"/>
        <w:gridCol w:w="828"/>
        <w:gridCol w:w="109"/>
        <w:gridCol w:w="261"/>
        <w:gridCol w:w="1610"/>
        <w:gridCol w:w="109"/>
        <w:gridCol w:w="211"/>
        <w:gridCol w:w="1862"/>
      </w:tblGrid>
      <w:tr>
        <w:trPr/>
        <w:tc>
          <w:tcPr>
            <w:tcW w:w="3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945640" cy="175260"/>
                      <wp:effectExtent l="0" t="0" r="0" b="0"/>
                      <wp:wrapNone/>
                      <wp:docPr id="285" name="Frame284"/>
                      <a:graphic xmlns:a="http://schemas.openxmlformats.org/drawingml/2006/main">
                        <a:graphicData uri="http://schemas.microsoft.com/office/word/2010/wordprocessingShape">
                          <wps:wsp>
                            <wps:cNvSpPr txBox="1"/>
                            <wps:spPr>
                              <a:xfrm>
                                <a:off x="0" y="0"/>
                                <a:ext cx="194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715010" cy="175260"/>
                      <wp:effectExtent l="0" t="0" r="0" b="0"/>
                      <wp:wrapNone/>
                      <wp:docPr id="287" name="Frame28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36855" cy="175260"/>
                      <wp:effectExtent l="0" t="0" r="0" b="0"/>
                      <wp:wrapNone/>
                      <wp:docPr id="289" name="Frame28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525780" cy="175260"/>
                      <wp:effectExtent l="0" t="0" r="0" b="0"/>
                      <wp:wrapNone/>
                      <wp:docPr id="290" name="Frame289"/>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5735" cy="175260"/>
                      <wp:effectExtent l="0" t="0" r="0" b="0"/>
                      <wp:wrapNone/>
                      <wp:docPr id="292" name="Frame29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022350" cy="175260"/>
                      <wp:effectExtent l="0" t="0" r="0" b="0"/>
                      <wp:wrapNone/>
                      <wp:docPr id="293" name="Frame292"/>
                      <a:graphic xmlns:a="http://schemas.openxmlformats.org/drawingml/2006/main">
                        <a:graphicData uri="http://schemas.microsoft.com/office/word/2010/wordprocessingShape">
                          <wps:wsp>
                            <wps:cNvSpPr txBox="1"/>
                            <wps:spPr>
                              <a:xfrm>
                                <a:off x="0" y="0"/>
                                <a:ext cx="1022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182370" cy="175260"/>
                      <wp:effectExtent l="0" t="0" r="0" b="0"/>
                      <wp:wrapNone/>
                      <wp:docPr id="296" name="Frame295"/>
                      <a:graphic xmlns:a="http://schemas.openxmlformats.org/drawingml/2006/main">
                        <a:graphicData uri="http://schemas.microsoft.com/office/word/2010/wordprocessingShape">
                          <wps:wsp>
                            <wps:cNvSpPr txBox="1"/>
                            <wps:spPr>
                              <a:xfrm>
                                <a:off x="0" y="0"/>
                                <a:ext cx="1182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 Value</w:t>
            </w:r>
          </w:p>
        </w:tc>
      </w:tr>
      <w:tr>
        <w:trPr/>
        <w:tc>
          <w:tcPr>
            <w:tcW w:w="30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1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 Yet</w:t>
            </w:r>
          </w:p>
        </w:tc>
      </w:tr>
      <w:tr>
        <w:trPr/>
        <w:tc>
          <w:tcPr>
            <w:tcW w:w="30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109" w:type="dxa"/>
            <w:tcBorders/>
            <w:vAlign w:val="center"/>
          </w:tcPr>
          <w:p>
            <w:pPr>
              <w:pStyle w:val="TableContents"/>
              <w:bidi w:val="0"/>
              <w:spacing w:before="0" w:after="0"/>
              <w:ind w:left="0" w:right="0" w:hanging="0"/>
              <w:jc w:val="left"/>
              <w:rPr/>
            </w:pPr>
            <w:r>
              <w:rPr/>
              <w:t>​</w:t>
            </w:r>
          </w:p>
        </w:tc>
        <w:tc>
          <w:tcPr>
            <w:tcW w:w="1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the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30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Purchased </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109" w:type="dxa"/>
            <w:tcBorders/>
            <w:vAlign w:val="center"/>
          </w:tcPr>
          <w:p>
            <w:pPr>
              <w:pStyle w:val="TableContents"/>
              <w:bidi w:val="0"/>
              <w:spacing w:before="0" w:after="0"/>
              <w:ind w:left="0" w:right="0" w:hanging="0"/>
              <w:jc w:val="left"/>
              <w:rPr/>
            </w:pPr>
            <w:r>
              <w:rPr/>
              <w:t>​</w:t>
            </w:r>
          </w:p>
        </w:tc>
        <w:tc>
          <w:tcPr>
            <w:tcW w:w="1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 Plan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86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Plan</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2025 through May 4,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42,943</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center"/>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61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42,943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1,464,438</w:t>
            </w:r>
          </w:p>
        </w:tc>
      </w:tr>
      <w:tr>
        <w:trPr/>
        <w:tc>
          <w:tcPr>
            <w:tcW w:w="3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5, 2025 through June 1, 2025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15,431</w:t>
            </w:r>
          </w:p>
        </w:tc>
        <w:tc>
          <w:tcPr>
            <w:tcW w:w="32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6.59</w:t>
            </w:r>
          </w:p>
        </w:tc>
        <w:tc>
          <w:tcPr>
            <w:tcW w:w="109" w:type="dxa"/>
            <w:tcBorders/>
            <w:vAlign w:val="center"/>
          </w:tcPr>
          <w:p>
            <w:pPr>
              <w:pStyle w:val="TableContents"/>
              <w:bidi w:val="0"/>
              <w:spacing w:before="0" w:after="0"/>
              <w:ind w:left="0" w:right="0" w:hanging="0"/>
              <w:jc w:val="center"/>
              <w:rPr/>
            </w:pPr>
            <w:r>
              <w:rPr/>
              <w:t>​</w:t>
            </w:r>
          </w:p>
        </w:tc>
        <w:tc>
          <w:tcPr>
            <w:tcW w:w="261" w:type="dxa"/>
            <w:tcBorders/>
            <w:vAlign w:val="center"/>
          </w:tcPr>
          <w:p>
            <w:pPr>
              <w:pStyle w:val="TableContents"/>
              <w:bidi w:val="0"/>
              <w:spacing w:before="0" w:after="0"/>
              <w:ind w:left="0" w:right="0" w:hanging="0"/>
              <w:jc w:val="left"/>
              <w:rPr/>
            </w:pPr>
            <w:r>
              <w:rPr/>
              <w:t>​</w:t>
            </w:r>
          </w:p>
        </w:tc>
        <w:tc>
          <w:tcPr>
            <w:tcW w:w="16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15,431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1,362,793</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 2025 through June 29, 2025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14,959</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6.75</w:t>
            </w:r>
          </w:p>
        </w:tc>
        <w:tc>
          <w:tcPr>
            <w:tcW w:w="109" w:type="dxa"/>
            <w:tcBorders/>
            <w:shd w:fill="CCEEFF" w:val="clear"/>
            <w:vAlign w:val="center"/>
          </w:tcPr>
          <w:p>
            <w:pPr>
              <w:pStyle w:val="TableContents"/>
              <w:bidi w:val="0"/>
              <w:spacing w:before="0" w:after="0"/>
              <w:ind w:left="0" w:right="0" w:hanging="0"/>
              <w:jc w:val="center"/>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161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14,959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6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1,261,765</w:t>
            </w:r>
          </w:p>
        </w:tc>
      </w:tr>
    </w:tbl>
    <w:p>
      <w:pPr>
        <w:pStyle w:val="TextBody"/>
        <w:pBdr/>
        <w:bidi w:val="0"/>
        <w:spacing w:before="0" w:after="0"/>
        <w:ind w:left="0" w:right="0" w:hanging="369"/>
        <w:jc w:val="both"/>
        <w:rPr>
          <w:shd w:fill="FFFFFF" w:val="clear"/>
        </w:rPr>
      </w:pPr>
      <w:r>
        <w:rPr>
          <w:shd w:fill="FFFFFF" w:val="clear"/>
        </w:rPr>
        <w:t>​</w:t>
      </w:r>
    </w:p>
    <w:tbl>
      <w:tblPr>
        <w:tblW w:w="10205" w:type="dxa"/>
        <w:jc w:val="left"/>
        <w:tblInd w:w="0" w:type="dxa"/>
        <w:tblLayout w:type="fixed"/>
        <w:tblCellMar>
          <w:top w:w="28" w:type="dxa"/>
          <w:left w:w="28" w:type="dxa"/>
          <w:bottom w:w="28" w:type="dxa"/>
          <w:right w:w="28" w:type="dxa"/>
        </w:tblCellMar>
      </w:tblPr>
      <w:tblGrid>
        <w:gridCol w:w="124"/>
        <w:gridCol w:w="281"/>
        <w:gridCol w:w="9800"/>
      </w:tblGrid>
      <w:tr>
        <w:trPr/>
        <w:tc>
          <w:tcPr>
            <w:tcW w:w="124" w:type="dxa"/>
            <w:tcBorders/>
            <w:vAlign w:val="center"/>
          </w:tcPr>
          <w:p>
            <w:pPr>
              <w:pStyle w:val="TableContents"/>
              <w:bidi w:val="0"/>
              <w:spacing w:before="0" w:after="283"/>
              <w:jc w:val="left"/>
              <w:rPr>
                <w:sz w:val="4"/>
                <w:szCs w:val="4"/>
              </w:rPr>
            </w:pPr>
            <w:r>
              <w:rPr>
                <w:sz w:val="4"/>
                <w:szCs w:val="4"/>
              </w:rPr>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On May 8, 2024, the Company's Board of Directors announced that it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All shares repurchased during the twenty-six weeks ended June 29, 2025 </w:t>
            </w:r>
            <w:r>
              <w:rPr>
                <w:rFonts w:ascii="Times New Roman;Times;serif" w:hAnsi="Times New Roman;Times;serif"/>
                <w:b w:val="false"/>
                <w:i w:val="false"/>
                <w:caps w:val="false"/>
                <w:smallCaps w:val="false"/>
                <w:sz w:val="20"/>
              </w:rPr>
              <w:t>were repurchased in open market transactions pursuant to the Company’s 2024 Repurchase Program and a 10b5-1 purchase plan entered into by the Company</w:t>
            </w:r>
            <w:r>
              <w:rPr>
                <w:rFonts w:ascii="Times New Roman;Times;serif" w:hAnsi="Times New Roman;Times;serif"/>
                <w:b w:val="false"/>
                <w:i w:val="false"/>
                <w:caps w:val="false"/>
                <w:smallCaps w:val="false"/>
                <w:sz w:val="20"/>
                <w:shd w:fill="FFFFFF" w:val="clear"/>
              </w:rPr>
              <w:t>.</w:t>
            </w:r>
            <w:r>
              <w:rPr>
                <w:caps w:val="false"/>
                <w:smallCaps w:val="false"/>
              </w:rPr>
              <w:t xml:space="preserve"> </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34" w:name="Item3DefaultsUponSeniorSecurities_546631"/>
      <w:bookmarkStart w:id="1135" w:name="_c1f6bfab_db60_4816_9e06_facb8294b2c9"/>
      <w:bookmarkEnd w:id="1134"/>
      <w:bookmarkEnd w:id="1135"/>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36" w:name="Item4MineSafetyDisclosures_84191"/>
      <w:bookmarkStart w:id="1137" w:name="_6c428c10_6c5d_4d02_a9b0_97f378730944"/>
      <w:bookmarkEnd w:id="1136"/>
      <w:bookmarkEnd w:id="1137"/>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138" w:name="Item5OtherInformation_793305"/>
      <w:bookmarkStart w:id="1139" w:name="_653b4b7d_a01c_41c9_a5ee_daa8fc8e057b"/>
      <w:bookmarkEnd w:id="1138"/>
      <w:bookmarkEnd w:id="1139"/>
      <w:r>
        <w:rPr>
          <w:rFonts w:ascii="Times New Roman;Times;serif" w:hAnsi="Times New Roman;Times;serif"/>
          <w:b/>
          <w:sz w:val="20"/>
        </w:rPr>
        <w:t xml:space="preserve">Item 5. Other Information.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Amendment to Forbearance Agreement and Fifth Amendment to 2021 Credit Agreement, As Amended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 xml:space="preserve">On August 11, 2025, the Company entered into the Forbearance Amendment with the </w:t>
      </w:r>
      <w:r>
        <w:rPr>
          <w:rFonts w:ascii="Times New Roman;Times;serif" w:hAnsi="Times New Roman;Times;serif"/>
          <w:sz w:val="20"/>
        </w:rPr>
        <w:t>Administrative Agent and Lenders</w:t>
      </w:r>
      <w:r>
        <w:rPr>
          <w:rFonts w:ascii="Times New Roman;Times;serif" w:hAnsi="Times New Roman;Times;serif"/>
          <w:color w:val="212529"/>
          <w:sz w:val="20"/>
          <w:shd w:fill="FFFFFF" w:val="clear"/>
        </w:rPr>
        <w:t xml:space="preserve">. </w:t>
      </w:r>
      <w:r>
        <w:rPr>
          <w:rFonts w:ascii="Times New Roman;Times;serif" w:hAnsi="Times New Roman;Times;serif"/>
          <w:sz w:val="20"/>
        </w:rPr>
        <w:t xml:space="preserve">Pursuant to the terms of the Forbearance </w:t>
      </w:r>
      <w:r>
        <w:rPr>
          <w:rFonts w:ascii="Times New Roman;Times;serif" w:hAnsi="Times New Roman;Times;serif"/>
          <w:color w:val="212529"/>
          <w:sz w:val="20"/>
          <w:shd w:fill="FFFFFF" w:val="clear"/>
        </w:rPr>
        <w:t>Amendment</w:t>
      </w:r>
      <w:r>
        <w:rPr>
          <w:rFonts w:ascii="Times New Roman;Times;serif" w:hAnsi="Times New Roman;Times;serif"/>
          <w:sz w:val="20"/>
        </w:rPr>
        <w:t>, the Administrative Agent and Lenders agreed to amend the definition of</w:t>
      </w:r>
      <w:r>
        <w:rPr>
          <w:rFonts w:ascii="Times New Roman;Times;serif" w:hAnsi="Times New Roman;Times;serif"/>
          <w:sz w:val="20"/>
          <w:shd w:fill="FFFFFF" w:val="clear"/>
        </w:rPr>
        <w:t xml:space="preserve"> “Forbearance Termination Event” set forth in the Forbearance Agreement to </w:t>
      </w:r>
      <w:r>
        <w:rPr>
          <w:rFonts w:ascii="Times New Roman;Times;serif" w:hAnsi="Times New Roman;Times;serif"/>
          <w:sz w:val="20"/>
        </w:rPr>
        <w:t>replace “August 15, 2025” with “August 22, 2025”</w:t>
      </w:r>
      <w:r>
        <w:rPr>
          <w:rFonts w:ascii="Times New Roman;Times;serif" w:hAnsi="Times New Roman;Times;serif"/>
          <w:sz w:val="24"/>
        </w:rPr>
        <w:t>.</w:t>
      </w:r>
      <w:r>
        <w:rPr>
          <w:rFonts w:ascii="Times New Roman;Times;serif" w:hAnsi="Times New Roman;Times;serif"/>
          <w:sz w:val="20"/>
        </w:rPr>
        <w:t xml:space="preserve"> The Forbearance Amendment also amended the definition of “Maturity Date” set forth in the 2021 Credit Agreement, as amended, to replace “August 15, 2025” with “August 22, 2025”.</w:t>
      </w:r>
      <w:r>
        <w:rPr>
          <w:rFonts w:ascii="Times New Roman;Times;serif" w:hAnsi="Times New Roman;Times;serif"/>
          <w:color w:val="212529"/>
          <w:sz w:val="20"/>
          <w:shd w:fill="FFFFFF" w:val="clear"/>
        </w:rPr>
        <w:t xml:space="preserve">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Securities Trading Plans of Directors and Executive Officers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thirteen weeks ended June 29, 2025, none of the Company’s directors or officers adopted, modified, or terminated a “Rule 10b5-1 trading arrangement” or a “non-Rule 10b5-1 trading arrangement,” as such terms are defined under Item 408 of Regulation S-K.</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40" w:name="Item6Exhibits_785378"/>
      <w:bookmarkStart w:id="1141" w:name="_36592e03_b0f1_433e_ba6e_e9f850a7339f"/>
      <w:bookmarkEnd w:id="1140"/>
      <w:bookmarkEnd w:id="1141"/>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818"/>
        <w:gridCol w:w="266"/>
        <w:gridCol w:w="3995"/>
        <w:gridCol w:w="266"/>
        <w:gridCol w:w="586"/>
        <w:gridCol w:w="266"/>
        <w:gridCol w:w="795"/>
        <w:gridCol w:w="266"/>
        <w:gridCol w:w="736"/>
        <w:gridCol w:w="266"/>
        <w:gridCol w:w="671"/>
        <w:gridCol w:w="266"/>
        <w:gridCol w:w="1008"/>
      </w:tblGrid>
      <w:tr>
        <w:trPr/>
        <w:tc>
          <w:tcPr>
            <w:tcW w:w="818" w:type="dxa"/>
            <w:tcBorders>
              <w:bottom w:val="single" w:sz="2" w:space="0" w:color="000000"/>
            </w:tcBorders>
            <w:vAlign w:val="center"/>
          </w:tcPr>
          <w:p>
            <w:pPr>
              <w:pStyle w:val="TableHeading"/>
              <w:bidi w:val="0"/>
              <w:spacing w:before="0" w:after="0"/>
              <w:ind w:left="0" w:right="0" w:hanging="0"/>
              <w:jc w:val="left"/>
              <w:rPr/>
            </w:pPr>
            <w:r>
              <w:rPr/>
              <w:t>​</w:t>
            </w:r>
          </w:p>
        </w:tc>
        <w:tc>
          <w:tcPr>
            <w:tcW w:w="266" w:type="dxa"/>
            <w:tcBorders>
              <w:bottom w:val="single" w:sz="2" w:space="0" w:color="000000"/>
            </w:tcBorders>
            <w:vAlign w:val="center"/>
          </w:tcPr>
          <w:p>
            <w:pPr>
              <w:pStyle w:val="TableHeading"/>
              <w:bidi w:val="0"/>
              <w:spacing w:before="0" w:after="0"/>
              <w:ind w:left="0" w:right="0" w:hanging="0"/>
              <w:jc w:val="center"/>
              <w:rPr/>
            </w:pPr>
            <w:r>
              <w:rPr/>
              <w:t>​</w:t>
            </w:r>
          </w:p>
        </w:tc>
        <w:tc>
          <w:tcPr>
            <w:tcW w:w="3995" w:type="dxa"/>
            <w:tcBorders>
              <w:bottom w:val="single" w:sz="2" w:space="0" w:color="000000"/>
            </w:tcBorders>
            <w:vAlign w:val="center"/>
          </w:tcPr>
          <w:p>
            <w:pPr>
              <w:pStyle w:val="TableHeading"/>
              <w:bidi w:val="0"/>
              <w:spacing w:before="0" w:after="0"/>
              <w:ind w:left="0" w:right="0" w:hanging="0"/>
              <w:jc w:val="center"/>
              <w:rPr/>
            </w:pPr>
            <w:r>
              <w:rPr/>
              <w:t>​</w:t>
            </w:r>
          </w:p>
        </w:tc>
        <w:tc>
          <w:tcPr>
            <w:tcW w:w="266" w:type="dxa"/>
            <w:tcBorders>
              <w:bottom w:val="single" w:sz="2" w:space="0" w:color="000000"/>
            </w:tcBorders>
            <w:vAlign w:val="center"/>
          </w:tcPr>
          <w:p>
            <w:pPr>
              <w:pStyle w:val="TableHeading"/>
              <w:bidi w:val="0"/>
              <w:spacing w:before="0" w:after="0"/>
              <w:ind w:left="0" w:right="0" w:hanging="0"/>
              <w:jc w:val="center"/>
              <w:rPr/>
            </w:pPr>
            <w:r>
              <w:rPr/>
              <w:t>​</w:t>
            </w:r>
          </w:p>
        </w:tc>
        <w:tc>
          <w:tcPr>
            <w:tcW w:w="3586"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66" w:type="dxa"/>
            <w:tcBorders>
              <w:bottom w:val="single" w:sz="2" w:space="0" w:color="000000"/>
            </w:tcBorders>
            <w:vAlign w:val="center"/>
          </w:tcPr>
          <w:p>
            <w:pPr>
              <w:pStyle w:val="TableHeading"/>
              <w:bidi w:val="0"/>
              <w:spacing w:before="0" w:after="0"/>
              <w:ind w:left="0" w:right="0" w:hanging="0"/>
              <w:jc w:val="center"/>
              <w:rPr/>
            </w:pPr>
            <w:r>
              <w:rPr/>
              <w:t>​</w:t>
            </w:r>
          </w:p>
        </w:tc>
        <w:tc>
          <w:tcPr>
            <w:tcW w:w="100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r>
          </w:p>
        </w:tc>
      </w:tr>
      <w:tr>
        <w:trPr/>
        <w:tc>
          <w:tcPr>
            <w:tcW w:w="81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266" w:type="dxa"/>
            <w:tcBorders>
              <w:bottom w:val="single" w:sz="2" w:space="0" w:color="000000"/>
            </w:tcBorders>
            <w:vAlign w:val="center"/>
          </w:tcPr>
          <w:p>
            <w:pPr>
              <w:pStyle w:val="TableHeading"/>
              <w:bidi w:val="0"/>
              <w:spacing w:before="0" w:after="0"/>
              <w:ind w:left="0" w:right="0" w:hanging="0"/>
              <w:jc w:val="left"/>
              <w:rPr/>
            </w:pPr>
            <w:r>
              <w:rPr/>
              <w:t>   </w:t>
            </w:r>
          </w:p>
        </w:tc>
        <w:tc>
          <w:tcPr>
            <w:tcW w:w="3995"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266" w:type="dxa"/>
            <w:tcBorders>
              <w:bottom w:val="single" w:sz="2" w:space="0" w:color="000000"/>
            </w:tcBorders>
            <w:vAlign w:val="center"/>
          </w:tcPr>
          <w:p>
            <w:pPr>
              <w:pStyle w:val="TableHeading"/>
              <w:bidi w:val="0"/>
              <w:spacing w:before="0" w:after="0"/>
              <w:ind w:left="0" w:right="0" w:hanging="0"/>
              <w:jc w:val="center"/>
              <w:rPr/>
            </w:pPr>
            <w:r>
              <w:rPr/>
              <w:t>   </w:t>
            </w:r>
          </w:p>
        </w:tc>
        <w:tc>
          <w:tcPr>
            <w:tcW w:w="5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26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w:t>
            </w:r>
          </w:p>
        </w:tc>
        <w:tc>
          <w:tcPr>
            <w:tcW w:w="795"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26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w:t>
            </w:r>
          </w:p>
        </w:tc>
        <w:tc>
          <w:tcPr>
            <w:tcW w:w="73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26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w:t>
            </w:r>
          </w:p>
        </w:tc>
        <w:tc>
          <w:tcPr>
            <w:tcW w:w="671"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266" w:type="dxa"/>
            <w:tcBorders>
              <w:bottom w:val="single" w:sz="2" w:space="0" w:color="000000"/>
            </w:tcBorders>
            <w:vAlign w:val="center"/>
          </w:tcPr>
          <w:p>
            <w:pPr>
              <w:pStyle w:val="TableHeading"/>
              <w:bidi w:val="0"/>
              <w:spacing w:before="0" w:after="0"/>
              <w:ind w:left="0" w:right="0" w:hanging="0"/>
              <w:jc w:val="center"/>
              <w:rPr/>
            </w:pPr>
            <w:r>
              <w:rPr/>
              <w:t>   </w:t>
            </w:r>
          </w:p>
        </w:tc>
        <w:tc>
          <w:tcPr>
            <w:tcW w:w="1008"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Furnished</w:t>
            </w:r>
          </w:p>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Lulu’s Fashion Lounge Holdings, Inc</w:t>
              </w:r>
            </w:hyperlink>
            <w:hyperlink r:id="rId4">
              <w:r>
                <w:rPr>
                  <w:rStyle w:val="InternetLink"/>
                  <w:rFonts w:ascii="Times New Roman;Times;serif" w:hAnsi="Times New Roman;Times;serif"/>
                  <w:b w:val="false"/>
                  <w:i w:val="false"/>
                  <w:caps w:val="false"/>
                  <w:smallCaps w:val="false"/>
                  <w:sz w:val="20"/>
                  <w:shd w:fill="FFFFFF" w:val="clear"/>
                </w:rPr>
                <w:t>.</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12/16/2021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left"/>
              <w:rPr/>
            </w:pPr>
            <w:r>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6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399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Amendment to the Amended and Restated Certificate of Incorporation of the Registrant, dated as of June 26, 2025.</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06/26/2025</w:t>
            </w:r>
          </w:p>
        </w:tc>
        <w:tc>
          <w:tcPr>
            <w:tcW w:w="26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1008"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6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3995"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Forbearance Agreement, dated as of June 23, 2025, among Lulu's Fashion Lounge, LLC, Lulu's Fashion Lounge Parent, LLC, Bank of America N.A. and the lenders party thereto.</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8-K</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001-41059</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06/26/2025</w:t>
            </w:r>
          </w:p>
        </w:tc>
        <w:tc>
          <w:tcPr>
            <w:tcW w:w="26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1008"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pPr>
            <w:hyperlink w:anchor="tmb-20250629xex10d2.htm">
              <w:r>
                <w:rPr>
                  <w:rStyle w:val="InternetLink"/>
                  <w:rFonts w:ascii="Times New Roman;Times;serif" w:hAnsi="Times New Roman;Times;serif"/>
                  <w:b w:val="false"/>
                  <w:i w:val="false"/>
                  <w:caps w:val="false"/>
                  <w:smallCaps w:val="false"/>
                  <w:sz w:val="20"/>
                </w:rPr>
                <w:t>Amendment to Forbearance Agreement and Fifth Amendment to 2021 Credit Agreement, dated as of August 11, 2025, among Lulu's Fashion Lounge, LLC, Lulu's Fashion Lounge Parent, LLC, Bank of America N.A. and the lenders party thereto.</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pPr>
            <w:hyperlink w:anchor="tmb-20250629xex31d1.htm">
              <w:r>
                <w:rPr>
                  <w:rStyle w:val="InternetLink"/>
                  <w:rFonts w:ascii="Times New Roman;Times;serif" w:hAnsi="Times New Roman;Times;serif"/>
                  <w:b w:val="false"/>
                  <w:i w:val="false"/>
                  <w:caps w:val="false"/>
                  <w:smallCaps w:val="false"/>
                  <w:sz w:val="20"/>
                </w:rPr>
                <w:t>Certification of Chief Executive Officer and Interim Chief Financial Officer pursuant to Rule 13a-14(a)/15d-14(a).</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pPr>
            <w:hyperlink w:anchor="tmb-20250629xex32d1.htm">
              <w:r>
                <w:rPr>
                  <w:rStyle w:val="InternetLink"/>
                  <w:rFonts w:ascii="Times New Roman;Times;serif" w:hAnsi="Times New Roman;Times;serif"/>
                  <w:b w:val="false"/>
                  <w:i w:val="false"/>
                  <w:caps w:val="false"/>
                  <w:smallCaps w:val="false"/>
                  <w:sz w:val="20"/>
                </w:rPr>
                <w:t>Certification of Chief Executive Officer</w:t>
              </w:r>
            </w:hyperlink>
            <w:hyperlink w:anchor="tmb-20250629xex32d1.htm">
              <w:r>
                <w:rPr>
                  <w:rStyle w:val="InternetLink"/>
                  <w:rFonts w:ascii="Times New Roman;Times;serif" w:hAnsi="Times New Roman;Times;serif"/>
                  <w:caps w:val="false"/>
                  <w:smallCaps w:val="false"/>
                  <w:sz w:val="20"/>
                </w:rPr>
                <w:t xml:space="preserve"> </w:t>
              </w:r>
            </w:hyperlink>
            <w:hyperlink w:anchor="tmb-20250629xex32d1.htm">
              <w:r>
                <w:rPr>
                  <w:rStyle w:val="InternetLink"/>
                  <w:rFonts w:ascii="Times New Roman;Times;serif" w:hAnsi="Times New Roman;Times;serif"/>
                  <w:b w:val="false"/>
                  <w:i w:val="false"/>
                  <w:caps w:val="false"/>
                  <w:smallCaps w:val="false"/>
                  <w:sz w:val="20"/>
                </w:rPr>
                <w:t>and Interim Chief Financial Officer pursuant to 18 U.S.C. Section 1350.</w:t>
              </w:r>
            </w:hyperlink>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1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66" w:type="dxa"/>
            <w:tcBorders/>
            <w:tcMar>
              <w:bottom w:w="0" w:type="dxa"/>
            </w:tcMar>
            <w:vAlign w:val="center"/>
          </w:tcPr>
          <w:p>
            <w:pPr>
              <w:pStyle w:val="TableContents"/>
              <w:bidi w:val="0"/>
              <w:spacing w:before="0" w:after="0"/>
              <w:ind w:left="0" w:right="0" w:hanging="0"/>
              <w:jc w:val="left"/>
              <w:rPr/>
            </w:pPr>
            <w:r>
              <w:rPr/>
              <w:t>​</w:t>
            </w:r>
          </w:p>
        </w:tc>
        <w:tc>
          <w:tcPr>
            <w:tcW w:w="39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(as formatted as Inline XBRL and contained in Exhibit 101)</w:t>
            </w:r>
          </w:p>
        </w:tc>
        <w:tc>
          <w:tcPr>
            <w:tcW w:w="266" w:type="dxa"/>
            <w:tcBorders/>
            <w:tcMar>
              <w:bottom w:w="0" w:type="dxa"/>
            </w:tcMar>
            <w:vAlign w:val="center"/>
          </w:tcPr>
          <w:p>
            <w:pPr>
              <w:pStyle w:val="TableContents"/>
              <w:bidi w:val="0"/>
              <w:spacing w:before="0" w:after="0"/>
              <w:ind w:left="0" w:right="0" w:hanging="0"/>
              <w:jc w:val="left"/>
              <w:rPr/>
            </w:pPr>
            <w:r>
              <w:rPr/>
              <w:t>​</w:t>
            </w:r>
          </w:p>
        </w:tc>
        <w:tc>
          <w:tcPr>
            <w:tcW w:w="586" w:type="dxa"/>
            <w:tcBorders/>
            <w:tcMar>
              <w:bottom w:w="0" w:type="dxa"/>
            </w:tcMar>
            <w:vAlign w:val="center"/>
          </w:tcPr>
          <w:p>
            <w:pPr>
              <w:pStyle w:val="TableContents"/>
              <w:bidi w:val="0"/>
              <w:spacing w:before="0" w:after="0"/>
              <w:ind w:left="0" w:right="0" w:hanging="0"/>
              <w:jc w:val="left"/>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95"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736"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671"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left"/>
              <w:rPr/>
            </w:pPr>
            <w:r>
              <w:rPr/>
              <w:t>​</w:t>
            </w:r>
          </w:p>
        </w:tc>
        <w:tc>
          <w:tcPr>
            <w:tcW w:w="100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sz w:val="20"/>
        </w:rPr>
        <w:t>Portions of this exhibit have been redacted in compliance with Regulation S-K Item 601(b)(10)(iv).</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42" w:name="SIGNATURES_813814"/>
      <w:bookmarkStart w:id="1143" w:name="_87e1f74f_abda_4704_9084_d989796d049a"/>
      <w:bookmarkEnd w:id="1142"/>
      <w:bookmarkEnd w:id="1143"/>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9059" w:type="dxa"/>
        <w:jc w:val="left"/>
        <w:tblInd w:w="0" w:type="dxa"/>
        <w:tblLayout w:type="fixed"/>
        <w:tblCellMar>
          <w:top w:w="0" w:type="dxa"/>
          <w:left w:w="0" w:type="dxa"/>
          <w:bottom w:w="0" w:type="dxa"/>
          <w:right w:w="0" w:type="dxa"/>
        </w:tblCellMar>
      </w:tblPr>
      <w:tblGrid>
        <w:gridCol w:w="1951"/>
        <w:gridCol w:w="146"/>
        <w:gridCol w:w="406"/>
        <w:gridCol w:w="655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2710" cy="29210"/>
                      <wp:effectExtent l="0" t="0" r="0" b="0"/>
                      <wp:wrapNone/>
                      <wp:docPr id="297" name="Frame296"/>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57810" cy="29210"/>
                      <wp:effectExtent l="0" t="0" r="0" b="0"/>
                      <wp:wrapNone/>
                      <wp:docPr id="298" name="Frame297"/>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163060" cy="29210"/>
                      <wp:effectExtent l="0" t="0" r="0" b="0"/>
                      <wp:wrapNone/>
                      <wp:docPr id="299" name="Frame298"/>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6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55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2025</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5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Chief Executive Officer</w:t>
            </w:r>
            <w:r>
              <w:rPr>
                <w:rFonts w:ascii="Times New Roman;Times;serif" w:hAnsi="Times New Roman;Times;serif"/>
                <w:sz w:val="20"/>
              </w:rPr>
              <w:t xml:space="preserve"> </w:t>
            </w:r>
            <w:r>
              <w:rPr>
                <w:rFonts w:ascii="Times New Roman;Times;serif" w:hAnsi="Times New Roman;Times;serif"/>
                <w:b/>
                <w:sz w:val="20"/>
              </w:rPr>
              <w:t>and Interim 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 and Principal Financial and Accounting Officer)</w:t>
            </w:r>
            <w:r>
              <w:rPr>
                <w:rFonts w:ascii="Times New Roman;Times;serif" w:hAnsi="Times New Roman;Times;serif"/>
                <w:sz w:val="20"/>
              </w:rPr>
              <w:t> </w:t>
            </w:r>
          </w:p>
        </w:tc>
      </w:tr>
      <w:tr>
        <w:trPr/>
        <w:tc>
          <w:tcPr>
            <w:tcW w:w="195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5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556" w:type="dxa"/>
            <w:tcBorders/>
            <w:vAlign w:val="center"/>
          </w:tcPr>
          <w:p>
            <w:pPr>
              <w:pStyle w:val="TableContents"/>
              <w:bidi w:val="0"/>
              <w:spacing w:before="0" w:after="0"/>
              <w:ind w:left="0" w:right="0" w:hanging="0"/>
              <w:jc w:val="left"/>
              <w:rPr/>
            </w:pPr>
            <w:r>
              <w:rPr/>
              <w:t> </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0"/>
        <w:ind w:left="0" w:right="5" w:firstLine="712"/>
        <w:jc w:val="both"/>
        <w:rPr/>
      </w:pPr>
      <w:bookmarkStart w:id="1144" w:name="tmb-20250629xex10d2.htm"/>
      <w:bookmarkStart w:id="1145" w:name="kstmb20250629xex10d2"/>
      <w:bookmarkEnd w:id="1144"/>
      <w:bookmarkEnd w:id="1145"/>
      <w:r>
        <w:rPr/>
        <w:t>​</w:t>
      </w:r>
      <w:r>
        <w:br w:type="page"/>
      </w:r>
    </w:p>
    <w:p>
      <w:pPr>
        <w:pStyle w:val="TextBody"/>
        <w:bidi w:val="0"/>
        <w:spacing w:lineRule="auto" w:line="307" w:before="0" w:after="132"/>
        <w:ind w:left="0" w:right="8" w:hanging="0"/>
        <w:jc w:val="right"/>
        <w:rPr>
          <w:rFonts w:ascii="Times New Roman;Times;serif" w:hAnsi="Times New Roman;Times;serif"/>
          <w:b/>
          <w:sz w:val="24"/>
        </w:rPr>
      </w:pPr>
      <w:r>
        <w:rPr>
          <w:rFonts w:ascii="Times New Roman;Times;serif" w:hAnsi="Times New Roman;Times;serif"/>
          <w:b/>
          <w:sz w:val="24"/>
        </w:rPr>
        <w:t>EXHIBIT 10.2</w:t>
      </w:r>
    </w:p>
    <w:p>
      <w:pPr>
        <w:pStyle w:val="TextBody"/>
        <w:pBdr/>
        <w:bidi w:val="0"/>
        <w:spacing w:lineRule="auto" w:line="292" w:before="0" w:after="0"/>
        <w:ind w:left="0" w:right="9" w:hanging="10"/>
        <w:jc w:val="center"/>
        <w:rPr/>
      </w:pPr>
      <w:r>
        <w:rPr/>
        <w:t>​</w:t>
      </w:r>
    </w:p>
    <w:p>
      <w:pPr>
        <w:pStyle w:val="TextBody"/>
        <w:pBdr/>
        <w:bidi w:val="0"/>
        <w:spacing w:lineRule="auto" w:line="307" w:before="0" w:after="0"/>
        <w:ind w:left="0" w:right="9" w:hanging="10"/>
        <w:jc w:val="center"/>
        <w:rPr>
          <w:rFonts w:ascii="Times New Roman;Times;serif" w:hAnsi="Times New Roman;Times;serif"/>
          <w:sz w:val="22"/>
        </w:rPr>
      </w:pPr>
      <w:r>
        <w:rPr>
          <w:rFonts w:ascii="Times New Roman;Times;serif" w:hAnsi="Times New Roman;Times;serif"/>
          <w:sz w:val="22"/>
          <w:u w:val="single"/>
        </w:rPr>
        <w:t>AMENDMENT TO FORBEARANCE AGREEMENT AND</w:t>
      </w:r>
      <w:r>
        <w:rPr>
          <w:rFonts w:ascii="Times New Roman;Times;serif" w:hAnsi="Times New Roman;Times;serif"/>
          <w:sz w:val="22"/>
        </w:rPr>
        <w:t xml:space="preserve"> </w:t>
      </w:r>
    </w:p>
    <w:p>
      <w:pPr>
        <w:pStyle w:val="TextBody"/>
        <w:pBdr/>
        <w:bidi w:val="0"/>
        <w:spacing w:lineRule="auto" w:line="307" w:before="0" w:after="216"/>
        <w:ind w:left="0" w:right="12" w:hanging="10"/>
        <w:jc w:val="center"/>
        <w:rPr>
          <w:rFonts w:ascii="Times New Roman;Times;serif" w:hAnsi="Times New Roman;Times;serif"/>
          <w:sz w:val="22"/>
        </w:rPr>
      </w:pPr>
      <w:r>
        <w:rPr>
          <w:rFonts w:ascii="Times New Roman;Times;serif" w:hAnsi="Times New Roman;Times;serif"/>
          <w:sz w:val="22"/>
          <w:u w:val="single"/>
        </w:rPr>
        <w:t>FIFTH AMENDMENT TO CREDIT AGREEMENT</w:t>
      </w:r>
      <w:r>
        <w:rPr>
          <w:rFonts w:ascii="Times New Roman;Times;serif" w:hAnsi="Times New Roman;Times;serif"/>
          <w:sz w:val="22"/>
        </w:rPr>
        <w:t xml:space="preserve"> </w:t>
      </w:r>
    </w:p>
    <w:p>
      <w:pPr>
        <w:pStyle w:val="TextBody"/>
        <w:bidi w:val="0"/>
        <w:spacing w:lineRule="auto" w:line="285" w:before="0" w:after="0"/>
        <w:ind w:left="0" w:right="0" w:firstLine="706"/>
        <w:jc w:val="both"/>
        <w:rPr>
          <w:rFonts w:ascii="Times New Roman;Times;serif" w:hAnsi="Times New Roman;Times;serif"/>
          <w:sz w:val="22"/>
        </w:rPr>
      </w:pPr>
      <w:r>
        <w:rPr>
          <w:rFonts w:ascii="Times New Roman;Times;serif" w:hAnsi="Times New Roman;Times;serif"/>
          <w:sz w:val="22"/>
        </w:rPr>
        <w:t>THIS AMENDMENT TO FORBEARANCE AGREEMENT AND FIFTH AMENDMENT TO CREDIT AGREEMENT (this “</w:t>
      </w:r>
      <w:r>
        <w:rPr>
          <w:rFonts w:ascii="Times New Roman;Times;serif" w:hAnsi="Times New Roman;Times;serif"/>
          <w:sz w:val="22"/>
          <w:u w:val="single"/>
        </w:rPr>
        <w:t>Agreement</w:t>
      </w:r>
      <w:r>
        <w:rPr>
          <w:rFonts w:ascii="Times New Roman;Times;serif" w:hAnsi="Times New Roman;Times;serif"/>
          <w:sz w:val="22"/>
        </w:rPr>
        <w:t>”), dated as of August 11, 2025, is entered into among LULU’S FASHION LOUNGE, LLC, a Delaware limited liability company (the “</w:t>
      </w:r>
      <w:r>
        <w:rPr>
          <w:rFonts w:ascii="Times New Roman;Times;serif" w:hAnsi="Times New Roman;Times;serif"/>
          <w:sz w:val="22"/>
          <w:u w:val="single"/>
        </w:rPr>
        <w:t>Borrower</w:t>
      </w:r>
      <w:r>
        <w:rPr>
          <w:rFonts w:ascii="Times New Roman;Times;serif" w:hAnsi="Times New Roman;Times;serif"/>
          <w:sz w:val="22"/>
        </w:rPr>
        <w:t>”), LULU’S FASHION LOUNGE PARENT, LLC, a Delaware limited liability company (“</w:t>
      </w:r>
      <w:r>
        <w:rPr>
          <w:rFonts w:ascii="Times New Roman;Times;serif" w:hAnsi="Times New Roman;Times;serif"/>
          <w:sz w:val="22"/>
          <w:u w:val="single"/>
        </w:rPr>
        <w:t>Holdings</w:t>
      </w:r>
      <w:r>
        <w:rPr>
          <w:rFonts w:ascii="Times New Roman;Times;serif" w:hAnsi="Times New Roman;Times;serif"/>
          <w:sz w:val="22"/>
        </w:rPr>
        <w:t>”), the other Guarantors party hereto, the Lenders party hereto, and Bank of America, N.A., as Administrative Agent (in such capacity, the “</w:t>
      </w:r>
      <w:r>
        <w:rPr>
          <w:rFonts w:ascii="Times New Roman;Times;serif" w:hAnsi="Times New Roman;Times;serif"/>
          <w:sz w:val="22"/>
          <w:u w:val="single"/>
        </w:rPr>
        <w:t>Administrative Agent</w:t>
      </w:r>
      <w:r>
        <w:rPr>
          <w:rFonts w:ascii="Times New Roman;Times;serif" w:hAnsi="Times New Roman;Times;serif"/>
          <w:sz w:val="22"/>
        </w:rPr>
        <w:t xml:space="preserve">”), Swing Line Lender and an L/C Issuer. </w:t>
      </w:r>
    </w:p>
    <w:p>
      <w:pPr>
        <w:pStyle w:val="TextBody"/>
        <w:bidi w:val="0"/>
        <w:spacing w:lineRule="auto" w:line="292" w:before="0" w:after="0"/>
        <w:ind w:left="0" w:right="5" w:firstLine="712"/>
        <w:jc w:val="both"/>
        <w:rPr/>
      </w:pPr>
      <w:r>
        <w:rPr/>
        <w:t>​</w:t>
      </w:r>
    </w:p>
    <w:p>
      <w:pPr>
        <w:pStyle w:val="TextBody"/>
        <w:bidi w:val="0"/>
        <w:spacing w:lineRule="auto" w:line="292" w:before="0" w:after="231"/>
        <w:ind w:left="0" w:right="0" w:hanging="0"/>
        <w:jc w:val="center"/>
        <w:rPr>
          <w:rFonts w:ascii="Times New Roman;Times;serif" w:hAnsi="Times New Roman;Times;serif"/>
          <w:sz w:val="22"/>
        </w:rPr>
      </w:pPr>
      <w:r>
        <w:rPr>
          <w:rFonts w:ascii="Times New Roman;Times;serif" w:hAnsi="Times New Roman;Times;serif"/>
          <w:sz w:val="22"/>
        </w:rPr>
        <w:t>RECITALS</w:t>
      </w:r>
    </w:p>
    <w:p>
      <w:pPr>
        <w:pStyle w:val="TextBody"/>
        <w:bidi w:val="0"/>
        <w:spacing w:lineRule="auto" w:line="292" w:before="0" w:after="230"/>
        <w:ind w:left="0" w:right="0" w:firstLine="706"/>
        <w:jc w:val="both"/>
        <w:rPr>
          <w:rFonts w:ascii="Times New Roman;Times;serif" w:hAnsi="Times New Roman;Times;serif"/>
          <w:sz w:val="22"/>
        </w:rPr>
      </w:pPr>
      <w:r>
        <w:rPr>
          <w:rFonts w:ascii="Times New Roman;Times;serif" w:hAnsi="Times New Roman;Times;serif"/>
          <w:sz w:val="22"/>
        </w:rPr>
        <w:t>WHEREAS, the Borrower, Holdings, the other Guarantors from time to time party thereto, the Lenders from time to time party thereto, and Bank of America, N.A., as Administrative Agent, Swing Line Lender and an L/C Issuer, are parties that that certain Credit Agreement dated as of November 15, 2021 (as amended, modified, supplemented, increased, extended, restated, renewed, refinanced and replaced from time to time, the “</w:t>
      </w:r>
      <w:r>
        <w:rPr>
          <w:rFonts w:ascii="Times New Roman;Times;serif" w:hAnsi="Times New Roman;Times;serif"/>
          <w:sz w:val="22"/>
          <w:u w:val="single"/>
        </w:rPr>
        <w:t>Credit Agreement</w:t>
      </w:r>
      <w:r>
        <w:rPr>
          <w:rFonts w:ascii="Times New Roman;Times;serif" w:hAnsi="Times New Roman;Times;serif"/>
          <w:sz w:val="22"/>
        </w:rPr>
        <w:t>”);  </w:t>
      </w:r>
    </w:p>
    <w:p>
      <w:pPr>
        <w:pStyle w:val="TextBody"/>
        <w:bidi w:val="0"/>
        <w:spacing w:lineRule="auto" w:line="292" w:before="0" w:after="230"/>
        <w:ind w:left="0" w:right="0" w:firstLine="712"/>
        <w:jc w:val="both"/>
        <w:rPr>
          <w:rFonts w:ascii="Times New Roman;Times;serif" w:hAnsi="Times New Roman;Times;serif"/>
          <w:sz w:val="22"/>
        </w:rPr>
      </w:pPr>
      <w:r>
        <w:rPr>
          <w:rFonts w:ascii="Times New Roman;Times;serif" w:hAnsi="Times New Roman;Times;serif"/>
          <w:sz w:val="22"/>
        </w:rPr>
        <w:t>WHEREAS, the Borrower, Holdings, the other Guarantors, the Lenders and the Administrative Agent entered into that certain Forbearance Agreement dated as of June 23, 2025 (the “</w:t>
      </w:r>
      <w:r>
        <w:rPr>
          <w:rFonts w:ascii="Times New Roman;Times;serif" w:hAnsi="Times New Roman;Times;serif"/>
          <w:sz w:val="22"/>
          <w:u w:val="single"/>
        </w:rPr>
        <w:t>Forbearance</w:t>
      </w:r>
      <w:r>
        <w:rPr>
          <w:rFonts w:ascii="Times New Roman;Times;serif" w:hAnsi="Times New Roman;Times;serif"/>
          <w:sz w:val="22"/>
        </w:rPr>
        <w:t xml:space="preserve"> </w:t>
      </w:r>
      <w:r>
        <w:rPr>
          <w:rFonts w:ascii="Times New Roman;Times;serif" w:hAnsi="Times New Roman;Times;serif"/>
          <w:sz w:val="22"/>
          <w:u w:val="single"/>
        </w:rPr>
        <w:t>Agreement</w:t>
      </w:r>
      <w:r>
        <w:rPr>
          <w:rFonts w:ascii="Times New Roman;Times;serif" w:hAnsi="Times New Roman;Times;serif"/>
          <w:sz w:val="22"/>
        </w:rPr>
        <w:t xml:space="preserve">”), pursuant to which the Lenders and the Administrative Agent agreed to forbear from exercising their rights and remedies under the Loan Documents and applicable Laws as a result of the Acknowledged Defaults during the Forbearance Period; </w:t>
      </w:r>
    </w:p>
    <w:p>
      <w:pPr>
        <w:pStyle w:val="TextBody"/>
        <w:bidi w:val="0"/>
        <w:spacing w:lineRule="auto" w:line="292" w:before="0" w:after="230"/>
        <w:ind w:left="0" w:right="0" w:firstLine="712"/>
        <w:jc w:val="both"/>
        <w:rPr>
          <w:rFonts w:ascii="Times New Roman;Times;serif" w:hAnsi="Times New Roman;Times;serif"/>
          <w:sz w:val="22"/>
        </w:rPr>
      </w:pPr>
      <w:r>
        <w:rPr>
          <w:rFonts w:ascii="Times New Roman;Times;serif" w:hAnsi="Times New Roman;Times;serif"/>
          <w:sz w:val="22"/>
        </w:rPr>
        <w:t xml:space="preserve">WHEREAS, the Credit Parties have requested that the Administrative Agent and the Lenders agree to amend the Forbearance Agreement in certain respects and, pursuant thereto, continue to forbear from exercising their rights and remedies arising under the Loan Documents and applicable Laws as a result of the Acknowledged Defaults during the Forbearance Period and amend the Credit Agreement as set forth herein; and </w:t>
      </w:r>
    </w:p>
    <w:p>
      <w:pPr>
        <w:pStyle w:val="TextBody"/>
        <w:bidi w:val="0"/>
        <w:spacing w:lineRule="auto" w:line="292" w:before="0" w:after="227"/>
        <w:ind w:left="0" w:right="0" w:firstLine="712"/>
        <w:jc w:val="both"/>
        <w:rPr>
          <w:rFonts w:ascii="Times New Roman;Times;serif" w:hAnsi="Times New Roman;Times;serif"/>
          <w:sz w:val="22"/>
        </w:rPr>
      </w:pPr>
      <w:r>
        <w:rPr>
          <w:rFonts w:ascii="Times New Roman;Times;serif" w:hAnsi="Times New Roman;Times;serif"/>
          <w:sz w:val="22"/>
        </w:rPr>
        <w:t xml:space="preserve">WHEREAS, the Administrative Agent and the Lenders have agreed to do so, but only pursuant to the terms and conditions set forth herein. </w:t>
      </w:r>
    </w:p>
    <w:p>
      <w:pPr>
        <w:pStyle w:val="TextBody"/>
        <w:bidi w:val="0"/>
        <w:spacing w:lineRule="auto" w:line="292" w:before="0" w:after="0"/>
        <w:ind w:left="0" w:right="0" w:firstLine="712"/>
        <w:jc w:val="both"/>
        <w:rPr>
          <w:rFonts w:ascii="Times New Roman;Times;serif" w:hAnsi="Times New Roman;Times;serif"/>
          <w:sz w:val="22"/>
        </w:rPr>
      </w:pPr>
      <w:r>
        <w:rPr>
          <w:rFonts w:ascii="Times New Roman;Times;serif" w:hAnsi="Times New Roman;Times;serif"/>
          <w:sz w:val="22"/>
        </w:rPr>
        <w:t xml:space="preserve">NOW, THEREFORE, in consideration of the premises and the mutual covenants contained herein, and for other good and valuable consideration, the receipt and sufficiency of which are hereby acknowledged, the parties hereto agree as follows: </w:t>
      </w:r>
    </w:p>
    <w:p>
      <w:pPr>
        <w:pStyle w:val="TextBody"/>
        <w:bidi w:val="0"/>
        <w:spacing w:lineRule="auto" w:line="292" w:before="0" w:after="0"/>
        <w:ind w:left="722" w:right="0" w:hanging="0"/>
        <w:jc w:val="left"/>
        <w:rPr/>
      </w:pPr>
      <w:r>
        <w:rPr/>
        <w:t>​</w:t>
      </w:r>
    </w:p>
    <w:p>
      <w:pPr>
        <w:pStyle w:val="TextBody"/>
        <w:pBdr/>
        <w:bidi w:val="0"/>
        <w:spacing w:lineRule="auto" w:line="307" w:before="0" w:after="0"/>
        <w:ind w:left="0" w:right="10" w:hanging="10"/>
        <w:jc w:val="center"/>
        <w:rPr>
          <w:rFonts w:ascii="Times New Roman;Times;serif" w:hAnsi="Times New Roman;Times;serif"/>
          <w:sz w:val="22"/>
        </w:rPr>
      </w:pPr>
      <w:r>
        <w:rPr>
          <w:rFonts w:ascii="Times New Roman;Times;serif" w:hAnsi="Times New Roman;Times;serif"/>
          <w:sz w:val="22"/>
          <w:u w:val="single"/>
        </w:rPr>
        <w:t>AGREEMENT</w:t>
      </w:r>
      <w:r>
        <w:rPr>
          <w:rFonts w:ascii="Times New Roman;Times;serif" w:hAnsi="Times New Roman;Times;serif"/>
          <w:sz w:val="22"/>
        </w:rPr>
        <w:t xml:space="preserve"> </w:t>
      </w:r>
    </w:p>
    <w:p>
      <w:pPr>
        <w:pStyle w:val="TextBody"/>
        <w:bidi w:val="0"/>
        <w:spacing w:lineRule="auto" w:line="292" w:before="0" w:after="0"/>
        <w:ind w:left="0" w:right="0" w:hanging="0"/>
        <w:jc w:val="left"/>
        <w:rPr/>
      </w:pPr>
      <w:r>
        <w:rPr/>
        <w:t>​</w:t>
      </w:r>
    </w:p>
    <w:p>
      <w:pPr>
        <w:pStyle w:val="TextBody"/>
        <w:bidi w:val="0"/>
        <w:spacing w:lineRule="auto" w:line="283"/>
        <w:ind w:left="0" w:right="0" w:hanging="0"/>
        <w:jc w:val="both"/>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22"/>
          <w:u w:val="single"/>
        </w:rPr>
        <w:t>Defined Terms</w:t>
      </w:r>
      <w:r>
        <w:rPr>
          <w:rFonts w:ascii="Times New Roman;Times;serif" w:hAnsi="Times New Roman;Times;serif"/>
          <w:sz w:val="22"/>
        </w:rPr>
        <w:t xml:space="preserve">.  Capitalized terms used herein but not otherwise defined herein shall have the meanings given to such terms in the Forbearance Agreement, or as incorporated therein by reference.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sz w:val="22"/>
          <w:u w:val="single"/>
        </w:rPr>
        <w:t>Estoppel</w:t>
      </w:r>
      <w:r>
        <w:rPr>
          <w:rFonts w:ascii="Times New Roman;Times;serif" w:hAnsi="Times New Roman;Times;serif"/>
          <w:sz w:val="22"/>
        </w:rPr>
        <w:t xml:space="preserve">.  Each Credit Party hereby acknowledges and agrees that, as of August 8, 2025: (a) the Outstanding Amount of the Revolving Loans was not less than $5,750,000; (b) the Outstanding Amount of all Swing Line Loans was not less than $0.00; and (c) the Outstanding Amount of all L/C Obligations was not less than $250,000.00, each of which constitutes a valid and subsisting obligation of </w:t>
      </w:r>
    </w:p>
    <w:p>
      <w:pPr>
        <w:pStyle w:val="TextBody"/>
        <w:bidi w:val="0"/>
        <w:spacing w:lineRule="auto" w:line="331" w:before="0" w:after="160"/>
        <w:ind w:left="0" w:right="0" w:hanging="0"/>
        <w:jc w:val="left"/>
        <w:rPr>
          <w:rFonts w:ascii="Aptos" w:hAnsi="Aptos"/>
          <w:sz w:val="16"/>
        </w:rPr>
      </w:pPr>
      <w:r>
        <w:rPr>
          <w:rFonts w:ascii="Aptos" w:hAnsi="Aptos"/>
          <w:sz w:val="16"/>
        </w:rPr>
        <w:t>LULU’S FASHION LOUNGE, LLC</w:t>
      </w:r>
    </w:p>
    <w:p>
      <w:pPr>
        <w:pStyle w:val="TextBody"/>
        <w:bidi w:val="0"/>
        <w:spacing w:lineRule="auto" w:line="331" w:before="0" w:after="160"/>
        <w:ind w:left="0" w:right="0" w:hanging="0"/>
        <w:jc w:val="left"/>
        <w:rPr>
          <w:rFonts w:ascii="Aptos" w:hAnsi="Aptos"/>
          <w:caps/>
          <w:sz w:val="16"/>
        </w:rPr>
      </w:pPr>
      <w:r>
        <w:rPr>
          <w:rFonts w:ascii="Aptos" w:hAnsi="Aptos"/>
          <w:caps/>
          <w:sz w:val="16"/>
        </w:rPr>
        <w:t>Amendment to Forbearance Agreement and Fifth Amendment to Credit Agreement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5" w:firstLine="712"/>
        <w:jc w:val="both"/>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 xml:space="preserve">the Credit Parties owed to the Lenders that is not subject to any credits, offsets, defenses, claims, counterclaims or adjustments of any kind.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sz w:val="22"/>
          <w:u w:val="single"/>
        </w:rPr>
        <w:t>Consent, Acknowledgement and Reaffirmation</w:t>
      </w:r>
      <w:r>
        <w:rPr>
          <w:rFonts w:ascii="Times New Roman;Times;serif" w:hAnsi="Times New Roman;Times;serif"/>
          <w:sz w:val="22"/>
        </w:rPr>
        <w:t xml:space="preserve">.  Each Credit Party hereby: (a) acknowledges that (i) the Acknowledged Defaults have occurred and have not been waived or cured, and (ii) no Default or Event of Default is being waived pursuant to this Agreement; (b) ratifies and reaffirms all of its payment and performance obligations, contingent or otherwise, under each Loan Document to which it is a party; and (c) to the extent such Person granted Liens on any of its property pursuant to any such Loan Document as security for or otherwise guaranteed the Obligations under or with respect to the Loan Documents, ratifies and reaffirms such guarantee and grant of Liens and confirms and agrees that such Liens hereafter secure all of the Obligations as amended hereby.  Each Credit Party consents to this Agreement and acknowledges that each and every Loan Document to which it is party remains in full force and effect and is hereby ratified and reaffirmed.  Except as expressly provided herein, the execution of this Agreement shall not operate as a waiver of any right, power or remedy of the Administrative Agent or the Lenders, constitute a waiver of any provision of any Loan Document or serve to effect a novation of any of the Obligations.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4.</w:t>
      </w:r>
      <w:r>
        <w:rPr>
          <w:rFonts w:ascii="Times New Roman;Times;serif" w:hAnsi="Times New Roman;Times;serif"/>
          <w:sz w:val="22"/>
          <w:u w:val="single"/>
        </w:rPr>
        <w:t>Amendment to Forbearance Agreement</w:t>
      </w:r>
      <w:r>
        <w:rPr>
          <w:rFonts w:ascii="Times New Roman;Times;serif" w:hAnsi="Times New Roman;Times;serif"/>
          <w:sz w:val="22"/>
        </w:rPr>
        <w:t xml:space="preserve">.  The definition of “Forbearance Termination Event” in Section 1 of the Forbearance Agreement is hereby amended by deleting the reference to “August 15, 2025” therein and replacing it with “August 22, 2025”. </w:t>
      </w:r>
    </w:p>
    <w:p>
      <w:pPr>
        <w:pStyle w:val="TextBody"/>
        <w:bidi w:val="0"/>
        <w:spacing w:lineRule="auto" w:line="292" w:before="0" w:after="0"/>
        <w:ind w:left="0"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2"/>
          <w:u w:val="single"/>
        </w:rPr>
        <w:t>Amendments to Credit Agreement</w:t>
      </w:r>
      <w:r>
        <w:rPr>
          <w:rFonts w:ascii="Times New Roman;Times;serif" w:hAnsi="Times New Roman;Times;serif"/>
          <w:sz w:val="22"/>
        </w:rPr>
        <w:t xml:space="preserve">.  The definition of “Maturity Date” set forth in Section 1.1 of the Credit Agreement is hereby amended by deleting the reference to “August 15, 2025” therein and replacing it with “August 22, 2025” </w:t>
      </w:r>
    </w:p>
    <w:p>
      <w:pPr>
        <w:pStyle w:val="TextBody"/>
        <w:bidi w:val="0"/>
        <w:spacing w:lineRule="auto" w:line="292" w:before="0" w:after="0"/>
        <w:ind w:left="0"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6.</w:t>
      </w:r>
      <w:r>
        <w:rPr>
          <w:rFonts w:ascii="Times New Roman;Times;serif" w:hAnsi="Times New Roman;Times;serif"/>
          <w:sz w:val="22"/>
          <w:u w:val="single"/>
        </w:rPr>
        <w:t>Conditions Precedent</w:t>
      </w:r>
      <w:r>
        <w:rPr>
          <w:rFonts w:ascii="Times New Roman;Times;serif" w:hAnsi="Times New Roman;Times;serif"/>
          <w:sz w:val="22"/>
        </w:rPr>
        <w:t>.  This Agreement shall be effective on the date first written above (the “</w:t>
      </w:r>
      <w:r>
        <w:rPr>
          <w:rFonts w:ascii="Times New Roman;Times;serif" w:hAnsi="Times New Roman;Times;serif"/>
          <w:sz w:val="22"/>
          <w:u w:val="single"/>
        </w:rPr>
        <w:t>Effective Date</w:t>
      </w:r>
      <w:r>
        <w:rPr>
          <w:rFonts w:ascii="Times New Roman;Times;serif" w:hAnsi="Times New Roman;Times;serif"/>
          <w:sz w:val="22"/>
        </w:rPr>
        <w:t xml:space="preserve">”), subject to: </w:t>
      </w:r>
    </w:p>
    <w:p>
      <w:pPr>
        <w:pStyle w:val="TextBody"/>
        <w:bidi w:val="0"/>
        <w:spacing w:lineRule="auto" w:line="292" w:before="0" w:after="0"/>
        <w:ind w:left="0" w:right="0" w:hanging="0"/>
        <w:jc w:val="left"/>
        <w:rPr/>
      </w:pPr>
      <w:r>
        <w:rPr/>
        <w:t>​</w:t>
      </w:r>
    </w:p>
    <w:p>
      <w:pPr>
        <w:pStyle w:val="TextBody"/>
        <w:bidi w:val="0"/>
        <w:spacing w:lineRule="auto" w:line="292" w:before="0" w:after="228"/>
        <w:ind w:left="722" w:right="0" w:hanging="0"/>
        <w:jc w:val="both"/>
        <w:rPr>
          <w:rFonts w:ascii="Times New Roman;Times;serif" w:hAnsi="Times New Roman;Times;serif"/>
          <w:sz w:val="22"/>
        </w:rPr>
      </w:pPr>
      <w:r>
        <w:rPr>
          <w:rFonts w:ascii="Times New Roman;Times;serif" w:hAnsi="Times New Roman;Times;serif"/>
          <w:sz w:val="22"/>
        </w:rPr>
        <w:t xml:space="preserve">(a)receipt by the Administrative Agent of counterparts of this Agreement duly executed by the Loan Parties, the Administrative Agent and each Lender; and </w:t>
      </w:r>
    </w:p>
    <w:p>
      <w:pPr>
        <w:pStyle w:val="TextBody"/>
        <w:bidi w:val="0"/>
        <w:spacing w:lineRule="auto" w:line="292" w:before="0" w:after="0"/>
        <w:ind w:left="722" w:right="0" w:hanging="0"/>
        <w:jc w:val="both"/>
        <w:rPr>
          <w:rFonts w:ascii="Times New Roman;Times;serif" w:hAnsi="Times New Roman;Times;serif"/>
          <w:sz w:val="22"/>
        </w:rPr>
      </w:pPr>
      <w:r>
        <w:rPr>
          <w:rFonts w:ascii="Times New Roman;Times;serif" w:hAnsi="Times New Roman;Times;serif"/>
          <w:sz w:val="22"/>
        </w:rPr>
        <w:t xml:space="preserve">(b)receipt by the Administrative Agent of such certificates of resolutions or other action, incumbency certificates and/or other certificates of a Responsible Officer for each Credit Party as the Administrative Agent may require evidencing the identity, authority and capacity of each Responsible Officer thereof authorized to act as a Responsible Officer in connection with this Agreement and the transactions contemplated hereby. </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7.</w:t>
      </w:r>
      <w:r>
        <w:rPr>
          <w:rFonts w:ascii="Times New Roman;Times;serif" w:hAnsi="Times New Roman;Times;serif"/>
          <w:sz w:val="22"/>
          <w:u w:val="single"/>
        </w:rPr>
        <w:t>Release of Claims</w:t>
      </w:r>
      <w:r>
        <w:rPr>
          <w:rFonts w:ascii="Times New Roman;Times;serif" w:hAnsi="Times New Roman;Times;serif"/>
          <w:sz w:val="22"/>
        </w:rPr>
        <w:t>.  In consideration of the Administrative Agent’s and the Lenders’ willingness to enter into this Agreement, each Credit Party hereby releases and forever discharges the Administrative Agent, the Swing Line Lender, the L/C Issuer, each Lender, and each of their respective predecessors, successors, assigns, and Related Parties (each and every of the foregoing, a “</w:t>
      </w:r>
      <w:r>
        <w:rPr>
          <w:rFonts w:ascii="Times New Roman;Times;serif" w:hAnsi="Times New Roman;Times;serif"/>
          <w:sz w:val="22"/>
          <w:u w:val="single"/>
        </w:rPr>
        <w:t>Released</w:t>
      </w:r>
      <w:r>
        <w:rPr>
          <w:rFonts w:ascii="Times New Roman;Times;serif" w:hAnsi="Times New Roman;Times;serif"/>
          <w:sz w:val="22"/>
        </w:rPr>
        <w:t xml:space="preserve"> </w:t>
      </w:r>
      <w:r>
        <w:rPr>
          <w:rFonts w:ascii="Times New Roman;Times;serif" w:hAnsi="Times New Roman;Times;serif"/>
          <w:sz w:val="22"/>
          <w:u w:val="single"/>
        </w:rPr>
        <w:t>Party</w:t>
      </w:r>
      <w:r>
        <w:rPr>
          <w:rFonts w:ascii="Times New Roman;Times;serif" w:hAnsi="Times New Roman;Times;serif"/>
          <w:sz w:val="22"/>
        </w:rPr>
        <w:t xml:space="preserve">”) from any and all claims, counterclaims, demands, damages, debts, suits, liabilities, actions, and causes of action of any nature whatsoever, in each case through the date hereof, whether arising at law or in equity, whether known or unknown, whether liability be direct or indirect, whether liquidated or unliquidated, whether absolute or contingent, whether foreseen or unforeseen, and whether or not heretofore asserted, which any Credit Party may have or claim to have against any Released Party. </w:t>
      </w:r>
    </w:p>
    <w:p>
      <w:pPr>
        <w:pStyle w:val="TextBody"/>
        <w:bidi w:val="0"/>
        <w:spacing w:lineRule="auto" w:line="292" w:before="0" w:after="0"/>
        <w:ind w:left="0" w:right="0" w:hanging="0"/>
        <w:jc w:val="both"/>
        <w:rPr>
          <w:rFonts w:ascii="Times New Roman;Times;serif" w:hAnsi="Times New Roman;Times;serif"/>
          <w:sz w:val="22"/>
        </w:rPr>
      </w:pPr>
      <w:r>
        <w:rPr>
          <w:rFonts w:ascii="Times New Roman;Times;serif" w:hAnsi="Times New Roman;Times;serif"/>
          <w:sz w:val="22"/>
        </w:rPr>
        <w:t xml:space="preserve">As to each and every claim released hereunder, each Credit Party hereby represents that it has received the advice of legal counsel with regard to the releases contained herein, and having been so advised, specifically </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5" w:firstLine="712"/>
        <w:jc w:val="both"/>
        <w:rPr/>
      </w:pPr>
      <w:r>
        <w:rPr/>
        <w:t>​</w:t>
      </w:r>
    </w:p>
    <w:p>
      <w:pPr>
        <w:pStyle w:val="TextBody"/>
        <w:bidi w:val="0"/>
        <w:spacing w:lineRule="auto" w:line="292" w:before="0" w:after="228"/>
        <w:ind w:left="0" w:right="0" w:hanging="0"/>
        <w:jc w:val="both"/>
        <w:rPr>
          <w:rFonts w:ascii="Times New Roman;Times;serif" w:hAnsi="Times New Roman;Times;serif"/>
          <w:sz w:val="22"/>
        </w:rPr>
      </w:pPr>
      <w:r>
        <w:rPr>
          <w:rFonts w:ascii="Times New Roman;Times;serif" w:hAnsi="Times New Roman;Times;serif"/>
          <w:sz w:val="22"/>
        </w:rPr>
        <w:t xml:space="preserve">waives the benefit of the provisions of Section 1542 of the Civil Code of California, which provides as follows: </w:t>
      </w:r>
    </w:p>
    <w:p>
      <w:pPr>
        <w:pStyle w:val="TextBody"/>
        <w:bidi w:val="0"/>
        <w:spacing w:lineRule="auto" w:line="292" w:before="0" w:after="0"/>
        <w:ind w:left="722" w:right="730" w:hanging="0"/>
        <w:jc w:val="both"/>
        <w:rPr/>
      </w:pPr>
      <w:r>
        <w:rPr/>
        <w:t>“</w:t>
      </w:r>
      <w:r>
        <w:rPr>
          <w:rFonts w:ascii="Times New Roman;Times;serif" w:hAnsi="Times New Roman;Times;serif"/>
          <w:sz w:val="22"/>
        </w:rPr>
        <w:t xml:space="preserve">A GENERAL RELEASE DOES NOT EXTEND TO CLAIMS THAT THE CREDITOR OR RELEASING PARTY DOES NOT KNOW OR SUSPECT TO EXIST IN HIS OR HER FAVOR AT THE TIME OF EXECUTING THE RELEASE AND THAT, IF KNOWN BY HIM OR HER, WOULD HAVE MATERIALLY AFFECTED </w:t>
      </w:r>
    </w:p>
    <w:p>
      <w:pPr>
        <w:pStyle w:val="TextBody"/>
        <w:bidi w:val="0"/>
        <w:spacing w:lineRule="auto" w:line="292" w:before="0" w:after="0"/>
        <w:ind w:left="722" w:right="0" w:hanging="0"/>
        <w:jc w:val="both"/>
        <w:rPr>
          <w:rFonts w:ascii="Times New Roman;Times;serif" w:hAnsi="Times New Roman;Times;serif"/>
          <w:sz w:val="22"/>
        </w:rPr>
      </w:pPr>
      <w:r>
        <w:rPr>
          <w:rFonts w:ascii="Times New Roman;Times;serif" w:hAnsi="Times New Roman;Times;serif"/>
          <w:sz w:val="22"/>
        </w:rPr>
        <w:t xml:space="preserve">HIS OR HER SETTLEMENT WITH THE DEBTOR OR RELEASED PARTY.” </w:t>
      </w:r>
    </w:p>
    <w:p>
      <w:pPr>
        <w:pStyle w:val="TextBody"/>
        <w:pBdr/>
        <w:bidi w:val="0"/>
        <w:spacing w:lineRule="auto" w:line="283" w:before="0" w:after="238"/>
        <w:ind w:left="0" w:right="0" w:hanging="10"/>
        <w:jc w:val="left"/>
        <w:rPr>
          <w:rFonts w:ascii="Times New Roman;Times;serif" w:hAnsi="Times New Roman;Times;serif"/>
          <w:sz w:val="22"/>
        </w:rPr>
      </w:pPr>
      <w:r>
        <w:rPr>
          <w:rFonts w:ascii="Times New Roman;Times;serif" w:hAnsi="Times New Roman;Times;serif"/>
          <w:sz w:val="22"/>
        </w:rPr>
        <w:t xml:space="preserve">By executing this Agreement, each Credit Party intends to: (a) waive and relinquish any and all rights and benefits which they may have under Section 1542 of the Civil Code or California; and (b) assume the risk of releasing any existing, but as of yet unknown, claims. </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8.</w:t>
      </w:r>
      <w:r>
        <w:rPr>
          <w:rFonts w:ascii="Times New Roman;Times;serif" w:hAnsi="Times New Roman;Times;serif"/>
          <w:sz w:val="22"/>
          <w:u w:val="single"/>
        </w:rPr>
        <w:t>No Action, Claims</w:t>
      </w:r>
      <w:r>
        <w:rPr>
          <w:rFonts w:ascii="Times New Roman;Times;serif" w:hAnsi="Times New Roman;Times;serif"/>
          <w:sz w:val="22"/>
        </w:rPr>
        <w:t xml:space="preserve">.  Each Credit Party represents, warrants, acknowledges and confirms that, as of the Effective Date, it has no knowledge of any action, cause of action, claim, demand, damage or liability of whatever kind or nature, in law or in equity, against any Released Party arising from any action by such Persons, or failure of such Persons to act, under or in connection with any of the Loan Documents.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9.</w:t>
      </w:r>
      <w:r>
        <w:rPr>
          <w:rFonts w:ascii="Times New Roman;Times;serif" w:hAnsi="Times New Roman;Times;serif"/>
          <w:sz w:val="22"/>
          <w:u w:val="single"/>
        </w:rPr>
        <w:t>Representations and Warranties of the Credit Parties</w:t>
      </w:r>
      <w:r>
        <w:rPr>
          <w:rFonts w:ascii="Times New Roman;Times;serif" w:hAnsi="Times New Roman;Times;serif"/>
          <w:sz w:val="22"/>
        </w:rPr>
        <w:t xml:space="preserve">.  Each Credit Party hereby represents and warrants to the Administrative Agent, the L/C Issuer and Lenders that: </w:t>
      </w:r>
    </w:p>
    <w:p>
      <w:pPr>
        <w:pStyle w:val="TextBody"/>
        <w:bidi w:val="0"/>
        <w:spacing w:lineRule="auto" w:line="292" w:before="0" w:after="0"/>
        <w:ind w:left="0" w:right="0" w:hanging="0"/>
        <w:jc w:val="left"/>
        <w:rPr/>
      </w:pPr>
      <w:r>
        <w:rPr/>
        <w:t>​</w:t>
      </w:r>
    </w:p>
    <w:p>
      <w:pPr>
        <w:pStyle w:val="TextBody"/>
        <w:bidi w:val="0"/>
        <w:spacing w:lineRule="auto" w:line="292" w:before="0" w:after="233"/>
        <w:ind w:left="722" w:right="0" w:hanging="0"/>
        <w:jc w:val="both"/>
        <w:rPr>
          <w:rFonts w:ascii="Times New Roman;Times;serif" w:hAnsi="Times New Roman;Times;serif"/>
          <w:sz w:val="22"/>
        </w:rPr>
      </w:pPr>
      <w:r>
        <w:rPr>
          <w:rFonts w:ascii="Times New Roman;Times;serif" w:hAnsi="Times New Roman;Times;serif"/>
          <w:sz w:val="22"/>
        </w:rPr>
        <w:t xml:space="preserve">(a)After giving effect to this Agreement, no Default or Event of Default, other than any Acknowledged Defaults, exists. </w:t>
      </w:r>
    </w:p>
    <w:p>
      <w:pPr>
        <w:pStyle w:val="TextBody"/>
        <w:bidi w:val="0"/>
        <w:spacing w:lineRule="auto" w:line="292" w:before="0" w:after="231"/>
        <w:ind w:left="722" w:right="0" w:hanging="0"/>
        <w:jc w:val="both"/>
        <w:rPr>
          <w:rFonts w:ascii="Times New Roman;Times;serif" w:hAnsi="Times New Roman;Times;serif"/>
          <w:sz w:val="22"/>
        </w:rPr>
      </w:pPr>
      <w:r>
        <w:rPr>
          <w:rFonts w:ascii="Times New Roman;Times;serif" w:hAnsi="Times New Roman;Times;serif"/>
          <w:sz w:val="22"/>
        </w:rPr>
        <w:t xml:space="preserve">(b)After giving effect to this Agreement, the representations and warranties of the Credit Parties set forth in the Loan Documents are true, correct and complete on and as of the Effective Date to the same extent as though made on and as of such date, except to the extent such representations and warranties specifically relate to an earlier date. </w:t>
      </w:r>
    </w:p>
    <w:p>
      <w:pPr>
        <w:pStyle w:val="TextBody"/>
        <w:bidi w:val="0"/>
        <w:spacing w:lineRule="auto" w:line="292" w:before="0" w:after="230"/>
        <w:ind w:left="722" w:right="0" w:hanging="0"/>
        <w:jc w:val="both"/>
        <w:rPr>
          <w:rFonts w:ascii="Times New Roman;Times;serif" w:hAnsi="Times New Roman;Times;serif"/>
          <w:sz w:val="22"/>
        </w:rPr>
      </w:pPr>
      <w:r>
        <w:rPr>
          <w:rFonts w:ascii="Times New Roman;Times;serif" w:hAnsi="Times New Roman;Times;serif"/>
          <w:sz w:val="22"/>
        </w:rPr>
        <w:t xml:space="preserve">(c)It has taken all necessary action to authorize the execution, delivery and performance of this Agreement. </w:t>
      </w:r>
    </w:p>
    <w:p>
      <w:pPr>
        <w:pStyle w:val="TextBody"/>
        <w:bidi w:val="0"/>
        <w:spacing w:lineRule="auto" w:line="292" w:before="0" w:after="233"/>
        <w:ind w:left="722" w:right="0" w:hanging="0"/>
        <w:jc w:val="both"/>
        <w:rPr>
          <w:rFonts w:ascii="Times New Roman;Times;serif" w:hAnsi="Times New Roman;Times;serif"/>
          <w:sz w:val="22"/>
        </w:rPr>
      </w:pPr>
      <w:r>
        <w:rPr>
          <w:rFonts w:ascii="Times New Roman;Times;serif" w:hAnsi="Times New Roman;Times;serif"/>
          <w:sz w:val="22"/>
        </w:rPr>
        <w:t xml:space="preserve">(d)This Agreement has been duly executed and delivered by each Credit Party and constitutes its legal, valid and binding obligations, enforceable in accordance with its terms, subject to applicable Debtor Relief Laws and to general principles of equity or principles of good faith and fair dealing. </w:t>
      </w:r>
    </w:p>
    <w:p>
      <w:pPr>
        <w:pStyle w:val="TextBody"/>
        <w:bidi w:val="0"/>
        <w:spacing w:lineRule="auto" w:line="292" w:before="0" w:after="231"/>
        <w:ind w:left="722" w:right="0" w:hanging="0"/>
        <w:jc w:val="both"/>
        <w:rPr>
          <w:rFonts w:ascii="Times New Roman;Times;serif" w:hAnsi="Times New Roman;Times;serif"/>
          <w:sz w:val="22"/>
        </w:rPr>
      </w:pPr>
      <w:r>
        <w:rPr>
          <w:rFonts w:ascii="Times New Roman;Times;serif" w:hAnsi="Times New Roman;Times;serif"/>
          <w:sz w:val="22"/>
        </w:rPr>
        <w:t xml:space="preserve">(e)No approval, consent, exemption, authorization, or other action by, or notice to, or filing with, any Governmental Authority or any other Person is necessary or required in connection with the execution, delivery or performance by the Credit Parties of this Agreement other than those that have already been obtained and are in full force and effect. </w:t>
      </w:r>
    </w:p>
    <w:p>
      <w:pPr>
        <w:pStyle w:val="TextBody"/>
        <w:bidi w:val="0"/>
        <w:spacing w:lineRule="auto" w:line="292" w:before="0" w:after="230"/>
        <w:ind w:left="722" w:right="0" w:hanging="0"/>
        <w:jc w:val="both"/>
        <w:rPr>
          <w:rFonts w:ascii="Times New Roman;Times;serif" w:hAnsi="Times New Roman;Times;serif"/>
          <w:sz w:val="22"/>
        </w:rPr>
      </w:pPr>
      <w:r>
        <w:rPr>
          <w:rFonts w:ascii="Times New Roman;Times;serif" w:hAnsi="Times New Roman;Times;serif"/>
          <w:sz w:val="22"/>
        </w:rPr>
        <w:t xml:space="preserve">(f)The execution and delivery of this Agreement does not (i) contravene the terms of its Organization Documents or (ii) violate any applicable Law. </w:t>
      </w:r>
    </w:p>
    <w:p>
      <w:pPr>
        <w:pStyle w:val="TextBody"/>
        <w:bidi w:val="0"/>
        <w:spacing w:lineRule="auto" w:line="292"/>
        <w:ind w:left="722" w:right="0" w:hanging="0"/>
        <w:jc w:val="both"/>
        <w:rPr>
          <w:rFonts w:ascii="Times New Roman;Times;serif" w:hAnsi="Times New Roman;Times;serif"/>
          <w:sz w:val="22"/>
        </w:rPr>
      </w:pPr>
      <w:r>
        <w:rPr>
          <w:rFonts w:ascii="Times New Roman;Times;serif" w:hAnsi="Times New Roman;Times;serif"/>
          <w:sz w:val="22"/>
        </w:rPr>
        <w:t xml:space="preserve">(g)No Credit Party has modified its Organization Documents since such documents were most recently delivered to the Administrative Agent (except to the extent the Credit Parties have subsequently delivered true and correct copies of any such modifications to the Administrative Agent) and such Organization Documents remain in full force and effect. </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5" w:firstLine="712"/>
        <w:jc w:val="both"/>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10.</w:t>
      </w:r>
      <w:r>
        <w:rPr>
          <w:rFonts w:ascii="Times New Roman;Times;serif" w:hAnsi="Times New Roman;Times;serif"/>
          <w:sz w:val="22"/>
          <w:u w:val="single"/>
        </w:rPr>
        <w:t>No Third Party Beneficiaries</w:t>
      </w:r>
      <w:r>
        <w:rPr>
          <w:rFonts w:ascii="Times New Roman;Times;serif" w:hAnsi="Times New Roman;Times;serif"/>
          <w:sz w:val="22"/>
        </w:rPr>
        <w:t xml:space="preserve">.  This Agreement and the rights and benefits hereof shall inure to the benefit of each of the parties hereto and their respective successors and assigns, and the obligations hereof shall be binding upon each Credit Party.  No other Person shall have or be entitled to assert rights or benefits under this Agreement, other than non-party Persons that are Released Parties with respect to </w:t>
      </w:r>
      <w:r>
        <w:rPr>
          <w:rFonts w:ascii="Times New Roman;Times;serif" w:hAnsi="Times New Roman;Times;serif"/>
          <w:sz w:val="22"/>
          <w:u w:val="single"/>
        </w:rPr>
        <w:t>Section 7</w:t>
      </w:r>
      <w:r>
        <w:rPr>
          <w:rFonts w:ascii="Times New Roman;Times;serif" w:hAnsi="Times New Roman;Times;serif"/>
          <w:sz w:val="22"/>
        </w:rPr>
        <w:t xml:space="preserve"> and </w:t>
      </w:r>
      <w:r>
        <w:rPr>
          <w:rFonts w:ascii="Times New Roman;Times;serif" w:hAnsi="Times New Roman;Times;serif"/>
          <w:sz w:val="22"/>
          <w:u w:val="single"/>
        </w:rPr>
        <w:t>Section 8</w:t>
      </w:r>
      <w:r>
        <w:rPr>
          <w:rFonts w:ascii="Times New Roman;Times;serif" w:hAnsi="Times New Roman;Times;serif"/>
          <w:sz w:val="22"/>
        </w:rPr>
        <w:t xml:space="preserve"> hereof.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11.</w:t>
      </w:r>
      <w:r>
        <w:rPr>
          <w:rFonts w:ascii="Times New Roman;Times;serif" w:hAnsi="Times New Roman;Times;serif"/>
          <w:sz w:val="22"/>
          <w:u w:val="single"/>
        </w:rPr>
        <w:t>Incorporation of Agreement</w:t>
      </w:r>
      <w:r>
        <w:rPr>
          <w:rFonts w:ascii="Times New Roman;Times;serif" w:hAnsi="Times New Roman;Times;serif"/>
          <w:sz w:val="22"/>
        </w:rPr>
        <w:t xml:space="preserve">.  Except as specifically modified herein, the terms of the Loan Documents shall remain in full force and effect.  The execution, delivery and effectiveness of this Agreement shall not operate as a waiver of any right, power or remedy of the Administrative Agent, L/C Issuer or any Lender under the Loan Documents, or constitute a waiver or amendment of any provision of the Loan Documents, except as expressly set forth herein.  The breach of any provision or representation under this Agreement shall constitute an immediate Event of Default, and this Agreement shall constitute a Loan Document.  Except as otherwise provided in this Agreement, if any provision contained in this Agreement is in conflict with, or inconsistent with, any provision in any Loan Document, the provision contained in this Agreement shall govern and control.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12.</w:t>
      </w:r>
      <w:r>
        <w:rPr>
          <w:rFonts w:ascii="Times New Roman;Times;serif" w:hAnsi="Times New Roman;Times;serif"/>
          <w:sz w:val="22"/>
          <w:u w:val="single"/>
        </w:rPr>
        <w:t>Entirety</w:t>
      </w:r>
      <w:r>
        <w:rPr>
          <w:rFonts w:ascii="Times New Roman;Times;serif" w:hAnsi="Times New Roman;Times;serif"/>
          <w:sz w:val="22"/>
        </w:rPr>
        <w:t xml:space="preserve">.  This Agreement, the Credit Agreement and the other Loan Documents embody the entire agreement among the parties hereto and supersede all prior agreements and understandings, oral or written, if any, relating to the subject matter hereof.  This Agreement, the Credit Agreement and the other Loan Documents represent the final agreement between the parties and may not be contradicted by evidence of prior, contemporaneous or subsequent oral agreements of the parties.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13.</w:t>
      </w:r>
      <w:r>
        <w:rPr>
          <w:rFonts w:ascii="Times New Roman;Times;serif" w:hAnsi="Times New Roman;Times;serif"/>
          <w:sz w:val="22"/>
          <w:u w:val="single"/>
        </w:rPr>
        <w:t>Counterparts</w:t>
      </w:r>
      <w:r>
        <w:rPr>
          <w:rFonts w:ascii="Times New Roman;Times;serif" w:hAnsi="Times New Roman;Times;serif"/>
          <w:sz w:val="22"/>
        </w:rPr>
        <w:t xml:space="preserve">.  This Agreement may be executed in any number of counterparts, each of which when so executed and delivered shall be an original, but all of which shall constitute one and the same instrument.  Delivery of executed counterparts of this Agreement by facsimile or other secure electronic format (.pdf) shall be effective as an original.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14.</w:t>
      </w:r>
      <w:r>
        <w:rPr>
          <w:rFonts w:ascii="Times New Roman;Times;serif" w:hAnsi="Times New Roman;Times;serif"/>
          <w:sz w:val="22"/>
          <w:u w:val="single"/>
        </w:rPr>
        <w:t>Governing Law; Submission to Jurisdiction; Waiver of Venue; Service of Process;</w:t>
      </w:r>
      <w:r>
        <w:rPr>
          <w:rFonts w:ascii="Times New Roman;Times;serif" w:hAnsi="Times New Roman;Times;serif"/>
          <w:sz w:val="22"/>
        </w:rPr>
        <w:t xml:space="preserve"> </w:t>
      </w:r>
      <w:r>
        <w:rPr>
          <w:rFonts w:ascii="Times New Roman;Times;serif" w:hAnsi="Times New Roman;Times;serif"/>
          <w:sz w:val="22"/>
          <w:u w:val="single"/>
        </w:rPr>
        <w:t>Waiver of Jury Trial</w:t>
      </w:r>
      <w:r>
        <w:rPr>
          <w:rFonts w:ascii="Times New Roman;Times;serif" w:hAnsi="Times New Roman;Times;serif"/>
          <w:sz w:val="22"/>
        </w:rPr>
        <w:t xml:space="preserve">.  The GOVERNING LAW, SUBMISSION TO JURISDICTION, WAIVER OF VENUE, SERVICE OF PROCESS and Waiver of Jury Trial provisions set forth in Sections 11.14 and 11.15 of the Credit Agreement are hereby incorporated herein, </w:t>
      </w:r>
      <w:r>
        <w:rPr>
          <w:rFonts w:ascii="Times New Roman;Times;serif" w:hAnsi="Times New Roman;Times;serif"/>
          <w:i/>
          <w:sz w:val="22"/>
        </w:rPr>
        <w:t>mutatis mutandis.  </w:t>
      </w:r>
      <w:r>
        <w:rPr>
          <w:rFonts w:ascii="Times New Roman;Times;serif" w:hAnsi="Times New Roman;Times;serif"/>
          <w:sz w:val="22"/>
        </w:rPr>
        <w:t xml:space="preserve">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15.</w:t>
      </w:r>
      <w:r>
        <w:rPr>
          <w:rFonts w:ascii="Times New Roman;Times;serif" w:hAnsi="Times New Roman;Times;serif"/>
          <w:sz w:val="22"/>
          <w:u w:val="single"/>
        </w:rPr>
        <w:t>Successors and Assigns</w:t>
      </w:r>
      <w:r>
        <w:rPr>
          <w:rFonts w:ascii="Times New Roman;Times;serif" w:hAnsi="Times New Roman;Times;serif"/>
          <w:sz w:val="22"/>
        </w:rPr>
        <w:t xml:space="preserve">.  This Agreement shall be binding upon and inure to the benefit of the parties hereto and their respective successors and assigns.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16.</w:t>
      </w:r>
      <w:r>
        <w:rPr>
          <w:rFonts w:ascii="Times New Roman;Times;serif" w:hAnsi="Times New Roman;Times;serif"/>
          <w:sz w:val="22"/>
          <w:u w:val="single"/>
        </w:rPr>
        <w:t>Headings</w:t>
      </w:r>
      <w:r>
        <w:rPr>
          <w:rFonts w:ascii="Times New Roman;Times;serif" w:hAnsi="Times New Roman;Times;serif"/>
          <w:sz w:val="22"/>
        </w:rPr>
        <w:t xml:space="preserve">.  The headings of the sections hereof are provided for convenience only and shall not in any way affect the meaning or construction of any provision of this Agreement.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17.</w:t>
      </w:r>
      <w:r>
        <w:rPr>
          <w:rFonts w:ascii="Times New Roman;Times;serif" w:hAnsi="Times New Roman;Times;serif"/>
          <w:sz w:val="22"/>
          <w:u w:val="single"/>
        </w:rPr>
        <w:t>Severability</w:t>
      </w:r>
      <w:r>
        <w:rPr>
          <w:rFonts w:ascii="Times New Roman;Times;serif" w:hAnsi="Times New Roman;Times;serif"/>
          <w:sz w:val="22"/>
        </w:rPr>
        <w:t xml:space="preserve">.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t>
      </w:r>
    </w:p>
    <w:p>
      <w:pPr>
        <w:pStyle w:val="TextBody"/>
        <w:bidi w:val="0"/>
        <w:spacing w:lineRule="auto" w:line="292" w:before="0" w:after="0"/>
        <w:ind w:left="722" w:right="0" w:hanging="0"/>
        <w:jc w:val="left"/>
        <w:rPr/>
      </w:pPr>
      <w:r>
        <w:rPr/>
        <w:t>​</w:t>
      </w:r>
    </w:p>
    <w:p>
      <w:pPr>
        <w:pStyle w:val="TextBody"/>
        <w:bidi w:val="0"/>
        <w:spacing w:lineRule="auto" w:line="292"/>
        <w:ind w:left="0" w:right="0" w:hanging="0"/>
        <w:jc w:val="both"/>
        <w:rPr>
          <w:rFonts w:ascii="Times New Roman;Times;serif" w:hAnsi="Times New Roman;Times;serif"/>
          <w:sz w:val="22"/>
        </w:rPr>
      </w:pPr>
      <w:r>
        <w:rPr>
          <w:rFonts w:ascii="Times New Roman;Times;serif" w:hAnsi="Times New Roman;Times;serif"/>
          <w:sz w:val="22"/>
        </w:rPr>
        <w:t>18.</w:t>
      </w:r>
      <w:r>
        <w:rPr>
          <w:rFonts w:ascii="Times New Roman;Times;serif" w:hAnsi="Times New Roman;Times;serif"/>
          <w:sz w:val="22"/>
          <w:u w:val="single"/>
        </w:rPr>
        <w:t>Further Assurances</w:t>
      </w:r>
      <w:r>
        <w:rPr>
          <w:rFonts w:ascii="Times New Roman;Times;serif" w:hAnsi="Times New Roman;Times;serif"/>
          <w:sz w:val="22"/>
        </w:rPr>
        <w:t xml:space="preserve">.  Each of the parties hereto agrees to execute and deliver, or to cause to be executed and delivered, all such instruments as may reasonably be requested to effectuate the intent and purposes, and to carry out the terms, of this Agreement. </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5" w:firstLine="712"/>
        <w:jc w:val="both"/>
        <w:rPr/>
      </w:pPr>
      <w:r>
        <w:rPr/>
        <w:t>​</w:t>
      </w:r>
    </w:p>
    <w:p>
      <w:pPr>
        <w:pStyle w:val="TextBody"/>
        <w:bidi w:val="0"/>
        <w:spacing w:lineRule="auto" w:line="292" w:before="0" w:after="0"/>
        <w:ind w:left="0" w:right="0" w:hanging="0"/>
        <w:jc w:val="left"/>
        <w:rPr/>
      </w:pPr>
      <w:r>
        <w:rPr/>
        <w:t>​</w:t>
      </w:r>
    </w:p>
    <w:p>
      <w:pPr>
        <w:pStyle w:val="TextBody"/>
        <w:bidi w:val="0"/>
        <w:spacing w:lineRule="auto" w:line="307" w:before="0" w:after="0"/>
        <w:ind w:left="0" w:right="6"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signature pages follow</w:t>
      </w:r>
      <w:r>
        <w:rPr>
          <w:rFonts w:ascii="Times New Roman;Times;serif" w:hAnsi="Times New Roman;Times;serif"/>
          <w:sz w:val="22"/>
        </w:rPr>
        <w:t xml:space="preserve">] </w:t>
      </w:r>
    </w:p>
    <w:p>
      <w:pPr>
        <w:pStyle w:val="TextBody"/>
        <w:bidi w:val="0"/>
        <w:spacing w:lineRule="auto" w:line="292" w:before="0" w:after="0"/>
        <w:ind w:left="0" w:right="6" w:hanging="0"/>
        <w:jc w:val="center"/>
        <w:rPr/>
      </w:pPr>
      <w:r>
        <w:rPr/>
        <w:t>​</w:t>
      </w:r>
    </w:p>
    <w:p>
      <w:pPr>
        <w:pStyle w:val="TextBody"/>
        <w:bidi w:val="0"/>
        <w:spacing w:lineRule="auto" w:line="292" w:before="0" w:after="0"/>
        <w:ind w:left="0" w:right="0" w:hanging="0"/>
        <w:jc w:val="left"/>
        <w:rPr/>
      </w:pPr>
      <w:r>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5" w:firstLine="712"/>
        <w:jc w:val="both"/>
        <w:rPr/>
      </w:pPr>
      <w:r>
        <w:rPr/>
        <w:t>​</w:t>
      </w:r>
    </w:p>
    <w:p>
      <w:pPr>
        <w:pStyle w:val="TextBody"/>
        <w:bidi w:val="0"/>
        <w:spacing w:lineRule="auto" w:line="292" w:before="0" w:after="0"/>
        <w:ind w:left="0" w:right="5" w:firstLine="720"/>
        <w:jc w:val="both"/>
        <w:rPr>
          <w:rFonts w:ascii="Times New Roman;Times;serif" w:hAnsi="Times New Roman;Times;serif"/>
          <w:spacing w:val="-3"/>
          <w:sz w:val="22"/>
        </w:rPr>
      </w:pPr>
      <w:r>
        <w:rPr>
          <w:rFonts w:ascii="Times New Roman;Times;serif" w:hAnsi="Times New Roman;Times;serif"/>
          <w:spacing w:val="-3"/>
          <w:sz w:val="22"/>
        </w:rPr>
        <w:t>Each of the parties hereto has caused a counterpart of this Agreement to be duly executed and delivered as of the date first above written.</w:t>
      </w:r>
    </w:p>
    <w:p>
      <w:pPr>
        <w:pStyle w:val="TextBody"/>
        <w:bidi w:val="0"/>
        <w:spacing w:lineRule="auto" w:line="292" w:before="0" w:after="0"/>
        <w:ind w:left="0" w:right="5" w:firstLine="720"/>
        <w:jc w:val="both"/>
        <w:rPr>
          <w:spacing w:val="-3"/>
        </w:rPr>
      </w:pPr>
      <w:r>
        <w:rPr>
          <w:spacing w:val="-3"/>
        </w:rPr>
        <w: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BORROWER:</w:t>
      </w:r>
      <w:r>
        <w:rPr>
          <w:rFonts w:ascii="Times New Roman;Times;serif" w:hAnsi="Times New Roman;Times;serif"/>
          <w:sz w:val="22"/>
        </w:rPr>
        <w:t>LULU’S FASHION LOUNGE, LLC,</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a Delaware limited liability company</w:t>
      </w:r>
    </w:p>
    <w:p>
      <w:pPr>
        <w:pStyle w:val="TextBody"/>
        <w:bidi w:val="0"/>
        <w:spacing w:lineRule="auto" w:line="292" w:before="0" w:after="0"/>
        <w:ind w:left="3600" w:right="5" w:firstLine="712"/>
        <w:jc w:val="both"/>
        <w:rPr/>
      </w:pPr>
      <w:r>
        <w:rPr/>
        <w:t>​</w:t>
      </w:r>
    </w:p>
    <w:p>
      <w:pPr>
        <w:pStyle w:val="TextBody"/>
        <w:bidi w:val="0"/>
        <w:spacing w:lineRule="auto" w:line="292" w:before="0" w:after="0"/>
        <w:ind w:left="3600" w:right="5"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 Crystal Landsem</w:t>
      </w:r>
      <w:r>
        <w:rPr>
          <w:rFonts w:ascii="Times New Roman;Times;serif" w:hAnsi="Times New Roman;Times;serif"/>
          <w:sz w:val="22"/>
          <w:u w:val="single"/>
        </w:rPr>
        <w:t>​ ​</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Name: Crystal Landsem</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Title: CEO and Interim CFO</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HOLDINGS:</w:t>
      </w:r>
      <w:r>
        <w:rPr>
          <w:rFonts w:ascii="Times New Roman;Times;serif" w:hAnsi="Times New Roman;Times;serif"/>
          <w:sz w:val="22"/>
        </w:rPr>
        <w:t>LULU’S FASHION LOUNGE PARENT, LLC,</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a Delaware limited liability company</w:t>
      </w:r>
    </w:p>
    <w:p>
      <w:pPr>
        <w:pStyle w:val="TextBody"/>
        <w:bidi w:val="0"/>
        <w:spacing w:lineRule="auto" w:line="292" w:before="0" w:after="0"/>
        <w:ind w:left="3600" w:right="5" w:firstLine="712"/>
        <w:jc w:val="both"/>
        <w:rPr/>
      </w:pPr>
      <w:r>
        <w:rPr/>
        <w:t>​</w:t>
      </w:r>
    </w:p>
    <w:p>
      <w:pPr>
        <w:pStyle w:val="TextBody"/>
        <w:bidi w:val="0"/>
        <w:spacing w:lineRule="auto" w:line="292" w:before="0" w:after="0"/>
        <w:ind w:left="3600" w:right="5"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 Crystal Landsem</w:t>
      </w:r>
      <w:r>
        <w:rPr>
          <w:rFonts w:ascii="Times New Roman;Times;serif" w:hAnsi="Times New Roman;Times;serif"/>
          <w:sz w:val="22"/>
          <w:u w:val="single"/>
        </w:rPr>
        <w:t>​ ​</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Name: Crystal Landsem</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Title: CEO and Interim CFO</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Signature pages continue.</w:t>
      </w:r>
      <w:r>
        <w:rPr>
          <w:rFonts w:ascii="Times New Roman;Times;serif" w:hAnsi="Times New Roman;Times;serif"/>
          <w:sz w:val="22"/>
        </w:rPr>
        <w:t>]</w:t>
      </w:r>
    </w:p>
    <w:p>
      <w:pPr>
        <w:pStyle w:val="TextBody"/>
        <w:bidi w:val="0"/>
        <w:spacing w:lineRule="auto" w:line="331"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5" w:firstLine="712"/>
        <w:jc w:val="both"/>
        <w:rPr/>
      </w:pPr>
      <w:r>
        <w:rPr/>
        <w:t>​</w:t>
      </w:r>
    </w:p>
    <w:p>
      <w:pPr>
        <w:pStyle w:val="TextBody"/>
        <w:bidi w:val="0"/>
        <w:spacing w:lineRule="auto" w:line="292" w:before="0" w:after="0"/>
        <w:ind w:left="0" w:right="5" w:firstLine="712"/>
        <w:jc w:val="both"/>
        <w:rPr>
          <w:rFonts w:ascii="Times New Roman;Times;serif" w:hAnsi="Times New Roman;Times;serif"/>
          <w:sz w:val="22"/>
        </w:rPr>
      </w:pPr>
      <w:r>
        <w:rPr>
          <w:rFonts w:ascii="Times New Roman;Times;serif" w:hAnsi="Times New Roman;Times;serif"/>
          <w:sz w:val="22"/>
        </w:rPr>
        <w:t xml:space="preserve">ADMINISTRATIVE AGENT:BANK OF AMERICA, N.A., as Administrative </w:t>
      </w:r>
      <w:bookmarkStart w:id="1146" w:name="_9kR3WTr5B8568VV11zw0qo41vA"/>
      <w:bookmarkEnd w:id="1146"/>
      <w:r>
        <w:rPr>
          <w:rFonts w:ascii="Times New Roman;Times;serif" w:hAnsi="Times New Roman;Times;serif"/>
          <w:sz w:val="22"/>
        </w:rPr>
        <w:t>Agent</w:t>
      </w:r>
    </w:p>
    <w:p>
      <w:pPr>
        <w:pStyle w:val="TextBody"/>
        <w:bidi w:val="0"/>
        <w:spacing w:lineRule="auto" w:line="292" w:before="0" w:after="0"/>
        <w:ind w:left="0" w:right="5" w:firstLine="712"/>
        <w:jc w:val="both"/>
        <w:rPr/>
      </w:pPr>
      <w:r>
        <w:rPr/>
        <w:t>​</w:t>
      </w:r>
    </w:p>
    <w:p>
      <w:pPr>
        <w:pStyle w:val="TextBody"/>
        <w:bidi w:val="0"/>
        <w:spacing w:lineRule="auto" w:line="292" w:before="0" w:after="0"/>
        <w:ind w:left="3600" w:right="5"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 Susanne M. Perkins</w:t>
      </w:r>
      <w:r>
        <w:rPr>
          <w:rFonts w:ascii="Times New Roman;Times;serif" w:hAnsi="Times New Roman;Times;serif"/>
          <w:sz w:val="22"/>
          <w:u w:val="single"/>
        </w:rPr>
        <w:t>​ ​</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Name:Susanne M. Perkins</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Title:Senior Vice President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LENDERS:</w:t>
      </w:r>
      <w:r>
        <w:rPr>
          <w:rFonts w:ascii="Times New Roman;Times;serif" w:hAnsi="Times New Roman;Times;serif"/>
          <w:sz w:val="22"/>
        </w:rPr>
        <w:t xml:space="preserve">BANK OF AMERICA, N.A., </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 xml:space="preserve">as a Lender, L/C Issuer and Swing Line </w:t>
      </w:r>
      <w:bookmarkStart w:id="1147" w:name="_9kMHG5YVt7DA78AXX331y2sq63xC"/>
      <w:bookmarkEnd w:id="1147"/>
      <w:r>
        <w:rPr>
          <w:rFonts w:ascii="Times New Roman;Times;serif" w:hAnsi="Times New Roman;Times;serif"/>
          <w:sz w:val="22"/>
        </w:rPr>
        <w:t>Lender</w:t>
      </w:r>
    </w:p>
    <w:p>
      <w:pPr>
        <w:pStyle w:val="TextBody"/>
        <w:bidi w:val="0"/>
        <w:spacing w:lineRule="auto" w:line="292" w:before="0" w:after="0"/>
        <w:ind w:left="0" w:right="5" w:firstLine="712"/>
        <w:jc w:val="both"/>
        <w:rPr/>
      </w:pPr>
      <w:r>
        <w:rPr/>
        <w:t>​</w:t>
      </w:r>
    </w:p>
    <w:p>
      <w:pPr>
        <w:pStyle w:val="TextBody"/>
        <w:bidi w:val="0"/>
        <w:spacing w:lineRule="auto" w:line="292" w:before="0" w:after="0"/>
        <w:ind w:left="3600" w:right="5" w:hanging="0"/>
        <w:jc w:val="both"/>
        <w:rPr>
          <w:rFonts w:ascii="Times New Roman;Times;serif" w:hAnsi="Times New Roman;Times;serif"/>
          <w:sz w:val="22"/>
        </w:rPr>
      </w:pPr>
      <w:r>
        <w:rPr>
          <w:rFonts w:ascii="Times New Roman;Times;serif" w:hAnsi="Times New Roman;Times;serif"/>
          <w:sz w:val="22"/>
        </w:rPr>
        <w:t>By:</w:t>
      </w:r>
      <w:r>
        <w:rPr>
          <w:rFonts w:ascii="Times New Roman;Times;serif" w:hAnsi="Times New Roman;Times;serif"/>
          <w:sz w:val="22"/>
          <w:u w:val="single"/>
        </w:rPr>
        <w:t>​ ​</w:t>
      </w:r>
      <w:r>
        <w:rPr>
          <w:rFonts w:ascii="Times New Roman;Times;serif" w:hAnsi="Times New Roman;Times;serif"/>
          <w:i/>
          <w:sz w:val="22"/>
        </w:rPr>
        <w:t>/s/ Susanne M. Perkins</w:t>
      </w:r>
      <w:r>
        <w:rPr>
          <w:rFonts w:ascii="Times New Roman;Times;serif" w:hAnsi="Times New Roman;Times;serif"/>
          <w:sz w:val="22"/>
          <w:u w:val="single"/>
        </w:rPr>
        <w:t>​ ​</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Name:Susanne M. Perkins</w:t>
      </w:r>
    </w:p>
    <w:p>
      <w:pPr>
        <w:pStyle w:val="TextBody"/>
        <w:bidi w:val="0"/>
        <w:spacing w:lineRule="auto" w:line="292" w:before="0" w:after="0"/>
        <w:ind w:left="3600" w:right="5" w:firstLine="712"/>
        <w:jc w:val="both"/>
        <w:rPr>
          <w:rFonts w:ascii="Times New Roman;Times;serif" w:hAnsi="Times New Roman;Times;serif"/>
          <w:sz w:val="22"/>
        </w:rPr>
      </w:pPr>
      <w:r>
        <w:rPr>
          <w:rFonts w:ascii="Times New Roman;Times;serif" w:hAnsi="Times New Roman;Times;serif"/>
          <w:sz w:val="22"/>
        </w:rPr>
        <w:t>Title:Senior Vice President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both"/>
        <w:rPr/>
      </w:pPr>
      <w:r>
        <w:rPr/>
        <w:t>​</w:t>
      </w:r>
    </w:p>
    <w:p>
      <w:pPr>
        <w:pStyle w:val="TextBody"/>
        <w:bidi w:val="0"/>
        <w:spacing w:lineRule="auto" w:line="292" w:before="0" w:after="0"/>
        <w:ind w:left="0" w:right="5" w:firstLine="712"/>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Signature pages end</w:t>
      </w:r>
      <w:r>
        <w:rPr>
          <w:rFonts w:ascii="Times New Roman;Times;serif" w:hAnsi="Times New Roman;Times;serif"/>
          <w:sz w:val="22"/>
        </w:rPr>
        <w:t>.]</w:t>
      </w:r>
    </w:p>
    <w:p>
      <w:pPr>
        <w:pStyle w:val="TextBody"/>
        <w:bidi w:val="0"/>
        <w:spacing w:lineRule="auto" w:line="292"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148" w:name="tmb-20250629xex31d1.htm"/>
      <w:bookmarkStart w:id="1149" w:name="kstmb20250629xex31d1"/>
      <w:bookmarkEnd w:id="1148"/>
      <w:bookmarkEnd w:id="1149"/>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8977" w:type="dxa"/>
        <w:jc w:val="center"/>
        <w:tblInd w:w="0" w:type="dxa"/>
        <w:tblLayout w:type="fixed"/>
        <w:tblCellMar>
          <w:top w:w="0" w:type="dxa"/>
          <w:left w:w="0" w:type="dxa"/>
          <w:bottom w:w="0" w:type="dxa"/>
          <w:right w:w="0" w:type="dxa"/>
        </w:tblCellMar>
      </w:tblPr>
      <w:tblGrid>
        <w:gridCol w:w="1951"/>
        <w:gridCol w:w="109"/>
        <w:gridCol w:w="406"/>
        <w:gridCol w:w="65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38885" cy="175260"/>
                      <wp:effectExtent l="0" t="0" r="0" b="0"/>
                      <wp:wrapNone/>
                      <wp:docPr id="300" name="Frame299"/>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6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134485" cy="175260"/>
                      <wp:effectExtent l="0" t="0" r="0" b="0"/>
                      <wp:wrapNone/>
                      <wp:docPr id="302" name="Frame301"/>
                      <a:graphic xmlns:a="http://schemas.openxmlformats.org/drawingml/2006/main">
                        <a:graphicData uri="http://schemas.microsoft.com/office/word/2010/wordprocessingShape">
                          <wps:wsp>
                            <wps:cNvSpPr txBox="1"/>
                            <wps:spPr>
                              <a:xfrm>
                                <a:off x="0" y="0"/>
                                <a:ext cx="413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2025</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 and Interim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1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 and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50" w:name="tmb-20250629xex32d1.htm"/>
      <w:bookmarkStart w:id="1151" w:name="kstmb20250629xex32d1"/>
      <w:bookmarkEnd w:id="1150"/>
      <w:bookmarkEnd w:id="1151"/>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June 29, 2025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8977" w:type="dxa"/>
        <w:jc w:val="center"/>
        <w:tblInd w:w="0" w:type="dxa"/>
        <w:tblLayout w:type="fixed"/>
        <w:tblCellMar>
          <w:top w:w="0" w:type="dxa"/>
          <w:left w:w="0" w:type="dxa"/>
          <w:bottom w:w="0" w:type="dxa"/>
          <w:right w:w="0" w:type="dxa"/>
        </w:tblCellMar>
      </w:tblPr>
      <w:tblGrid>
        <w:gridCol w:w="1951"/>
        <w:gridCol w:w="109"/>
        <w:gridCol w:w="406"/>
        <w:gridCol w:w="651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38885" cy="175260"/>
                      <wp:effectExtent l="0" t="0" r="0" b="0"/>
                      <wp:wrapNone/>
                      <wp:docPr id="303" name="Frame30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6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134485" cy="175260"/>
                      <wp:effectExtent l="0" t="0" r="0" b="0"/>
                      <wp:wrapNone/>
                      <wp:docPr id="305" name="Frame304"/>
                      <a:graphic xmlns:a="http://schemas.openxmlformats.org/drawingml/2006/main">
                        <a:graphicData uri="http://schemas.microsoft.com/office/word/2010/wordprocessingShape">
                          <wps:wsp>
                            <wps:cNvSpPr txBox="1"/>
                            <wps:spPr>
                              <a:xfrm>
                                <a:off x="0" y="0"/>
                                <a:ext cx="413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2025</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Chief Executive Officer</w:t>
            </w:r>
            <w:r>
              <w:rPr>
                <w:rFonts w:ascii="Times New Roman;Times;serif" w:hAnsi="Times New Roman;Times;serif"/>
                <w:sz w:val="20"/>
              </w:rPr>
              <w:t xml:space="preserve"> </w:t>
            </w:r>
            <w:r>
              <w:rPr>
                <w:rFonts w:ascii="Times New Roman;Times;serif" w:hAnsi="Times New Roman;Times;serif"/>
                <w:b/>
                <w:sz w:val="20"/>
              </w:rPr>
              <w:t>and Interim 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51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 and 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revert-layer">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55837021016885/tmb-20211003xex3d1.htm" TargetMode="External"/><Relationship Id="rId4" Type="http://schemas.openxmlformats.org/officeDocument/2006/relationships/hyperlink" Target="https://www.sec.gov/Archives/edgar/data/1780201/000155837021016885/tmb-20211003xex3d1.htm" TargetMode="External"/><Relationship Id="rId5" Type="http://schemas.openxmlformats.org/officeDocument/2006/relationships/hyperlink" Target="https://www.sec.gov/Archives/edgar/data/1780201/000155837025008916/tmb-20250623xex3d2.htm" TargetMode="External"/><Relationship Id="rId6" Type="http://schemas.openxmlformats.org/officeDocument/2006/relationships/hyperlink" Target="https://www.sec.gov/Archives/edgar/data/1780201/000155837025008916/tmb-20250623xex10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26280</Words>
  <Characters>144632</Characters>
  <CharactersWithSpaces>172223</CharactersWithSpaces>
  <Paragraphs>5220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