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19"/>
        <w:spacing w:after="0" w:line="184"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SD</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170815</wp:posOffset>
            </wp:positionV>
            <wp:extent cx="101155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15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LULU'S FASHION LOUNGE HOLDINGS,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the registrant as specified in its charter)</w:t>
      </w:r>
    </w:p>
    <w:p>
      <w:pPr>
        <w:spacing w:after="0" w:line="202"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040" w:type="dxa"/>
            <w:vAlign w:val="bottom"/>
            <w:gridSpan w:val="2"/>
          </w:tcPr>
          <w:p>
            <w:pPr>
              <w:jc w:val="center"/>
              <w:ind w:right="12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28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001-41059</w:t>
            </w:r>
          </w:p>
        </w:tc>
        <w:tc>
          <w:tcPr>
            <w:tcW w:w="25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b w:val="1"/>
                <w:bCs w:val="1"/>
                <w:color w:val="auto"/>
                <w:w w:val="99"/>
              </w:rPr>
              <w:t>20-8442468</w:t>
            </w:r>
          </w:p>
        </w:tc>
      </w:tr>
      <w:tr>
        <w:trPr>
          <w:trHeight w:val="20"/>
        </w:trPr>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7"/>
        </w:trPr>
        <w:tc>
          <w:tcPr>
            <w:tcW w:w="2720" w:type="dxa"/>
            <w:vAlign w:val="bottom"/>
            <w:gridSpan w:val="3"/>
          </w:tcPr>
          <w:p>
            <w:pPr>
              <w:jc w:val="center"/>
              <w:ind w:right="560"/>
              <w:spacing w:after="0" w:line="228" w:lineRule="exact"/>
              <w:rPr>
                <w:sz w:val="20"/>
                <w:szCs w:val="20"/>
                <w:color w:val="auto"/>
              </w:rPr>
            </w:pPr>
            <w:r>
              <w:rPr>
                <w:rFonts w:ascii="Times New Roman" w:cs="Times New Roman" w:eastAsia="Times New Roman" w:hAnsi="Times New Roman"/>
                <w:sz w:val="20"/>
                <w:szCs w:val="20"/>
                <w:color w:val="auto"/>
                <w:w w:val="99"/>
              </w:rPr>
              <w:t>(State or Other Jurisdiction</w:t>
            </w:r>
          </w:p>
        </w:tc>
        <w:tc>
          <w:tcPr>
            <w:tcW w:w="2280" w:type="dxa"/>
            <w:vAlign w:val="bottom"/>
            <w:gridSpan w:val="3"/>
          </w:tcPr>
          <w:p>
            <w:pPr>
              <w:jc w:val="center"/>
              <w:ind w:right="100"/>
              <w:spacing w:after="0" w:line="228" w:lineRule="exact"/>
              <w:rPr>
                <w:sz w:val="20"/>
                <w:szCs w:val="20"/>
                <w:color w:val="auto"/>
              </w:rPr>
            </w:pPr>
            <w:r>
              <w:rPr>
                <w:rFonts w:ascii="Times New Roman" w:cs="Times New Roman" w:eastAsia="Times New Roman" w:hAnsi="Times New Roman"/>
                <w:sz w:val="20"/>
                <w:szCs w:val="20"/>
                <w:color w:val="auto"/>
                <w:w w:val="98"/>
              </w:rPr>
              <w:t>(Commission</w:t>
            </w:r>
          </w:p>
        </w:tc>
        <w:tc>
          <w:tcPr>
            <w:tcW w:w="2500" w:type="dxa"/>
            <w:vAlign w:val="bottom"/>
            <w:gridSpan w:val="3"/>
          </w:tcPr>
          <w:p>
            <w:pPr>
              <w:jc w:val="center"/>
              <w:ind w:left="561"/>
              <w:spacing w:after="0" w:line="22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720" w:type="dxa"/>
            <w:vAlign w:val="bottom"/>
            <w:gridSpan w:val="3"/>
          </w:tcPr>
          <w:p>
            <w:pPr>
              <w:jc w:val="center"/>
              <w:ind w:right="560"/>
              <w:spacing w:after="0"/>
              <w:rPr>
                <w:sz w:val="20"/>
                <w:szCs w:val="20"/>
                <w:color w:val="auto"/>
              </w:rPr>
            </w:pPr>
            <w:r>
              <w:rPr>
                <w:rFonts w:ascii="Times New Roman" w:cs="Times New Roman" w:eastAsia="Times New Roman" w:hAnsi="Times New Roman"/>
                <w:sz w:val="20"/>
                <w:szCs w:val="20"/>
                <w:color w:val="auto"/>
                <w:w w:val="96"/>
              </w:rPr>
              <w:t>of  Incorporation)</w:t>
            </w:r>
          </w:p>
        </w:tc>
        <w:tc>
          <w:tcPr>
            <w:tcW w:w="228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8"/>
              </w:rPr>
              <w:t>File Number)</w:t>
            </w:r>
          </w:p>
        </w:tc>
        <w:tc>
          <w:tcPr>
            <w:tcW w:w="25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9"/>
              </w:rPr>
              <w:t>Identification Number)</w:t>
            </w:r>
          </w:p>
        </w:tc>
      </w:tr>
    </w:tbl>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495 Ryan Avenue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Suite 125</w:t>
      </w: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Chico, CA 95973</w:t>
      </w:r>
    </w:p>
    <w:p>
      <w:pPr>
        <w:jc w:val="center"/>
        <w:ind w:right="1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Crystal Landsem, Chief Executive Officer, (530) 343-3545</w:t>
      </w:r>
    </w:p>
    <w:p>
      <w:pPr>
        <w:spacing w:after="0" w:line="2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9"/>
          <w:szCs w:val="19"/>
          <w:color w:val="auto"/>
        </w:rPr>
        <w:t>(Name and telephone number, including area code, of the person to contact in connection with this report.)</w:t>
      </w:r>
    </w:p>
    <w:p>
      <w:pPr>
        <w:spacing w:after="0" w:line="21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w:t>
      </w:r>
    </w:p>
    <w:p>
      <w:pPr>
        <w:spacing w:after="0" w:line="243" w:lineRule="exact"/>
        <w:rPr>
          <w:sz w:val="24"/>
          <w:szCs w:val="24"/>
          <w:color w:val="auto"/>
        </w:rPr>
      </w:pPr>
    </w:p>
    <w:p>
      <w:pPr>
        <w:ind w:left="200" w:right="259" w:firstLine="9"/>
        <w:spacing w:after="0" w:line="269" w:lineRule="auto"/>
        <w:tabs>
          <w:tab w:leader="none" w:pos="42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13p-1 under the Securities Exchange Act (17 CFR 240.13p-1) for the reporting period from January 1 to December 31, 2025.</w:t>
      </w:r>
    </w:p>
    <w:p>
      <w:pPr>
        <w:spacing w:after="0" w:line="186" w:lineRule="exact"/>
        <w:rPr>
          <w:sz w:val="24"/>
          <w:szCs w:val="24"/>
          <w:color w:val="auto"/>
        </w:rPr>
      </w:pPr>
    </w:p>
    <w:p>
      <w:pPr>
        <w:ind w:left="200" w:right="439" w:firstLine="9"/>
        <w:spacing w:after="0" w:line="269" w:lineRule="auto"/>
        <w:tabs>
          <w:tab w:leader="none" w:pos="425"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13q-1 under the Securities Exchange Act (17 CFR 240.13q-1) for the fiscal year ended December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20"/>
          <w:szCs w:val="20"/>
          <w:b w:val="1"/>
          <w:bCs w:val="1"/>
          <w:color w:val="auto"/>
        </w:rPr>
        <w:t>Section 1 – Conflict Mineral Disclosure</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1.01 Conflict Mineral Disclosure and Report</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3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In July 2010, the United States Congress enacted legislation that requires certain public companies to provide disclosure about the use in products they manufacture (or contract to manufacture) of tin, tantalum, tungsten, gold or their derivatives (“Conflict Minerals”) emanating from the Democratic Republic of the Congo and its adjoining countries (the “Covered Countries”). The legislation is codified in Section 13(p), and Rule 13p-1 (the “Rule”), under the Securities Exchange Act of 1934, as amended (the “Act”), and applies to issuers that manufacture or contract to manufacture products for which Conflict Minerals are necessary to the functionality or production.</w:t>
      </w:r>
    </w:p>
    <w:p>
      <w:pPr>
        <w:spacing w:after="0" w:line="19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As required by the Rule, Lulu’s Fashion Lounge Holdings, Inc. (“Lulus”, “we”, “our”, “us”, or the “Company”) undertook an analysis of its products to determine whether it would be deemed under the Rule to manufacture or contract to manufacture any product in which any Conflict Mineral was necessary to the functionality or production of such product. As a result of the analysis, the Company determined that during the reporting period January 1, 2025 to December 31, 2025 (the “Reporting Period”), the Company contracted with certain vendors to manufacture certain products that might contain Conflict Minerals necessary to the functionality or production of such products, including jewelry, handbags, accessories, clothing, and shoes that have zippers, chains, fasteners, buttons and other hardware (“Covered Products”). Accordingly, the Company conducted a reasonable country of origin inquiry with respect to Conflict Minerals in such Covered Products, as required by the Act.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3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Lulus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 (RCOI)</w:t>
      </w:r>
    </w:p>
    <w:p>
      <w:pPr>
        <w:spacing w:after="0" w:line="233"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Lulus’ supply chain with respect to the Covered Products is complex, and there are many third parties in the supply chain between Lulus and the original sources of Conflict Minerals. Lulus’ process for determining the country of origin of Conflict Minerals contained in the Covered Products (the “reasonable country of origin inquiry” or “RCOI”) was to conduct diligence of the supply-chain, using a targeted questionnaire (the “Conflict Minerals Questionnaire”) directed to vendors who were contracted to manufacture and supply products during the Reporting Period (“Covered Vendors”). The Conflict Minerals Questionnaire included questions such as whether the vendors supplied any Covered Products to Lulus; if so, whether any Conflict Minerals were used in the Covered Products they supplied to Lulus; and if so, whether any Conflict Minerals (1) originated from the Covered Countries; or (2) were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487680</wp:posOffset>
            </wp:positionV>
            <wp:extent cx="5452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20"/>
          <w:szCs w:val="20"/>
          <w:b w:val="1"/>
          <w:bCs w:val="1"/>
          <w:color w:val="auto"/>
        </w:rPr>
        <w:t>Conflict Minerals Questionnaire Responses</w:t>
      </w:r>
    </w:p>
    <w:p>
      <w:pPr>
        <w:spacing w:after="0" w:line="233"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Lulus’ survey process included direct engagement with Covered Vendors requesting specific information regarding whether such vendors supplied any Covered Products, and if so, whether any Covered Products contained Conflict Minerals. An overwhelming majority of Covered Vendors provided responses, and for those non-responsive vendors, Lulus escalated review and confidently determined that these Covered Vendors either did not supply Covered Products, or that the Covered Products contained no Conflict Minerals. Supplier responses were evaluated for plausibility, consistency, and accuracy. Conflict Minerals Questionnaire responses, together with additional diligence of Covered Vendors, confirmed that either no Covered Products were supplied to Lulus, or where Covered Products were supplied, that they did not contain Conflict Minerals. Further, Lulus did not purchase Conflict Minerals directly from mines, smelters or refiners during the Reporting Period. Lulus conducted a thorough survey of Covered Vendors, engaged in multiple follow ups and outreach to Covered Vendors, performed due diligence on our supply chain, and verified our product categories in conducting the RCOI.</w:t>
      </w:r>
    </w:p>
    <w:p>
      <w:pPr>
        <w:spacing w:after="0" w:line="201"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Based on the results of the RCOI conducted for the Reporting Period, Lulus has no reason to believe that the Conflict Minerals in our supply chain for Covered Products originated in the Covered Countries or are from recycled or scrap sources.</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Best Practices</w:t>
      </w:r>
    </w:p>
    <w:p>
      <w:pPr>
        <w:spacing w:after="0" w:line="233" w:lineRule="exact"/>
        <w:rPr>
          <w:sz w:val="20"/>
          <w:szCs w:val="20"/>
          <w:color w:val="auto"/>
        </w:rPr>
      </w:pPr>
    </w:p>
    <w:p>
      <w:pPr>
        <w:ind w:left="200" w:right="819" w:firstLine="648"/>
        <w:spacing w:after="0" w:line="254" w:lineRule="auto"/>
        <w:rPr>
          <w:sz w:val="20"/>
          <w:szCs w:val="20"/>
          <w:color w:val="auto"/>
        </w:rPr>
      </w:pPr>
      <w:r>
        <w:rPr>
          <w:rFonts w:ascii="Times New Roman" w:cs="Times New Roman" w:eastAsia="Times New Roman" w:hAnsi="Times New Roman"/>
          <w:sz w:val="20"/>
          <w:szCs w:val="20"/>
          <w:color w:val="auto"/>
        </w:rPr>
        <w:t>To help ensure clear communication regarding responsible Conflict Minerals sourcing, the following Conflict Minerals Policy has been incorporated into vendor contracts and posted on Lulus’ Investor Relations website:</w:t>
      </w:r>
    </w:p>
    <w:p>
      <w:pPr>
        <w:spacing w:after="0" w:line="188" w:lineRule="exact"/>
        <w:rPr>
          <w:sz w:val="20"/>
          <w:szCs w:val="20"/>
          <w:color w:val="auto"/>
        </w:rPr>
      </w:pPr>
    </w:p>
    <w:p>
      <w:pPr>
        <w:jc w:val="both"/>
        <w:ind w:left="860" w:right="859"/>
        <w:spacing w:after="0" w:line="243" w:lineRule="auto"/>
        <w:rPr>
          <w:sz w:val="20"/>
          <w:szCs w:val="20"/>
          <w:color w:val="auto"/>
        </w:rPr>
      </w:pPr>
      <w:r>
        <w:rPr>
          <w:rFonts w:ascii="Times New Roman" w:cs="Times New Roman" w:eastAsia="Times New Roman" w:hAnsi="Times New Roman"/>
          <w:sz w:val="20"/>
          <w:szCs w:val="20"/>
          <w:color w:val="auto"/>
        </w:rPr>
        <w:t>The U.S. Securities and Exchange Commission (“SEC”) has adopted conflict mineral disclosure and reporting rules, as mandated by the Dodd-Frank Wall Street Reform and Consumer Protection Act (the “Dodd-Frank Act”). The Conflict Minerals Rule requires companies that file reports with the SEC to conduct a country of origin (“COO”) investigation in their products, and report annually on the use and origin of conflict minerals (columbite-tantalite (coltan), cassiterite, wolframite, gold, tin, tantalum, tungsten and their derivatives) (collectively, “Conflicts Minerals”) in the products they manufacture or contract with others to manufacture for them.</w:t>
      </w:r>
    </w:p>
    <w:p>
      <w:pPr>
        <w:spacing w:after="0" w:line="203" w:lineRule="exact"/>
        <w:rPr>
          <w:sz w:val="20"/>
          <w:szCs w:val="20"/>
          <w:color w:val="auto"/>
        </w:rPr>
      </w:pPr>
    </w:p>
    <w:p>
      <w:pPr>
        <w:jc w:val="both"/>
        <w:ind w:left="860" w:right="859"/>
        <w:spacing w:after="0" w:line="241" w:lineRule="auto"/>
        <w:rPr>
          <w:sz w:val="20"/>
          <w:szCs w:val="20"/>
          <w:color w:val="auto"/>
        </w:rPr>
      </w:pPr>
      <w:r>
        <w:rPr>
          <w:rFonts w:ascii="Times New Roman" w:cs="Times New Roman" w:eastAsia="Times New Roman" w:hAnsi="Times New Roman"/>
          <w:sz w:val="20"/>
          <w:szCs w:val="20"/>
          <w:color w:val="auto"/>
        </w:rPr>
        <w:t>Lulu’s Fashion Lounge Holdings, Inc. (the “Company” or “we”) will request information from our vendors and suppliers and use reasonable efforts to ensure that products supplied to the Company are “DRC conflict-free,” meaning that the sourcing of such conflict minerals do not benefit non-stated armed groups in the Democratic Republic of the Congo (“DRC”) or adjoining countries of Angola, Burundi, Central African Republic, the Republic of the Congo, Rwanda, South Sudan, Tanzania, Uganda and Zambia (the “Covered Countries”). As these inquiries will be reasonably designed to determine the origin of the Conflict Minerals, whether in the Covered Countries or from recycled or scrap resources, we expect our vendors and suppliers to participate fully, including by providing complete and timely responses to surveys and other inquiries during audits or upon requests. In the event the Company has a reason to believe that Conflict Minerals may have originated in the Covered Countries, we will take appropriate action to remedy the situation in a timely manner, including reassessment of supplier relationships. The Company has management systems in place and files annual reports with the SEC as contemplated by the Conflict Minerals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489585</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 w:name="page4"/>
    <w:bookmarkEnd w:id="3"/>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This disclosure and all reports Lulus files with the SEC in compliance with the Rule will be available to the public through our Investor Relations website, </w:t>
      </w:r>
      <w:r>
        <w:rPr>
          <w:rFonts w:ascii="Times New Roman" w:cs="Times New Roman" w:eastAsia="Times New Roman" w:hAnsi="Times New Roman"/>
          <w:sz w:val="20"/>
          <w:szCs w:val="20"/>
          <w:i w:val="1"/>
          <w:iCs w:val="1"/>
          <w:color w:val="auto"/>
        </w:rPr>
        <w:t>https://investors.lulus.com/.</w:t>
      </w:r>
      <w:r>
        <w:rPr>
          <w:rFonts w:ascii="Times New Roman" w:cs="Times New Roman" w:eastAsia="Times New Roman" w:hAnsi="Times New Roman"/>
          <w:sz w:val="20"/>
          <w:szCs w:val="20"/>
          <w:color w:val="auto"/>
        </w:rPr>
        <w:t xml:space="preserve"> The information on the Company’s website is not, and will not be, deemed to be a part of this Form SD or any other filing with the SEC unless the Company expressly incorporates such information.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9"/>
          <w:szCs w:val="19"/>
          <w:color w:val="auto"/>
        </w:rPr>
        <w:t>This document contains forward-looking statements based on the Company’s current views, beliefs, assumptions and expectations regarding future events and speak only as of the date of this Conflict Minerals Disclosure. These statements can be identified by the use of forward-looking terminology such as “may,” “will,” “should,” “expect,” “intend,” “become,” “future,” “continue,” “strive,” “seek” or comparable terms. These forward-looking statements are only predictions and are subject to risks, uncertainties and other factors, including, among other matters, the Company’s ability to meet or improve the Company’s best practices with its vendors and country of origin inquiries to further mitigate any risk that any Conflict Minerals that may be found its Covered Products could fund armed conflict in the Covered Countries. The Company undertakes no obligation to publicly update or revise any such forward-looking statements, whether as a result of new information, future events or otherwise, except to the extent required by law.</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left="200" w:right="37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Act, the registrant has duly caused this report to be signed on its behalf by the duly authorized undersigned.</w:t>
      </w:r>
    </w:p>
    <w:p>
      <w:pPr>
        <w:spacing w:after="0" w:line="39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Lulu’s Fashion Lounge Holdings, Inc.</w:t>
      </w:r>
    </w:p>
    <w:p>
      <w:pPr>
        <w:spacing w:after="0" w:line="229" w:lineRule="exact"/>
        <w:rPr>
          <w:sz w:val="20"/>
          <w:szCs w:val="20"/>
          <w:color w:val="auto"/>
        </w:rPr>
      </w:pPr>
    </w:p>
    <w:p>
      <w:pPr>
        <w:ind w:left="200"/>
        <w:spacing w:after="0"/>
        <w:tabs>
          <w:tab w:leader="none" w:pos="3420" w:val="left"/>
        </w:tabs>
        <w:rPr>
          <w:sz w:val="20"/>
          <w:szCs w:val="20"/>
          <w:color w:val="auto"/>
        </w:rPr>
      </w:pPr>
      <w:r>
        <w:rPr>
          <w:rFonts w:ascii="Times New Roman" w:cs="Times New Roman" w:eastAsia="Times New Roman" w:hAnsi="Times New Roman"/>
          <w:sz w:val="20"/>
          <w:szCs w:val="20"/>
          <w:color w:val="auto"/>
        </w:rPr>
        <w:t>Date: May 28, 2026</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i w:val="1"/>
          <w:iCs w:val="1"/>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16510</wp:posOffset>
            </wp:positionV>
            <wp:extent cx="314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Crystal Landsem</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2026-05-28T16:51:06Z</dcterms:created>
  <dcterms:modified xsi:type="dcterms:W3CDTF">2026-05-28T16:51:06Z</dcterms:modified>
</cp:coreProperties>
</file>