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40"/>
        <w:spacing w:after="0"/>
        <w:rPr>
          <w:sz w:val="20"/>
          <w:szCs w:val="20"/>
          <w:color w:val="auto"/>
        </w:rPr>
      </w:pPr>
      <w:r>
        <w:rPr>
          <w:rFonts w:ascii="Arial" w:cs="Arial" w:eastAsia="Arial" w:hAnsi="Arial"/>
          <w:sz w:val="17"/>
          <w:szCs w:val="17"/>
          <w:b w:val="1"/>
          <w:bCs w:val="1"/>
          <w:color w:val="auto"/>
        </w:rPr>
        <w:t>Exhibit 10.65</w:t>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50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2" w:lineRule="exact"/>
        <w:rPr>
          <w:sz w:val="24"/>
          <w:szCs w:val="24"/>
          <w:color w:val="auto"/>
        </w:rPr>
      </w:pPr>
    </w:p>
    <w:p>
      <w:pPr>
        <w:ind w:left="500" w:right="140" w:hanging="495"/>
        <w:spacing w:after="0" w:line="276" w:lineRule="auto"/>
        <w:tabs>
          <w:tab w:leader="none" w:pos="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July 3, 2022</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77" w:lineRule="exact"/>
        <w:rPr>
          <w:sz w:val="24"/>
          <w:szCs w:val="24"/>
          <w:color w:val="auto"/>
        </w:rPr>
      </w:pPr>
    </w:p>
    <w:p>
      <w:pPr>
        <w:ind w:left="520" w:right="100" w:hanging="515"/>
        <w:spacing w:after="0" w:line="276" w:lineRule="auto"/>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8" w:lineRule="exact"/>
        <w:rPr>
          <w:sz w:val="24"/>
          <w:szCs w:val="24"/>
          <w:color w:val="auto"/>
        </w:rPr>
      </w:pPr>
    </w:p>
    <w:p>
      <w:pPr>
        <w:ind w:left="1700"/>
        <w:spacing w:after="0"/>
        <w:rPr>
          <w:sz w:val="20"/>
          <w:szCs w:val="20"/>
          <w:color w:val="auto"/>
        </w:rPr>
      </w:pPr>
      <w:r>
        <w:rPr>
          <w:rFonts w:ascii="Arial" w:cs="Arial" w:eastAsia="Arial" w:hAnsi="Arial"/>
          <w:sz w:val="20"/>
          <w:szCs w:val="20"/>
          <w:b w:val="1"/>
          <w:bCs w:val="1"/>
          <w:color w:val="auto"/>
        </w:rPr>
        <w:t>For the transition period from ___________________ to 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6506210" cy="381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6210" cy="381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Lulu’s Fashion Lounge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6506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22"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3980" w:type="dxa"/>
            <w:vAlign w:val="bottom"/>
          </w:tcPr>
          <w:p>
            <w:pPr>
              <w:jc w:val="center"/>
              <w:ind w:right="1672"/>
              <w:spacing w:after="0"/>
              <w:rPr>
                <w:sz w:val="20"/>
                <w:szCs w:val="20"/>
                <w:color w:val="auto"/>
              </w:rPr>
            </w:pPr>
            <w:r>
              <w:rPr>
                <w:rFonts w:ascii="Arial" w:cs="Arial" w:eastAsia="Arial" w:hAnsi="Arial"/>
                <w:sz w:val="14"/>
                <w:szCs w:val="14"/>
                <w:b w:val="1"/>
                <w:bCs w:val="1"/>
                <w:color w:val="auto"/>
                <w:w w:val="91"/>
              </w:rPr>
              <w:t>Delaware</w:t>
            </w:r>
          </w:p>
        </w:tc>
        <w:tc>
          <w:tcPr>
            <w:tcW w:w="2800" w:type="dxa"/>
            <w:vAlign w:val="bottom"/>
          </w:tcPr>
          <w:p>
            <w:pPr>
              <w:jc w:val="right"/>
              <w:ind w:right="152"/>
              <w:spacing w:after="0"/>
              <w:rPr>
                <w:sz w:val="20"/>
                <w:szCs w:val="20"/>
                <w:color w:val="auto"/>
              </w:rPr>
            </w:pPr>
            <w:r>
              <w:rPr>
                <w:rFonts w:ascii="Arial" w:cs="Arial" w:eastAsia="Arial" w:hAnsi="Arial"/>
                <w:sz w:val="14"/>
                <w:szCs w:val="14"/>
                <w:b w:val="1"/>
                <w:bCs w:val="1"/>
                <w:color w:val="auto"/>
              </w:rPr>
              <w:t>20-8442468</w:t>
            </w:r>
          </w:p>
        </w:tc>
      </w:tr>
      <w:tr>
        <w:trPr>
          <w:trHeight w:val="141"/>
        </w:trPr>
        <w:tc>
          <w:tcPr>
            <w:tcW w:w="3980" w:type="dxa"/>
            <w:vAlign w:val="bottom"/>
          </w:tcPr>
          <w:p>
            <w:pPr>
              <w:jc w:val="center"/>
              <w:ind w:right="1652"/>
              <w:spacing w:after="0" w:line="141" w:lineRule="exact"/>
              <w:rPr>
                <w:sz w:val="20"/>
                <w:szCs w:val="20"/>
                <w:color w:val="auto"/>
              </w:rPr>
            </w:pPr>
            <w:r>
              <w:rPr>
                <w:rFonts w:ascii="Arial" w:cs="Arial" w:eastAsia="Arial" w:hAnsi="Arial"/>
                <w:sz w:val="14"/>
                <w:szCs w:val="14"/>
                <w:b w:val="1"/>
                <w:bCs w:val="1"/>
                <w:color w:val="auto"/>
                <w:w w:val="88"/>
              </w:rPr>
              <w:t>(State or other jurisdiction of</w:t>
            </w:r>
          </w:p>
        </w:tc>
        <w:tc>
          <w:tcPr>
            <w:tcW w:w="2800" w:type="dxa"/>
            <w:vAlign w:val="bottom"/>
          </w:tcPr>
          <w:p>
            <w:pPr>
              <w:jc w:val="center"/>
              <w:ind w:left="1652"/>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41"/>
        </w:trPr>
        <w:tc>
          <w:tcPr>
            <w:tcW w:w="3980" w:type="dxa"/>
            <w:vAlign w:val="bottom"/>
          </w:tcPr>
          <w:p>
            <w:pPr>
              <w:jc w:val="center"/>
              <w:ind w:right="1652"/>
              <w:spacing w:after="0" w:line="141" w:lineRule="exact"/>
              <w:rPr>
                <w:sz w:val="20"/>
                <w:szCs w:val="20"/>
                <w:color w:val="auto"/>
              </w:rPr>
            </w:pPr>
            <w:r>
              <w:rPr>
                <w:rFonts w:ascii="Arial" w:cs="Arial" w:eastAsia="Arial" w:hAnsi="Arial"/>
                <w:sz w:val="14"/>
                <w:szCs w:val="14"/>
                <w:b w:val="1"/>
                <w:bCs w:val="1"/>
                <w:color w:val="auto"/>
                <w:w w:val="89"/>
              </w:rPr>
              <w:t>incorporation or organization)</w:t>
            </w:r>
          </w:p>
        </w:tc>
        <w:tc>
          <w:tcPr>
            <w:tcW w:w="2800" w:type="dxa"/>
            <w:vAlign w:val="bottom"/>
          </w:tcPr>
          <w:p>
            <w:pPr>
              <w:jc w:val="center"/>
              <w:ind w:left="1652"/>
              <w:spacing w:after="0" w:line="141" w:lineRule="exact"/>
              <w:rPr>
                <w:sz w:val="20"/>
                <w:szCs w:val="20"/>
                <w:color w:val="auto"/>
              </w:rPr>
            </w:pPr>
            <w:r>
              <w:rPr>
                <w:rFonts w:ascii="Arial" w:cs="Arial" w:eastAsia="Arial" w:hAnsi="Arial"/>
                <w:sz w:val="14"/>
                <w:szCs w:val="14"/>
                <w:b w:val="1"/>
                <w:bCs w:val="1"/>
                <w:color w:val="auto"/>
                <w:w w:val="91"/>
              </w:rPr>
              <w:t>Identification No.)</w:t>
            </w:r>
          </w:p>
        </w:tc>
      </w:tr>
      <w:tr>
        <w:trPr>
          <w:trHeight w:val="141"/>
        </w:trPr>
        <w:tc>
          <w:tcPr>
            <w:tcW w:w="3980" w:type="dxa"/>
            <w:vAlign w:val="bottom"/>
          </w:tcPr>
          <w:p>
            <w:pPr>
              <w:jc w:val="center"/>
              <w:ind w:right="1652"/>
              <w:spacing w:after="0" w:line="141" w:lineRule="exact"/>
              <w:rPr>
                <w:sz w:val="20"/>
                <w:szCs w:val="20"/>
                <w:color w:val="auto"/>
              </w:rPr>
            </w:pPr>
            <w:r>
              <w:rPr>
                <w:rFonts w:ascii="Arial" w:cs="Arial" w:eastAsia="Arial" w:hAnsi="Arial"/>
                <w:sz w:val="14"/>
                <w:szCs w:val="14"/>
                <w:b w:val="1"/>
                <w:bCs w:val="1"/>
                <w:color w:val="auto"/>
                <w:w w:val="88"/>
              </w:rPr>
              <w:t>195 Humboldt Avenue</w:t>
            </w:r>
          </w:p>
        </w:tc>
        <w:tc>
          <w:tcPr>
            <w:tcW w:w="2800" w:type="dxa"/>
            <w:vAlign w:val="bottom"/>
          </w:tcPr>
          <w:p>
            <w:pPr>
              <w:spacing w:after="0"/>
              <w:rPr>
                <w:sz w:val="12"/>
                <w:szCs w:val="12"/>
                <w:color w:val="auto"/>
              </w:rPr>
            </w:pPr>
          </w:p>
        </w:tc>
      </w:tr>
      <w:tr>
        <w:trPr>
          <w:trHeight w:val="141"/>
        </w:trPr>
        <w:tc>
          <w:tcPr>
            <w:tcW w:w="3980" w:type="dxa"/>
            <w:vAlign w:val="bottom"/>
          </w:tcPr>
          <w:p>
            <w:pPr>
              <w:jc w:val="center"/>
              <w:ind w:right="1672"/>
              <w:spacing w:after="0" w:line="141" w:lineRule="exact"/>
              <w:rPr>
                <w:sz w:val="20"/>
                <w:szCs w:val="20"/>
                <w:color w:val="auto"/>
              </w:rPr>
            </w:pPr>
            <w:r>
              <w:rPr>
                <w:rFonts w:ascii="Arial" w:cs="Arial" w:eastAsia="Arial" w:hAnsi="Arial"/>
                <w:sz w:val="14"/>
                <w:szCs w:val="14"/>
                <w:b w:val="1"/>
                <w:bCs w:val="1"/>
                <w:color w:val="auto"/>
                <w:w w:val="89"/>
              </w:rPr>
              <w:t>Chico, California</w:t>
            </w:r>
          </w:p>
        </w:tc>
        <w:tc>
          <w:tcPr>
            <w:tcW w:w="2800" w:type="dxa"/>
            <w:vAlign w:val="bottom"/>
          </w:tcPr>
          <w:p>
            <w:pPr>
              <w:jc w:val="right"/>
              <w:ind w:right="312"/>
              <w:spacing w:after="0" w:line="141" w:lineRule="exact"/>
              <w:rPr>
                <w:sz w:val="20"/>
                <w:szCs w:val="20"/>
                <w:color w:val="auto"/>
              </w:rPr>
            </w:pPr>
            <w:r>
              <w:rPr>
                <w:rFonts w:ascii="Arial" w:cs="Arial" w:eastAsia="Arial" w:hAnsi="Arial"/>
                <w:sz w:val="14"/>
                <w:szCs w:val="14"/>
                <w:b w:val="1"/>
                <w:bCs w:val="1"/>
                <w:color w:val="auto"/>
              </w:rPr>
              <w:t>95928</w:t>
            </w:r>
          </w:p>
        </w:tc>
      </w:tr>
      <w:tr>
        <w:trPr>
          <w:trHeight w:val="165"/>
        </w:trPr>
        <w:tc>
          <w:tcPr>
            <w:tcW w:w="3980" w:type="dxa"/>
            <w:vAlign w:val="bottom"/>
          </w:tcPr>
          <w:p>
            <w:pPr>
              <w:jc w:val="center"/>
              <w:ind w:right="167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800" w:type="dxa"/>
            <w:vAlign w:val="bottom"/>
          </w:tcPr>
          <w:p>
            <w:pPr>
              <w:jc w:val="center"/>
              <w:ind w:left="1652"/>
              <w:spacing w:after="0"/>
              <w:rPr>
                <w:sz w:val="20"/>
                <w:szCs w:val="20"/>
                <w:color w:val="auto"/>
              </w:rPr>
            </w:pPr>
            <w:r>
              <w:rPr>
                <w:rFonts w:ascii="Arial" w:cs="Arial" w:eastAsia="Arial" w:hAnsi="Arial"/>
                <w:sz w:val="14"/>
                <w:szCs w:val="14"/>
                <w:b w:val="1"/>
                <w:bCs w:val="1"/>
                <w:color w:val="auto"/>
                <w:w w:val="92"/>
              </w:rPr>
              <w:t>(Zip Code)</w:t>
            </w:r>
          </w:p>
        </w:tc>
      </w:tr>
    </w:tbl>
    <w:p>
      <w:pPr>
        <w:jc w:val="center"/>
        <w:spacing w:after="0"/>
        <w:rPr>
          <w:sz w:val="20"/>
          <w:szCs w:val="20"/>
          <w:color w:val="auto"/>
        </w:rPr>
      </w:pPr>
      <w:r>
        <w:rPr>
          <w:rFonts w:ascii="Arial" w:cs="Arial" w:eastAsia="Arial" w:hAnsi="Arial"/>
          <w:sz w:val="15"/>
          <w:szCs w:val="15"/>
          <w:b w:val="1"/>
          <w:bCs w:val="1"/>
          <w:color w:val="auto"/>
        </w:rPr>
        <w:t>(530) 343-3545</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6506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05"/>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185"/>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Common stock, $0.001 par value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LVLU</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Nasdaq Global Market</w:t>
            </w:r>
          </w:p>
        </w:tc>
      </w:tr>
    </w:tbl>
    <w:p>
      <w:pPr>
        <w:spacing w:after="0" w:line="69" w:lineRule="exact"/>
        <w:rPr>
          <w:sz w:val="24"/>
          <w:szCs w:val="24"/>
          <w:color w:val="auto"/>
        </w:rPr>
      </w:pPr>
    </w:p>
    <w:p>
      <w:pPr>
        <w:ind w:right="140"/>
        <w:spacing w:after="0" w:line="19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80"/>
        <w:spacing w:after="0" w:line="23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ind w:right="100"/>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4400" w:type="dxa"/>
            <w:vAlign w:val="bottom"/>
          </w:tcPr>
          <w:p>
            <w:pPr>
              <w:ind w:left="2300"/>
              <w:spacing w:after="0"/>
              <w:rPr>
                <w:sz w:val="20"/>
                <w:szCs w:val="20"/>
                <w:color w:val="auto"/>
              </w:rPr>
            </w:pPr>
            <w:r>
              <w:rPr>
                <w:rFonts w:ascii="Arial" w:cs="Arial" w:eastAsia="Arial" w:hAnsi="Arial"/>
                <w:sz w:val="15"/>
                <w:szCs w:val="15"/>
                <w:color w:val="auto"/>
              </w:rPr>
              <w:t>Accelerated filer</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92"/>
        </w:trPr>
        <w:tc>
          <w:tcPr>
            <w:tcW w:w="2080" w:type="dxa"/>
            <w:vAlign w:val="bottom"/>
          </w:tcPr>
          <w:p>
            <w:pPr>
              <w:spacing w:after="0"/>
              <w:rPr>
                <w:sz w:val="20"/>
                <w:szCs w:val="20"/>
                <w:color w:val="auto"/>
              </w:rPr>
            </w:pPr>
            <w:r>
              <w:rPr>
                <w:rFonts w:ascii="Arial" w:cs="Arial" w:eastAsia="Arial" w:hAnsi="Arial"/>
                <w:sz w:val="15"/>
                <w:szCs w:val="15"/>
                <w:color w:val="auto"/>
              </w:rPr>
              <w:t>Non-accelerated filer</w:t>
            </w:r>
          </w:p>
        </w:tc>
        <w:tc>
          <w:tcPr>
            <w:tcW w:w="28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4400" w:type="dxa"/>
            <w:vAlign w:val="bottom"/>
          </w:tcPr>
          <w:p>
            <w:pPr>
              <w:ind w:left="2300"/>
              <w:spacing w:after="0"/>
              <w:rPr>
                <w:sz w:val="20"/>
                <w:szCs w:val="20"/>
                <w:color w:val="auto"/>
              </w:rPr>
            </w:pPr>
            <w:r>
              <w:rPr>
                <w:rFonts w:ascii="Arial" w:cs="Arial" w:eastAsia="Arial" w:hAnsi="Arial"/>
                <w:sz w:val="15"/>
                <w:szCs w:val="15"/>
                <w:color w:val="auto"/>
              </w:rPr>
              <w:t>Smaller reporting company</w:t>
            </w:r>
          </w:p>
        </w:tc>
        <w:tc>
          <w:tcPr>
            <w:tcW w:w="5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0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8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44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58" w:lineRule="exact"/>
        <w:rPr>
          <w:sz w:val="24"/>
          <w:szCs w:val="24"/>
          <w:color w:val="auto"/>
        </w:rPr>
      </w:pPr>
    </w:p>
    <w:p>
      <w:pPr>
        <w:ind w:right="140"/>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ind w:right="2080"/>
        <w:spacing w:after="0" w:line="23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12, 2022, there were 38,931,050 shares of the registrant’s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441960</wp:posOffset>
            </wp:positionV>
            <wp:extent cx="650621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16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6506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85090</wp:posOffset>
            </wp:positionV>
            <wp:extent cx="650621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32385"/>
                    </a:xfrm>
                    <a:prstGeom prst="rect">
                      <a:avLst/>
                    </a:prstGeom>
                    <a:noFill/>
                  </pic:spPr>
                </pic:pic>
              </a:graphicData>
            </a:graphic>
          </wp:anchor>
        </w:drawing>
      </w:r>
    </w:p>
    <w:p>
      <w:pPr>
        <w:sectPr>
          <w:pgSz w:w="11900" w:h="16838" w:orient="portrait"/>
          <w:cols w:equalWidth="0" w:num="1">
            <w:col w:w="10240"/>
          </w:cols>
          <w:pgMar w:left="820" w:top="34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400" w:type="dxa"/>
            <w:vAlign w:val="bottom"/>
            <w:gridSpan w:val="26"/>
          </w:tcPr>
          <w:p>
            <w:pPr>
              <w:spacing w:after="0"/>
              <w:rPr>
                <w:sz w:val="20"/>
                <w:szCs w:val="20"/>
                <w:color w:val="auto"/>
              </w:rPr>
            </w:pPr>
            <w:r>
              <w:rPr>
                <w:rFonts w:ascii="Arial" w:cs="Arial" w:eastAsia="Arial" w:hAnsi="Arial"/>
                <w:sz w:val="17"/>
                <w:szCs w:val="17"/>
                <w:color w:val="0000EE"/>
              </w:rPr>
              <w:t>Table of Contents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4"/>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40" w:type="dxa"/>
            <w:vAlign w:val="bottom"/>
            <w:gridSpan w:val="7"/>
          </w:tcPr>
          <w:p>
            <w:pPr>
              <w:jc w:val="right"/>
              <w:spacing w:after="0"/>
              <w:rPr>
                <w:sz w:val="20"/>
                <w:szCs w:val="20"/>
                <w:color w:val="auto"/>
              </w:rPr>
            </w:pPr>
            <w:r>
              <w:rPr>
                <w:rFonts w:ascii="Arial" w:cs="Arial" w:eastAsia="Arial" w:hAnsi="Arial"/>
                <w:sz w:val="17"/>
                <w:szCs w:val="17"/>
                <w:b w:val="1"/>
                <w:bCs w:val="1"/>
                <w:color w:val="auto"/>
              </w:rPr>
              <w:t>TABLE OF CONTENTS</w:t>
            </w:r>
          </w:p>
        </w:tc>
        <w:tc>
          <w:tcPr>
            <w:tcW w:w="0" w:type="dxa"/>
            <w:vAlign w:val="bottom"/>
          </w:tcPr>
          <w:p>
            <w:pPr>
              <w:spacing w:after="0"/>
              <w:rPr>
                <w:sz w:val="1"/>
                <w:szCs w:val="1"/>
                <w:color w:val="auto"/>
              </w:rPr>
            </w:pPr>
          </w:p>
        </w:tc>
      </w:tr>
      <w:tr>
        <w:trPr>
          <w:trHeight w:val="474"/>
        </w:trPr>
        <w:tc>
          <w:tcPr>
            <w:tcW w:w="1060" w:type="dxa"/>
            <w:vAlign w:val="bottom"/>
            <w:gridSpan w:val="6"/>
            <w:vMerge w:val="restart"/>
          </w:tcPr>
          <w:p>
            <w:pPr>
              <w:spacing w:after="0"/>
              <w:rPr>
                <w:sz w:val="20"/>
                <w:szCs w:val="20"/>
                <w:color w:val="auto"/>
              </w:rPr>
            </w:pPr>
            <w:r>
              <w:rPr>
                <w:rFonts w:ascii="Arial" w:cs="Arial" w:eastAsia="Arial" w:hAnsi="Arial"/>
                <w:sz w:val="20"/>
                <w:szCs w:val="20"/>
                <w:b w:val="1"/>
                <w:bCs w:val="1"/>
                <w:color w:val="0000EE"/>
              </w:rPr>
              <w:t>PART I</w:t>
            </w:r>
          </w:p>
        </w:tc>
        <w:tc>
          <w:tcPr>
            <w:tcW w:w="8340" w:type="dxa"/>
            <w:vAlign w:val="bottom"/>
            <w:gridSpan w:val="20"/>
            <w:vMerge w:val="restart"/>
          </w:tcPr>
          <w:p>
            <w:pPr>
              <w:spacing w:after="0"/>
              <w:rPr>
                <w:sz w:val="20"/>
                <w:szCs w:val="20"/>
                <w:color w:val="auto"/>
              </w:rPr>
            </w:pPr>
            <w:r>
              <w:rPr>
                <w:rFonts w:ascii="Arial" w:cs="Arial" w:eastAsia="Arial" w:hAnsi="Arial"/>
                <w:sz w:val="20"/>
                <w:szCs w:val="20"/>
                <w:b w:val="1"/>
                <w:bCs w:val="1"/>
                <w:color w:val="0000EE"/>
              </w:rPr>
              <w:t>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Page</w:t>
            </w:r>
          </w:p>
        </w:tc>
        <w:tc>
          <w:tcPr>
            <w:tcW w:w="0" w:type="dxa"/>
            <w:vAlign w:val="bottom"/>
          </w:tcPr>
          <w:p>
            <w:pPr>
              <w:spacing w:after="0"/>
              <w:rPr>
                <w:sz w:val="1"/>
                <w:szCs w:val="1"/>
                <w:color w:val="auto"/>
              </w:rPr>
            </w:pPr>
          </w:p>
        </w:tc>
      </w:tr>
      <w:tr>
        <w:trPr>
          <w:trHeight w:val="185"/>
        </w:trPr>
        <w:tc>
          <w:tcPr>
            <w:tcW w:w="1060" w:type="dxa"/>
            <w:vAlign w:val="bottom"/>
            <w:gridSpan w:val="6"/>
            <w:vMerge w:val="continue"/>
          </w:tcPr>
          <w:p>
            <w:pPr>
              <w:spacing w:after="0"/>
              <w:rPr>
                <w:sz w:val="16"/>
                <w:szCs w:val="16"/>
                <w:color w:val="auto"/>
              </w:rPr>
            </w:pPr>
          </w:p>
        </w:tc>
        <w:tc>
          <w:tcPr>
            <w:tcW w:w="8340" w:type="dxa"/>
            <w:vAlign w:val="bottom"/>
            <w:gridSpan w:val="20"/>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bottom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1.</w:t>
            </w:r>
          </w:p>
        </w:tc>
        <w:tc>
          <w:tcPr>
            <w:tcW w:w="360" w:type="dxa"/>
            <w:vAlign w:val="bottom"/>
            <w:gridSpan w:val="3"/>
          </w:tcPr>
          <w:p>
            <w:pPr>
              <w:spacing w:after="0"/>
              <w:rPr>
                <w:sz w:val="19"/>
                <w:szCs w:val="19"/>
                <w:color w:val="auto"/>
              </w:rPr>
            </w:pPr>
          </w:p>
        </w:tc>
        <w:tc>
          <w:tcPr>
            <w:tcW w:w="2720" w:type="dxa"/>
            <w:vAlign w:val="bottom"/>
            <w:tcBorders>
              <w:bottom w:val="single" w:sz="8" w:color="0000EE"/>
            </w:tcBorders>
            <w:gridSpan w:val="9"/>
          </w:tcPr>
          <w:p>
            <w:pPr>
              <w:spacing w:after="0" w:line="223" w:lineRule="exact"/>
              <w:rPr>
                <w:sz w:val="20"/>
                <w:szCs w:val="20"/>
                <w:color w:val="auto"/>
              </w:rPr>
            </w:pPr>
            <w:r>
              <w:rPr>
                <w:rFonts w:ascii="Arial" w:cs="Arial" w:eastAsia="Arial" w:hAnsi="Arial"/>
                <w:sz w:val="20"/>
                <w:szCs w:val="20"/>
                <w:color w:val="0000EE"/>
                <w:w w:val="91"/>
              </w:rPr>
              <w:t>Financial Statements (unaudited)</w:t>
            </w:r>
          </w:p>
        </w:tc>
        <w:tc>
          <w:tcPr>
            <w:tcW w:w="5620" w:type="dxa"/>
            <w:vAlign w:val="bottom"/>
            <w:gridSpan w:val="11"/>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20"/>
          </w:tcPr>
          <w:p>
            <w:pPr>
              <w:spacing w:after="0" w:line="223" w:lineRule="exact"/>
              <w:rPr>
                <w:sz w:val="20"/>
                <w:szCs w:val="20"/>
                <w:color w:val="auto"/>
              </w:rPr>
            </w:pPr>
            <w:r>
              <w:rPr>
                <w:rFonts w:ascii="Arial" w:cs="Arial" w:eastAsia="Arial" w:hAnsi="Arial"/>
                <w:sz w:val="20"/>
                <w:szCs w:val="20"/>
                <w:color w:val="0000EE"/>
              </w:rPr>
              <w:t>Condensed Consolidated Balance Sheets as of July 3, 2022 and January 2, 2022</w:t>
            </w: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20"/>
          </w:tcPr>
          <w:p>
            <w:pPr>
              <w:spacing w:after="0" w:line="223" w:lineRule="exact"/>
              <w:rPr>
                <w:sz w:val="20"/>
                <w:szCs w:val="20"/>
                <w:color w:val="auto"/>
              </w:rPr>
            </w:pPr>
            <w:r>
              <w:rPr>
                <w:rFonts w:ascii="Arial" w:cs="Arial" w:eastAsia="Arial" w:hAnsi="Arial"/>
                <w:sz w:val="20"/>
                <w:szCs w:val="20"/>
                <w:color w:val="0000EE"/>
                <w:w w:val="92"/>
              </w:rPr>
              <w:t>Condensed Consolidated Statements of Operations and Comprehensive Income for the three and six</w:t>
            </w: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0000EE"/>
              <w:bottom w:val="single" w:sz="8" w:color="0000EE"/>
            </w:tcBorders>
            <w:gridSpan w:val="10"/>
          </w:tcPr>
          <w:p>
            <w:pPr>
              <w:spacing w:after="0" w:line="210" w:lineRule="exact"/>
              <w:rPr>
                <w:sz w:val="20"/>
                <w:szCs w:val="20"/>
                <w:color w:val="auto"/>
              </w:rPr>
            </w:pPr>
            <w:r>
              <w:rPr>
                <w:rFonts w:ascii="Arial" w:cs="Arial" w:eastAsia="Arial" w:hAnsi="Arial"/>
                <w:sz w:val="20"/>
                <w:szCs w:val="20"/>
                <w:color w:val="0000EE"/>
                <w:w w:val="91"/>
              </w:rPr>
              <w:t>months ended July 3, 2022 and July 4, 2021</w:t>
            </w:r>
          </w:p>
        </w:tc>
        <w:tc>
          <w:tcPr>
            <w:tcW w:w="4580" w:type="dxa"/>
            <w:vAlign w:val="bottom"/>
            <w:tcBorders>
              <w:top w:val="single" w:sz="8" w:color="0000EE"/>
            </w:tcBorders>
            <w:gridSpan w:val="9"/>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tcBorders>
              <w:bottom w:val="single" w:sz="8" w:color="0000EE"/>
            </w:tcBorders>
            <w:gridSpan w:val="17"/>
          </w:tcPr>
          <w:p>
            <w:pPr>
              <w:spacing w:after="0" w:line="223" w:lineRule="exact"/>
              <w:rPr>
                <w:sz w:val="20"/>
                <w:szCs w:val="20"/>
                <w:color w:val="auto"/>
              </w:rPr>
            </w:pPr>
            <w:r>
              <w:rPr>
                <w:rFonts w:ascii="Arial" w:cs="Arial" w:eastAsia="Arial" w:hAnsi="Arial"/>
                <w:sz w:val="20"/>
                <w:szCs w:val="20"/>
                <w:color w:val="0000EE"/>
                <w:w w:val="91"/>
              </w:rPr>
              <w:t>Condensed Consolidated Statements of Redeemable Preferred Stock, Convertible Preferred Stock</w:t>
            </w:r>
          </w:p>
        </w:tc>
        <w:tc>
          <w:tcPr>
            <w:tcW w:w="340" w:type="dxa"/>
            <w:vAlign w:val="bottom"/>
            <w:gridSpan w:val="3"/>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tcBorders>
              <w:bottom w:val="single" w:sz="8" w:color="0000EE"/>
            </w:tcBorders>
            <w:gridSpan w:val="16"/>
          </w:tcPr>
          <w:p>
            <w:pPr>
              <w:spacing w:after="0" w:line="210" w:lineRule="exact"/>
              <w:rPr>
                <w:sz w:val="20"/>
                <w:szCs w:val="20"/>
                <w:color w:val="auto"/>
              </w:rPr>
            </w:pPr>
            <w:r>
              <w:rPr>
                <w:rFonts w:ascii="Arial" w:cs="Arial" w:eastAsia="Arial" w:hAnsi="Arial"/>
                <w:sz w:val="20"/>
                <w:szCs w:val="20"/>
                <w:color w:val="0000EE"/>
                <w:w w:val="93"/>
              </w:rPr>
              <w:t>and Stockholders’ Equity (Deficit) for the six months ended July 3, 2022, and July 4, 2021</w:t>
            </w:r>
          </w:p>
        </w:tc>
        <w:tc>
          <w:tcPr>
            <w:tcW w:w="92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20"/>
          </w:tcPr>
          <w:p>
            <w:pPr>
              <w:spacing w:after="0" w:line="223" w:lineRule="exact"/>
              <w:rPr>
                <w:sz w:val="20"/>
                <w:szCs w:val="20"/>
                <w:color w:val="auto"/>
              </w:rPr>
            </w:pPr>
            <w:r>
              <w:rPr>
                <w:rFonts w:ascii="Arial" w:cs="Arial" w:eastAsia="Arial" w:hAnsi="Arial"/>
                <w:sz w:val="20"/>
                <w:szCs w:val="20"/>
                <w:color w:val="0000EE"/>
                <w:w w:val="93"/>
              </w:rPr>
              <w:t>Condensed Consolidated Statements of Cash Flows for the six months ended July 3, 2022, and July</w:t>
            </w: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0000EE"/>
              <w:bottom w:val="single" w:sz="8" w:color="0000EE"/>
            </w:tcBorders>
            <w:gridSpan w:val="2"/>
          </w:tcPr>
          <w:p>
            <w:pPr>
              <w:spacing w:after="0" w:line="210" w:lineRule="exact"/>
              <w:rPr>
                <w:sz w:val="20"/>
                <w:szCs w:val="20"/>
                <w:color w:val="auto"/>
              </w:rPr>
            </w:pPr>
            <w:r>
              <w:rPr>
                <w:rFonts w:ascii="Arial" w:cs="Arial" w:eastAsia="Arial" w:hAnsi="Arial"/>
                <w:sz w:val="20"/>
                <w:szCs w:val="20"/>
                <w:color w:val="0000EE"/>
                <w:w w:val="86"/>
              </w:rPr>
              <w:t>4, 2021</w:t>
            </w:r>
          </w:p>
        </w:tc>
        <w:tc>
          <w:tcPr>
            <w:tcW w:w="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Borders>
              <w:bottom w:val="single" w:sz="8" w:color="0000EE"/>
            </w:tcBorders>
            <w:gridSpan w:val="11"/>
          </w:tcPr>
          <w:p>
            <w:pPr>
              <w:spacing w:after="0" w:line="223" w:lineRule="exact"/>
              <w:rPr>
                <w:sz w:val="20"/>
                <w:szCs w:val="20"/>
                <w:color w:val="auto"/>
              </w:rPr>
            </w:pPr>
            <w:r>
              <w:rPr>
                <w:rFonts w:ascii="Arial" w:cs="Arial" w:eastAsia="Arial" w:hAnsi="Arial"/>
                <w:sz w:val="20"/>
                <w:szCs w:val="20"/>
                <w:color w:val="0000EE"/>
                <w:w w:val="90"/>
              </w:rPr>
              <w:t>Notes to Condensed Consolidated Financial Statements</w:t>
            </w:r>
          </w:p>
        </w:tc>
        <w:tc>
          <w:tcPr>
            <w:tcW w:w="3800" w:type="dxa"/>
            <w:vAlign w:val="bottom"/>
            <w:gridSpan w:val="9"/>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bottom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2.</w:t>
            </w:r>
          </w:p>
        </w:tc>
        <w:tc>
          <w:tcPr>
            <w:tcW w:w="360" w:type="dxa"/>
            <w:vAlign w:val="bottom"/>
            <w:gridSpan w:val="3"/>
          </w:tcPr>
          <w:p>
            <w:pPr>
              <w:spacing w:after="0"/>
              <w:rPr>
                <w:sz w:val="19"/>
                <w:szCs w:val="19"/>
                <w:color w:val="auto"/>
              </w:rPr>
            </w:pPr>
          </w:p>
        </w:tc>
        <w:tc>
          <w:tcPr>
            <w:tcW w:w="7340" w:type="dxa"/>
            <w:vAlign w:val="bottom"/>
            <w:tcBorders>
              <w:bottom w:val="single" w:sz="8" w:color="0000EE"/>
            </w:tcBorders>
            <w:gridSpan w:val="15"/>
          </w:tcPr>
          <w:p>
            <w:pPr>
              <w:spacing w:after="0" w:line="223" w:lineRule="exact"/>
              <w:rPr>
                <w:sz w:val="20"/>
                <w:szCs w:val="20"/>
                <w:color w:val="auto"/>
              </w:rPr>
            </w:pPr>
            <w:r>
              <w:rPr>
                <w:rFonts w:ascii="Arial" w:cs="Arial" w:eastAsia="Arial" w:hAnsi="Arial"/>
                <w:sz w:val="20"/>
                <w:szCs w:val="20"/>
                <w:color w:val="0000EE"/>
                <w:w w:val="93"/>
              </w:rPr>
              <w:t>Management’s Discussion and Analysis of Financial Condition and Results of Operations</w:t>
            </w:r>
          </w:p>
        </w:tc>
        <w:tc>
          <w:tcPr>
            <w:tcW w:w="1000" w:type="dxa"/>
            <w:vAlign w:val="bottom"/>
            <w:gridSpan w:val="5"/>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bottom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3.</w:t>
            </w:r>
          </w:p>
        </w:tc>
        <w:tc>
          <w:tcPr>
            <w:tcW w:w="360" w:type="dxa"/>
            <w:vAlign w:val="bottom"/>
            <w:gridSpan w:val="3"/>
          </w:tcPr>
          <w:p>
            <w:pPr>
              <w:spacing w:after="0"/>
              <w:rPr>
                <w:sz w:val="19"/>
                <w:szCs w:val="19"/>
                <w:color w:val="auto"/>
              </w:rPr>
            </w:pPr>
          </w:p>
        </w:tc>
        <w:tc>
          <w:tcPr>
            <w:tcW w:w="4960" w:type="dxa"/>
            <w:vAlign w:val="bottom"/>
            <w:tcBorders>
              <w:bottom w:val="single" w:sz="8" w:color="0000EE"/>
            </w:tcBorders>
            <w:gridSpan w:val="13"/>
          </w:tcPr>
          <w:p>
            <w:pPr>
              <w:spacing w:after="0" w:line="223" w:lineRule="exact"/>
              <w:rPr>
                <w:sz w:val="20"/>
                <w:szCs w:val="20"/>
                <w:color w:val="auto"/>
              </w:rPr>
            </w:pPr>
            <w:r>
              <w:rPr>
                <w:rFonts w:ascii="Arial" w:cs="Arial" w:eastAsia="Arial" w:hAnsi="Arial"/>
                <w:sz w:val="20"/>
                <w:szCs w:val="20"/>
                <w:color w:val="0000EE"/>
                <w:w w:val="94"/>
              </w:rPr>
              <w:t>Quantitative and Qualitative Disclosures About Market Risk</w:t>
            </w:r>
          </w:p>
        </w:tc>
        <w:tc>
          <w:tcPr>
            <w:tcW w:w="3380" w:type="dxa"/>
            <w:vAlign w:val="bottom"/>
            <w:gridSpan w:val="7"/>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0"/>
                <w:szCs w:val="20"/>
                <w:color w:val="0000EE"/>
                <w:w w:val="91"/>
              </w:rPr>
              <w:t>Item 4.</w:t>
            </w:r>
          </w:p>
        </w:tc>
        <w:tc>
          <w:tcPr>
            <w:tcW w:w="360" w:type="dxa"/>
            <w:vAlign w:val="bottom"/>
            <w:gridSpan w:val="3"/>
          </w:tcPr>
          <w:p>
            <w:pPr>
              <w:spacing w:after="0"/>
              <w:rPr>
                <w:sz w:val="19"/>
                <w:szCs w:val="19"/>
                <w:color w:val="auto"/>
              </w:rPr>
            </w:pPr>
          </w:p>
        </w:tc>
        <w:tc>
          <w:tcPr>
            <w:tcW w:w="8340" w:type="dxa"/>
            <w:vAlign w:val="bottom"/>
            <w:gridSpan w:val="20"/>
          </w:tcPr>
          <w:p>
            <w:pPr>
              <w:spacing w:after="0" w:line="223" w:lineRule="exact"/>
              <w:rPr>
                <w:sz w:val="20"/>
                <w:szCs w:val="20"/>
                <w:color w:val="auto"/>
              </w:rPr>
            </w:pPr>
            <w:r>
              <w:rPr>
                <w:rFonts w:ascii="Arial" w:cs="Arial" w:eastAsia="Arial" w:hAnsi="Arial"/>
                <w:sz w:val="20"/>
                <w:szCs w:val="20"/>
                <w:color w:val="0000EE"/>
              </w:rPr>
              <w:t>Controls and Procedures</w:t>
            </w: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gridSpan w:val="6"/>
          </w:tcPr>
          <w:p>
            <w:pPr>
              <w:spacing w:after="0"/>
              <w:rPr>
                <w:sz w:val="20"/>
                <w:szCs w:val="20"/>
                <w:color w:val="auto"/>
              </w:rPr>
            </w:pPr>
            <w:r>
              <w:rPr>
                <w:rFonts w:ascii="Arial" w:cs="Arial" w:eastAsia="Arial" w:hAnsi="Arial"/>
                <w:sz w:val="20"/>
                <w:szCs w:val="20"/>
                <w:b w:val="1"/>
                <w:bCs w:val="1"/>
                <w:color w:val="0000EE"/>
              </w:rPr>
              <w:t>PART II</w:t>
            </w:r>
          </w:p>
        </w:tc>
        <w:tc>
          <w:tcPr>
            <w:tcW w:w="8340" w:type="dxa"/>
            <w:vAlign w:val="bottom"/>
            <w:gridSpan w:val="20"/>
          </w:tcPr>
          <w:p>
            <w:pPr>
              <w:ind w:left="40"/>
              <w:spacing w:after="0"/>
              <w:rPr>
                <w:sz w:val="20"/>
                <w:szCs w:val="20"/>
                <w:color w:val="auto"/>
              </w:rPr>
            </w:pPr>
            <w:r>
              <w:rPr>
                <w:rFonts w:ascii="Arial" w:cs="Arial" w:eastAsia="Arial" w:hAnsi="Arial"/>
                <w:sz w:val="20"/>
                <w:szCs w:val="20"/>
                <w:b w:val="1"/>
                <w:bCs w:val="1"/>
                <w:color w:val="0000EE"/>
              </w:rPr>
              <w:t>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1.</w:t>
            </w:r>
          </w:p>
        </w:tc>
        <w:tc>
          <w:tcPr>
            <w:tcW w:w="40" w:type="dxa"/>
            <w:vAlign w:val="bottom"/>
            <w:tcBorders>
              <w:top w:val="single" w:sz="8" w:color="0000EE"/>
            </w:tcBorders>
          </w:tcPr>
          <w:p>
            <w:pPr>
              <w:spacing w:after="0"/>
              <w:rPr>
                <w:sz w:val="19"/>
                <w:szCs w:val="19"/>
                <w:color w:val="auto"/>
              </w:rPr>
            </w:pPr>
          </w:p>
        </w:tc>
        <w:tc>
          <w:tcPr>
            <w:tcW w:w="320" w:type="dxa"/>
            <w:vAlign w:val="bottom"/>
            <w:gridSpan w:val="2"/>
          </w:tcPr>
          <w:p>
            <w:pPr>
              <w:spacing w:after="0"/>
              <w:rPr>
                <w:sz w:val="19"/>
                <w:szCs w:val="19"/>
                <w:color w:val="auto"/>
              </w:rPr>
            </w:pPr>
          </w:p>
        </w:tc>
        <w:tc>
          <w:tcPr>
            <w:tcW w:w="2340" w:type="dxa"/>
            <w:vAlign w:val="bottom"/>
            <w:tcBorders>
              <w:top w:val="single" w:sz="8" w:color="0000EE"/>
            </w:tcBorders>
            <w:gridSpan w:val="7"/>
          </w:tcPr>
          <w:p>
            <w:pPr>
              <w:spacing w:after="0" w:line="223" w:lineRule="exact"/>
              <w:rPr>
                <w:sz w:val="20"/>
                <w:szCs w:val="20"/>
                <w:color w:val="auto"/>
              </w:rPr>
            </w:pPr>
            <w:r>
              <w:rPr>
                <w:rFonts w:ascii="Arial" w:cs="Arial" w:eastAsia="Arial" w:hAnsi="Arial"/>
                <w:sz w:val="20"/>
                <w:szCs w:val="20"/>
                <w:color w:val="0000EE"/>
              </w:rPr>
              <w:t>Legal Proceedings</w:t>
            </w:r>
          </w:p>
        </w:tc>
        <w:tc>
          <w:tcPr>
            <w:tcW w:w="6000" w:type="dxa"/>
            <w:vAlign w:val="bottom"/>
            <w:gridSpan w:val="13"/>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40" w:type="dxa"/>
            <w:vAlign w:val="bottom"/>
            <w:gridSpan w:val="5"/>
          </w:tcPr>
          <w:p>
            <w:pPr>
              <w:spacing w:after="0" w:line="223" w:lineRule="exact"/>
              <w:rPr>
                <w:sz w:val="20"/>
                <w:szCs w:val="20"/>
                <w:color w:val="auto"/>
              </w:rPr>
            </w:pPr>
            <w:r>
              <w:rPr>
                <w:rFonts w:ascii="Arial" w:cs="Arial" w:eastAsia="Arial" w:hAnsi="Arial"/>
                <w:sz w:val="20"/>
                <w:szCs w:val="20"/>
                <w:color w:val="0000EE"/>
              </w:rPr>
              <w:t>Item 1A.</w:t>
            </w:r>
          </w:p>
        </w:tc>
        <w:tc>
          <w:tcPr>
            <w:tcW w:w="8340" w:type="dxa"/>
            <w:vAlign w:val="bottom"/>
            <w:gridSpan w:val="20"/>
          </w:tcPr>
          <w:p>
            <w:pPr>
              <w:spacing w:after="0" w:line="223" w:lineRule="exact"/>
              <w:rPr>
                <w:sz w:val="20"/>
                <w:szCs w:val="20"/>
                <w:color w:val="auto"/>
              </w:rPr>
            </w:pPr>
            <w:r>
              <w:rPr>
                <w:rFonts w:ascii="Arial" w:cs="Arial" w:eastAsia="Arial" w:hAnsi="Arial"/>
                <w:sz w:val="20"/>
                <w:szCs w:val="20"/>
                <w:color w:val="0000EE"/>
              </w:rPr>
              <w:t>Risk Factors</w:t>
            </w: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bottom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2.</w:t>
            </w:r>
          </w:p>
        </w:tc>
        <w:tc>
          <w:tcPr>
            <w:tcW w:w="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940" w:type="dxa"/>
            <w:vAlign w:val="bottom"/>
            <w:tcBorders>
              <w:bottom w:val="single" w:sz="8" w:color="0000EE"/>
            </w:tcBorders>
            <w:gridSpan w:val="12"/>
          </w:tcPr>
          <w:p>
            <w:pPr>
              <w:spacing w:after="0" w:line="223" w:lineRule="exact"/>
              <w:rPr>
                <w:sz w:val="20"/>
                <w:szCs w:val="20"/>
                <w:color w:val="auto"/>
              </w:rPr>
            </w:pPr>
            <w:r>
              <w:rPr>
                <w:rFonts w:ascii="Arial" w:cs="Arial" w:eastAsia="Arial" w:hAnsi="Arial"/>
                <w:sz w:val="20"/>
                <w:szCs w:val="20"/>
                <w:color w:val="0000EE"/>
                <w:w w:val="91"/>
              </w:rPr>
              <w:t>Unregistered Sales of Equity Securities and Use of Proceeds</w:t>
            </w:r>
          </w:p>
        </w:tc>
        <w:tc>
          <w:tcPr>
            <w:tcW w:w="3400" w:type="dxa"/>
            <w:vAlign w:val="bottom"/>
            <w:gridSpan w:val="8"/>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bottom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3.</w:t>
            </w:r>
          </w:p>
        </w:tc>
        <w:tc>
          <w:tcPr>
            <w:tcW w:w="360" w:type="dxa"/>
            <w:vAlign w:val="bottom"/>
            <w:gridSpan w:val="3"/>
          </w:tcPr>
          <w:p>
            <w:pPr>
              <w:spacing w:after="0"/>
              <w:rPr>
                <w:sz w:val="19"/>
                <w:szCs w:val="19"/>
                <w:color w:val="auto"/>
              </w:rPr>
            </w:pPr>
          </w:p>
        </w:tc>
        <w:tc>
          <w:tcPr>
            <w:tcW w:w="2640" w:type="dxa"/>
            <w:vAlign w:val="bottom"/>
            <w:tcBorders>
              <w:bottom w:val="single" w:sz="8" w:color="0000EE"/>
            </w:tcBorders>
            <w:gridSpan w:val="8"/>
          </w:tcPr>
          <w:p>
            <w:pPr>
              <w:spacing w:after="0" w:line="223" w:lineRule="exact"/>
              <w:rPr>
                <w:sz w:val="20"/>
                <w:szCs w:val="20"/>
                <w:color w:val="auto"/>
              </w:rPr>
            </w:pPr>
            <w:r>
              <w:rPr>
                <w:rFonts w:ascii="Arial" w:cs="Arial" w:eastAsia="Arial" w:hAnsi="Arial"/>
                <w:sz w:val="20"/>
                <w:szCs w:val="20"/>
                <w:color w:val="0000EE"/>
                <w:w w:val="92"/>
              </w:rPr>
              <w:t>Defaults Upon Senior Securities</w:t>
            </w:r>
          </w:p>
        </w:tc>
        <w:tc>
          <w:tcPr>
            <w:tcW w:w="5700" w:type="dxa"/>
            <w:vAlign w:val="bottom"/>
            <w:gridSpan w:val="12"/>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0"/>
                <w:szCs w:val="20"/>
                <w:color w:val="0000EE"/>
                <w:w w:val="91"/>
              </w:rPr>
              <w:t>Item 4.</w:t>
            </w:r>
          </w:p>
        </w:tc>
        <w:tc>
          <w:tcPr>
            <w:tcW w:w="360" w:type="dxa"/>
            <w:vAlign w:val="bottom"/>
            <w:gridSpan w:val="3"/>
          </w:tcPr>
          <w:p>
            <w:pPr>
              <w:spacing w:after="0"/>
              <w:rPr>
                <w:sz w:val="19"/>
                <w:szCs w:val="19"/>
                <w:color w:val="auto"/>
              </w:rPr>
            </w:pPr>
          </w:p>
        </w:tc>
        <w:tc>
          <w:tcPr>
            <w:tcW w:w="8340" w:type="dxa"/>
            <w:vAlign w:val="bottom"/>
            <w:gridSpan w:val="20"/>
          </w:tcPr>
          <w:p>
            <w:pPr>
              <w:spacing w:after="0" w:line="223" w:lineRule="exact"/>
              <w:rPr>
                <w:sz w:val="20"/>
                <w:szCs w:val="20"/>
                <w:color w:val="auto"/>
              </w:rPr>
            </w:pPr>
            <w:r>
              <w:rPr>
                <w:rFonts w:ascii="Arial" w:cs="Arial" w:eastAsia="Arial" w:hAnsi="Arial"/>
                <w:sz w:val="20"/>
                <w:szCs w:val="20"/>
                <w:color w:val="0000EE"/>
              </w:rPr>
              <w:t>Mine Safety Disclosures</w:t>
            </w: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top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5.</w:t>
            </w:r>
          </w:p>
        </w:tc>
        <w:tc>
          <w:tcPr>
            <w:tcW w:w="360" w:type="dxa"/>
            <w:vAlign w:val="bottom"/>
            <w:gridSpan w:val="3"/>
          </w:tcPr>
          <w:p>
            <w:pPr>
              <w:spacing w:after="0"/>
              <w:rPr>
                <w:sz w:val="19"/>
                <w:szCs w:val="19"/>
                <w:color w:val="auto"/>
              </w:rPr>
            </w:pPr>
          </w:p>
        </w:tc>
        <w:tc>
          <w:tcPr>
            <w:tcW w:w="2000" w:type="dxa"/>
            <w:vAlign w:val="bottom"/>
            <w:tcBorders>
              <w:top w:val="single" w:sz="8" w:color="0000EE"/>
            </w:tcBorders>
            <w:gridSpan w:val="6"/>
          </w:tcPr>
          <w:p>
            <w:pPr>
              <w:spacing w:after="0" w:line="223" w:lineRule="exact"/>
              <w:rPr>
                <w:sz w:val="20"/>
                <w:szCs w:val="20"/>
                <w:color w:val="auto"/>
              </w:rPr>
            </w:pPr>
            <w:r>
              <w:rPr>
                <w:rFonts w:ascii="Arial" w:cs="Arial" w:eastAsia="Arial" w:hAnsi="Arial"/>
                <w:sz w:val="20"/>
                <w:szCs w:val="20"/>
                <w:color w:val="0000EE"/>
              </w:rPr>
              <w:t>Other Information</w:t>
            </w:r>
          </w:p>
        </w:tc>
        <w:tc>
          <w:tcPr>
            <w:tcW w:w="6340" w:type="dxa"/>
            <w:vAlign w:val="bottom"/>
            <w:gridSpan w:val="14"/>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80" w:type="dxa"/>
            <w:vAlign w:val="bottom"/>
            <w:tcBorders>
              <w:top w:val="single" w:sz="8" w:color="0000EE"/>
              <w:bottom w:val="single" w:sz="8" w:color="0000EE"/>
            </w:tcBorders>
            <w:gridSpan w:val="2"/>
          </w:tcPr>
          <w:p>
            <w:pPr>
              <w:spacing w:after="0" w:line="223" w:lineRule="exact"/>
              <w:rPr>
                <w:sz w:val="20"/>
                <w:szCs w:val="20"/>
                <w:color w:val="auto"/>
              </w:rPr>
            </w:pPr>
            <w:r>
              <w:rPr>
                <w:rFonts w:ascii="Arial" w:cs="Arial" w:eastAsia="Arial" w:hAnsi="Arial"/>
                <w:sz w:val="20"/>
                <w:szCs w:val="20"/>
                <w:color w:val="0000EE"/>
                <w:w w:val="91"/>
              </w:rPr>
              <w:t>Item 6.</w:t>
            </w:r>
          </w:p>
        </w:tc>
        <w:tc>
          <w:tcPr>
            <w:tcW w:w="360" w:type="dxa"/>
            <w:vAlign w:val="bottom"/>
            <w:gridSpan w:val="3"/>
          </w:tcPr>
          <w:p>
            <w:pPr>
              <w:spacing w:after="0"/>
              <w:rPr>
                <w:sz w:val="19"/>
                <w:szCs w:val="19"/>
                <w:color w:val="auto"/>
              </w:rPr>
            </w:pPr>
          </w:p>
        </w:tc>
        <w:tc>
          <w:tcPr>
            <w:tcW w:w="680" w:type="dxa"/>
            <w:vAlign w:val="bottom"/>
            <w:tcBorders>
              <w:top w:val="single" w:sz="8" w:color="0000EE"/>
              <w:bottom w:val="single" w:sz="8" w:color="0000EE"/>
            </w:tcBorders>
            <w:gridSpan w:val="3"/>
          </w:tcPr>
          <w:p>
            <w:pPr>
              <w:spacing w:after="0" w:line="223" w:lineRule="exact"/>
              <w:rPr>
                <w:sz w:val="20"/>
                <w:szCs w:val="20"/>
                <w:color w:val="auto"/>
              </w:rPr>
            </w:pPr>
            <w:r>
              <w:rPr>
                <w:rFonts w:ascii="Arial" w:cs="Arial" w:eastAsia="Arial" w:hAnsi="Arial"/>
                <w:sz w:val="20"/>
                <w:szCs w:val="20"/>
                <w:color w:val="0000EE"/>
                <w:w w:val="94"/>
              </w:rPr>
              <w:t>Exhibits</w:t>
            </w:r>
          </w:p>
        </w:tc>
        <w:tc>
          <w:tcPr>
            <w:tcW w:w="820" w:type="dxa"/>
            <w:vAlign w:val="bottom"/>
            <w:tcBorders>
              <w:top w:val="single" w:sz="8" w:color="0000EE"/>
            </w:tcBorders>
            <w:gridSpan w:val="2"/>
          </w:tcPr>
          <w:p>
            <w:pPr>
              <w:spacing w:after="0"/>
              <w:rPr>
                <w:sz w:val="19"/>
                <w:szCs w:val="19"/>
                <w:color w:val="auto"/>
              </w:rPr>
            </w:pPr>
          </w:p>
        </w:tc>
        <w:tc>
          <w:tcPr>
            <w:tcW w:w="6840" w:type="dxa"/>
            <w:vAlign w:val="bottom"/>
            <w:gridSpan w:val="15"/>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23"/>
        </w:trPr>
        <w:tc>
          <w:tcPr>
            <w:tcW w:w="1060" w:type="dxa"/>
            <w:vAlign w:val="bottom"/>
            <w:gridSpan w:val="6"/>
          </w:tcPr>
          <w:p>
            <w:pPr>
              <w:spacing w:after="0" w:line="223" w:lineRule="exact"/>
              <w:rPr>
                <w:sz w:val="20"/>
                <w:szCs w:val="20"/>
                <w:color w:val="auto"/>
              </w:rPr>
            </w:pPr>
            <w:r>
              <w:rPr>
                <w:rFonts w:ascii="Arial" w:cs="Arial" w:eastAsia="Arial" w:hAnsi="Arial"/>
                <w:sz w:val="20"/>
                <w:szCs w:val="20"/>
                <w:color w:val="0000EE"/>
              </w:rPr>
              <w:t>Signatures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18" w:lineRule="exact"/>
        <w:rPr>
          <w:sz w:val="20"/>
          <w:szCs w:val="20"/>
          <w:color w:val="auto"/>
        </w:rPr>
      </w:pPr>
    </w:p>
    <w:p>
      <w:pPr>
        <w:jc w:val="both"/>
        <w:ind w:firstLine="307"/>
        <w:spacing w:after="0" w:line="254"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185" w:lineRule="exact"/>
        <w:rPr>
          <w:sz w:val="20"/>
          <w:szCs w:val="20"/>
          <w:color w:val="auto"/>
        </w:rPr>
      </w:pPr>
    </w:p>
    <w:p>
      <w:pPr>
        <w:jc w:val="both"/>
        <w:ind w:firstLine="307"/>
        <w:spacing w:after="0" w:line="268"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successfully maintain our desired merchandise assortment or manage our inventory effectively and attract a sufficient number of customers or sell sufficient quantities of our merchandise; the unpredictability and adverse effects of the COVID-19 pandemic; our ability to anticipate, identify, measure, and respond quickly to new and rapidly changing fashion trends, customer preferences and demands, and other factors; our efforts to acquire or retain customers; our ability to maintain a high level of engagement with our customers and increase their spending with us; our ability to provide high-quality customer support; our ability to maintain a strong community around the Lulus brand with engaged customers and influencers; our ability to operate in the highly competitive retail apparel industry; our ability to successfully implement our growth strategy; our reliance on third parties to drive traffic to our platform; our use of social media, influencers, affiliate marketing, email, text messages, and direct mail; our exposure to international business uncertainties; our reliance on consumer discretionary spending; system security risk issues, including any real or perceived failure to protect confidential or personal information against security breaches and disruption of our internal operations or information technology systems; any disruption caused by continual updates, augmentation and additions to our technology systems; our reliance on email and other messaging services; risks associated with sourcing, manufacturing, and warehousing; any disruptions to our three distribution facilities; our reliance on independent third-party transportation providers for substantially all of our merchandise shipments and any disruptions or increased transportation costs; risks associated with infringement upon the trademarks, copyrights or other intellectual property rights of third parties, including the risk that we could acquire merchandise from our suppliers without the full right to sell it; and the other important factors discussed in Part I, Item 1A, “Risk Factors” in our Annual Report on Form 10-K and our other filings with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5" w:lineRule="exact"/>
        <w:rPr>
          <w:sz w:val="20"/>
          <w:szCs w:val="20"/>
          <w:color w:val="auto"/>
        </w:rPr>
      </w:pPr>
    </w:p>
    <w:p>
      <w:pPr>
        <w:jc w:val="both"/>
        <w:ind w:firstLine="307"/>
        <w:spacing w:after="0" w:line="25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BASIS OF PRESENTATION</w:t>
      </w:r>
    </w:p>
    <w:p>
      <w:pPr>
        <w:spacing w:after="0" w:line="218" w:lineRule="exact"/>
        <w:rPr>
          <w:sz w:val="20"/>
          <w:szCs w:val="20"/>
          <w:color w:val="auto"/>
        </w:rPr>
      </w:pPr>
    </w:p>
    <w:p>
      <w:pPr>
        <w:jc w:val="both"/>
        <w:ind w:firstLine="307"/>
        <w:spacing w:after="0" w:line="273" w:lineRule="auto"/>
        <w:rPr>
          <w:sz w:val="20"/>
          <w:szCs w:val="20"/>
          <w:color w:val="auto"/>
        </w:rPr>
      </w:pPr>
      <w:r>
        <w:rPr>
          <w:rFonts w:ascii="Arial" w:cs="Arial" w:eastAsia="Arial" w:hAnsi="Arial"/>
          <w:sz w:val="16"/>
          <w:szCs w:val="16"/>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spacing w:after="0" w:line="172" w:lineRule="exact"/>
        <w:rPr>
          <w:sz w:val="20"/>
          <w:szCs w:val="20"/>
          <w:color w:val="auto"/>
        </w:rPr>
      </w:pPr>
    </w:p>
    <w:p>
      <w:pPr>
        <w:jc w:val="both"/>
        <w:ind w:firstLine="307"/>
        <w:spacing w:after="0" w:line="287" w:lineRule="auto"/>
        <w:rPr>
          <w:sz w:val="20"/>
          <w:szCs w:val="20"/>
          <w:color w:val="auto"/>
        </w:rPr>
      </w:pPr>
      <w:r>
        <w:rPr>
          <w:rFonts w:ascii="Arial" w:cs="Arial" w:eastAsia="Arial" w:hAnsi="Arial"/>
          <w:sz w:val="16"/>
          <w:szCs w:val="16"/>
          <w:color w:val="auto"/>
        </w:rPr>
        <w:t>Our fiscal year is a “52-53 week” year ending on the Sunday closest in proximity to December 31, such that each quarterly period will be 13 weeks in length, except during a 53-week year when the fourth quarter will be 14 weeks. References herein to “fiscal 2022” and/or “2022” relate to the year ending January 1, 2023 and “fiscal 2021” and/or “2021” relate to the year ended January 2, 2022.</w:t>
      </w:r>
    </w:p>
    <w:p>
      <w:pPr>
        <w:spacing w:after="0" w:line="159" w:lineRule="exact"/>
        <w:rPr>
          <w:sz w:val="20"/>
          <w:szCs w:val="20"/>
          <w:color w:val="auto"/>
        </w:rPr>
      </w:pPr>
    </w:p>
    <w:p>
      <w:pPr>
        <w:jc w:val="both"/>
        <w:ind w:firstLine="307"/>
        <w:spacing w:after="0" w:line="272" w:lineRule="auto"/>
        <w:rPr>
          <w:sz w:val="20"/>
          <w:szCs w:val="20"/>
          <w:color w:val="auto"/>
        </w:rPr>
      </w:pPr>
      <w:r>
        <w:rPr>
          <w:rFonts w:ascii="Arial" w:cs="Arial" w:eastAsia="Arial" w:hAnsi="Arial"/>
          <w:sz w:val="16"/>
          <w:szCs w:val="16"/>
          <w:color w:val="auto"/>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Net Debt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Net Debt, as well as a reconciliation of net income to Adjusted EBITDA and a reconciliation to non-GAAP Net Debt from Total Debt. Net income is the most directly comparable financial measure to Adjusted EBITDA and Total Debt is the most directly comparable financial measure to Net Debt, required by, or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201"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LULU’S FASHION LOUNGE HOLDINGS, INC.</w:t>
      </w:r>
    </w:p>
    <w:p>
      <w:pPr>
        <w:spacing w:after="0" w:line="205"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July 3,</w:t>
            </w:r>
          </w:p>
        </w:tc>
        <w:tc>
          <w:tcPr>
            <w:tcW w:w="200" w:type="dxa"/>
            <w:vAlign w:val="bottom"/>
          </w:tcPr>
          <w:p>
            <w:pPr>
              <w:spacing w:after="0"/>
              <w:rPr>
                <w:sz w:val="12"/>
                <w:szCs w:val="12"/>
                <w:color w:val="auto"/>
              </w:rPr>
            </w:pPr>
          </w:p>
        </w:tc>
        <w:tc>
          <w:tcPr>
            <w:tcW w:w="1020" w:type="dxa"/>
            <w:vAlign w:val="bottom"/>
          </w:tcPr>
          <w:p>
            <w:pPr>
              <w:jc w:val="right"/>
              <w:ind w:right="272"/>
              <w:spacing w:after="0"/>
              <w:rPr>
                <w:sz w:val="20"/>
                <w:szCs w:val="20"/>
                <w:color w:val="auto"/>
              </w:rPr>
            </w:pPr>
            <w:r>
              <w:rPr>
                <w:rFonts w:ascii="Arial" w:cs="Arial" w:eastAsia="Arial" w:hAnsi="Arial"/>
                <w:sz w:val="12"/>
                <w:szCs w:val="12"/>
                <w:b w:val="1"/>
                <w:bCs w:val="1"/>
                <w:color w:val="auto"/>
              </w:rPr>
              <w:t>January 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8,343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11,402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ind w:left="80"/>
              <w:spacing w:after="0" w:line="141"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6,506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Inventory, net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48,575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22,176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ind w:left="80"/>
              <w:spacing w:after="0" w:line="141" w:lineRule="exact"/>
              <w:rPr>
                <w:sz w:val="20"/>
                <w:szCs w:val="20"/>
                <w:color w:val="auto"/>
              </w:rPr>
            </w:pPr>
            <w:r>
              <w:rPr>
                <w:rFonts w:ascii="Arial" w:cs="Arial" w:eastAsia="Arial" w:hAnsi="Arial"/>
                <w:sz w:val="14"/>
                <w:szCs w:val="14"/>
                <w:color w:val="auto"/>
              </w:rPr>
              <w:t>Assets for recovery</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5,391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3,754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Income tax refund receivable</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Borders>
              <w:bottom w:val="single" w:sz="8" w:color="CCEEFF"/>
            </w:tcBorders>
          </w:tcPr>
          <w:p>
            <w:pPr>
              <w:ind w:left="80"/>
              <w:spacing w:after="0" w:line="141" w:lineRule="exact"/>
              <w:rPr>
                <w:sz w:val="20"/>
                <w:szCs w:val="20"/>
                <w:color w:val="auto"/>
              </w:rPr>
            </w:pPr>
            <w:r>
              <w:rPr>
                <w:rFonts w:ascii="Arial" w:cs="Arial" w:eastAsia="Arial" w:hAnsi="Arial"/>
                <w:sz w:val="14"/>
                <w:szCs w:val="14"/>
                <w:color w:val="auto"/>
              </w:rPr>
              <w:t>Prepaids and other current assets</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4,200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shd w:val="clear" w:color="auto" w:fill="CCEEFF"/>
          </w:tcPr>
          <w:p>
            <w:pPr>
              <w:ind w:left="300"/>
              <w:spacing w:after="0" w:line="134"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rPr>
              <w:t>73,015</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rPr>
              <w:t>49,093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506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4,027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35,430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35,430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Tradename</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18,509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18,509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2,691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Lease right-of-use assets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31,788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6,083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4,763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tcBorders>
              <w:bottom w:val="single" w:sz="8" w:color="CCEEFF"/>
            </w:tcBorders>
            <w:shd w:val="clear" w:color="auto" w:fill="CCEEFF"/>
          </w:tcPr>
          <w:p>
            <w:pPr>
              <w:ind w:left="200"/>
              <w:spacing w:after="0" w:line="134"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12"/>
              <w:spacing w:after="0" w:line="134"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172,049</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113,776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Accounts payable</w:t>
            </w:r>
          </w:p>
        </w:tc>
        <w:tc>
          <w:tcPr>
            <w:tcW w:w="440" w:type="dxa"/>
            <w:vAlign w:val="bottom"/>
            <w:gridSpan w:val="2"/>
            <w:shd w:val="clear" w:color="auto" w:fill="CCEEFF"/>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8,430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ind w:left="80"/>
              <w:spacing w:after="0" w:line="141" w:lineRule="exact"/>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2,097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29,214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21,948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ind w:left="80"/>
              <w:spacing w:after="0" w:line="141" w:lineRule="exact"/>
              <w:rPr>
                <w:sz w:val="20"/>
                <w:szCs w:val="20"/>
                <w:color w:val="auto"/>
              </w:rPr>
            </w:pPr>
            <w:r>
              <w:rPr>
                <w:rFonts w:ascii="Arial" w:cs="Arial" w:eastAsia="Arial" w:hAnsi="Arial"/>
                <w:sz w:val="14"/>
                <w:szCs w:val="14"/>
                <w:color w:val="auto"/>
              </w:rPr>
              <w:t>Returns reserve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14,237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9,731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Stored-value card liability</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8,102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7,240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Borders>
              <w:bottom w:val="single" w:sz="8" w:color="CCEEFF"/>
            </w:tcBorders>
          </w:tcPr>
          <w:p>
            <w:pPr>
              <w:ind w:left="80"/>
              <w:spacing w:after="0" w:line="141" w:lineRule="exact"/>
              <w:rPr>
                <w:sz w:val="20"/>
                <w:szCs w:val="20"/>
                <w:color w:val="auto"/>
              </w:rPr>
            </w:pPr>
            <w:r>
              <w:rPr>
                <w:rFonts w:ascii="Arial" w:cs="Arial" w:eastAsia="Arial" w:hAnsi="Arial"/>
                <w:sz w:val="14"/>
                <w:szCs w:val="14"/>
                <w:color w:val="auto"/>
              </w:rPr>
              <w:t>Lease liabilities, current</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3,708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shd w:val="clear" w:color="auto" w:fill="CCEEFF"/>
          </w:tcPr>
          <w:p>
            <w:pPr>
              <w:ind w:left="300"/>
              <w:spacing w:after="0" w:line="134"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rPr>
              <w:t>65,788</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rPr>
              <w:t>43,146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Revolving line of credit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15,000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Lease liabilities, noncurrent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28,757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79</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shd w:val="clear" w:color="auto" w:fill="CCEEFF"/>
          </w:tcPr>
          <w:p>
            <w:pPr>
              <w:ind w:left="200"/>
              <w:spacing w:after="0" w:line="134" w:lineRule="exact"/>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109,624</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69,254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tcPr>
          <w:p>
            <w:pPr>
              <w:spacing w:after="0" w:line="134" w:lineRule="exact"/>
              <w:rPr>
                <w:sz w:val="20"/>
                <w:szCs w:val="20"/>
                <w:color w:val="auto"/>
              </w:rPr>
            </w:pPr>
            <w:r>
              <w:rPr>
                <w:rFonts w:ascii="Arial" w:cs="Arial" w:eastAsia="Arial" w:hAnsi="Arial"/>
                <w:sz w:val="14"/>
                <w:szCs w:val="14"/>
                <w:color w:val="auto"/>
              </w:rPr>
              <w:t>Commitments and Contingencies (Note 7)</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7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7000" w:type="dxa"/>
            <w:vAlign w:val="bottom"/>
          </w:tcPr>
          <w:p>
            <w:pPr>
              <w:spacing w:after="0" w:line="141" w:lineRule="exact"/>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0" w:type="dxa"/>
            <w:vAlign w:val="bottom"/>
            <w:shd w:val="clear" w:color="auto" w:fill="CCEEFF"/>
          </w:tcPr>
          <w:p>
            <w:pPr>
              <w:ind w:left="80"/>
              <w:spacing w:after="0" w:line="123" w:lineRule="exact"/>
              <w:rPr>
                <w:sz w:val="20"/>
                <w:szCs w:val="20"/>
                <w:color w:val="auto"/>
              </w:rPr>
            </w:pPr>
            <w:r>
              <w:rPr>
                <w:rFonts w:ascii="Arial" w:cs="Arial" w:eastAsia="Arial" w:hAnsi="Arial"/>
                <w:sz w:val="14"/>
                <w:szCs w:val="14"/>
                <w:color w:val="auto"/>
                <w:w w:val="89"/>
              </w:rPr>
              <w:t>Preferred stock: $0.001 par value, 10,000,000 shares authorized, and no shares issued or outstanding as of July 3, 2022 and</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January 2, 2022</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0" w:type="dxa"/>
            <w:vAlign w:val="bottom"/>
          </w:tcPr>
          <w:p>
            <w:pPr>
              <w:ind w:left="80"/>
              <w:spacing w:after="0" w:line="123" w:lineRule="exact"/>
              <w:rPr>
                <w:sz w:val="20"/>
                <w:szCs w:val="20"/>
                <w:color w:val="auto"/>
              </w:rPr>
            </w:pPr>
            <w:r>
              <w:rPr>
                <w:rFonts w:ascii="Arial" w:cs="Arial" w:eastAsia="Arial" w:hAnsi="Arial"/>
                <w:sz w:val="14"/>
                <w:szCs w:val="14"/>
                <w:color w:val="auto"/>
                <w:w w:val="94"/>
              </w:rPr>
              <w:t>Common stock: $0.001 par value, 250,000,000 shares authorized, and 38,931,050 and 38,421,124 shares issued and</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0" w:type="dxa"/>
            <w:vAlign w:val="bottom"/>
          </w:tcPr>
          <w:p>
            <w:pPr>
              <w:ind w:left="80"/>
              <w:spacing w:after="0" w:line="159" w:lineRule="exact"/>
              <w:rPr>
                <w:sz w:val="20"/>
                <w:szCs w:val="20"/>
                <w:color w:val="auto"/>
              </w:rPr>
            </w:pPr>
            <w:r>
              <w:rPr>
                <w:rFonts w:ascii="Arial" w:cs="Arial" w:eastAsia="Arial" w:hAnsi="Arial"/>
                <w:sz w:val="14"/>
                <w:szCs w:val="14"/>
                <w:color w:val="auto"/>
              </w:rPr>
              <w:t>outstanding as of July 3, 2022 and January 2, 2022, respectively</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231,940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222,080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0" w:type="dxa"/>
            <w:vAlign w:val="bottom"/>
          </w:tcPr>
          <w:p>
            <w:pPr>
              <w:ind w:left="80"/>
              <w:spacing w:after="0" w:line="141" w:lineRule="exact"/>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260"/>
              <w:spacing w:after="0" w:line="141" w:lineRule="exact"/>
              <w:rPr>
                <w:sz w:val="20"/>
                <w:szCs w:val="20"/>
                <w:color w:val="auto"/>
              </w:rPr>
            </w:pPr>
            <w:r>
              <w:rPr>
                <w:rFonts w:ascii="Arial" w:cs="Arial" w:eastAsia="Arial" w:hAnsi="Arial"/>
                <w:sz w:val="14"/>
                <w:szCs w:val="14"/>
                <w:color w:val="auto"/>
              </w:rPr>
              <w:t>(169,554)</w:t>
            </w:r>
          </w:p>
        </w:tc>
        <w:tc>
          <w:tcPr>
            <w:tcW w:w="20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(177,596)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tcBorders>
              <w:top w:val="single" w:sz="8" w:color="CCEEFF"/>
            </w:tcBorders>
            <w:shd w:val="clear" w:color="auto" w:fill="CCEEFF"/>
          </w:tcPr>
          <w:p>
            <w:pPr>
              <w:ind w:left="200"/>
              <w:spacing w:after="0" w:line="134"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62,425</w:t>
            </w: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44,522</w:t>
            </w:r>
          </w:p>
        </w:tc>
        <w:tc>
          <w:tcPr>
            <w:tcW w:w="0" w:type="dxa"/>
            <w:vAlign w:val="bottom"/>
          </w:tcPr>
          <w:p>
            <w:pPr>
              <w:spacing w:after="0"/>
              <w:rPr>
                <w:sz w:val="1"/>
                <w:szCs w:val="1"/>
                <w:color w:val="auto"/>
              </w:rPr>
            </w:pPr>
          </w:p>
        </w:tc>
      </w:tr>
      <w:tr>
        <w:trPr>
          <w:trHeight w:val="133"/>
        </w:trPr>
        <w:tc>
          <w:tcPr>
            <w:tcW w:w="7020" w:type="dxa"/>
            <w:vAlign w:val="bottom"/>
            <w:gridSpan w:val="2"/>
          </w:tcPr>
          <w:p>
            <w:pPr>
              <w:spacing w:after="0" w:line="134"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spacing w:after="0"/>
              <w:rPr>
                <w:sz w:val="11"/>
                <w:szCs w:val="11"/>
                <w:color w:val="auto"/>
              </w:rPr>
            </w:pPr>
          </w:p>
        </w:tc>
        <w:tc>
          <w:tcPr>
            <w:tcW w:w="260" w:type="dxa"/>
            <w:vAlign w:val="bottom"/>
            <w:tcBorders>
              <w:bottom w:val="single" w:sz="8" w:color="auto"/>
            </w:tcBorders>
          </w:tcPr>
          <w:p>
            <w:pPr>
              <w:jc w:val="right"/>
              <w:ind w:right="112"/>
              <w:spacing w:after="0" w:line="134"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172,049</w:t>
            </w:r>
          </w:p>
        </w:tc>
        <w:tc>
          <w:tcPr>
            <w:tcW w:w="260" w:type="dxa"/>
            <w:vAlign w:val="bottom"/>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113,776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LULU’S FASHION LOUNGE HOLDINGS, INC.</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Condensed Consolidated Statements of Operations and Comprehensive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6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3"/>
        </w:trPr>
        <w:tc>
          <w:tcPr>
            <w:tcW w:w="4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right"/>
              <w:ind w:right="560"/>
              <w:spacing w:after="0" w:line="113" w:lineRule="exact"/>
              <w:rPr>
                <w:sz w:val="20"/>
                <w:szCs w:val="20"/>
                <w:color w:val="auto"/>
              </w:rPr>
            </w:pPr>
            <w:r>
              <w:rPr>
                <w:rFonts w:ascii="Arial" w:cs="Arial" w:eastAsia="Arial" w:hAnsi="Arial"/>
                <w:sz w:val="12"/>
                <w:szCs w:val="12"/>
                <w:b w:val="1"/>
                <w:bCs w:val="1"/>
                <w:color w:val="auto"/>
              </w:rPr>
              <w:t>July 3,</w:t>
            </w: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317"/>
              <w:spacing w:after="0" w:line="113" w:lineRule="exact"/>
              <w:rPr>
                <w:sz w:val="20"/>
                <w:szCs w:val="20"/>
                <w:color w:val="auto"/>
              </w:rPr>
            </w:pPr>
            <w:r>
              <w:rPr>
                <w:rFonts w:ascii="Arial" w:cs="Arial" w:eastAsia="Arial" w:hAnsi="Arial"/>
                <w:sz w:val="12"/>
                <w:szCs w:val="12"/>
                <w:b w:val="1"/>
                <w:bCs w:val="1"/>
                <w:color w:val="auto"/>
              </w:rPr>
              <w:t>July 4,</w:t>
            </w: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ind w:left="180"/>
              <w:spacing w:after="0" w:line="113" w:lineRule="exact"/>
              <w:rPr>
                <w:sz w:val="20"/>
                <w:szCs w:val="20"/>
                <w:color w:val="auto"/>
              </w:rPr>
            </w:pPr>
            <w:r>
              <w:rPr>
                <w:rFonts w:ascii="Arial" w:cs="Arial" w:eastAsia="Arial" w:hAnsi="Arial"/>
                <w:sz w:val="12"/>
                <w:szCs w:val="12"/>
                <w:b w:val="1"/>
                <w:bCs w:val="1"/>
                <w:color w:val="auto"/>
              </w:rPr>
              <w:t>July 3,</w:t>
            </w: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317"/>
              <w:spacing w:after="0" w:line="113" w:lineRule="exact"/>
              <w:rPr>
                <w:sz w:val="20"/>
                <w:szCs w:val="20"/>
                <w:color w:val="auto"/>
              </w:rPr>
            </w:pPr>
            <w:r>
              <w:rPr>
                <w:rFonts w:ascii="Arial" w:cs="Arial" w:eastAsia="Arial" w:hAnsi="Arial"/>
                <w:sz w:val="12"/>
                <w:szCs w:val="12"/>
                <w:b w:val="1"/>
                <w:bCs w:val="1"/>
                <w:color w:val="auto"/>
              </w:rPr>
              <w:t>July 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131,512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103,574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243,414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71,345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52,154</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130,269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60,167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113,145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tcPr>
          <w:p>
            <w:pPr>
              <w:spacing w:after="0"/>
              <w:rPr>
                <w:sz w:val="20"/>
                <w:szCs w:val="20"/>
                <w:color w:val="auto"/>
              </w:rPr>
            </w:pPr>
            <w:r>
              <w:rPr>
                <w:rFonts w:ascii="Arial" w:cs="Arial" w:eastAsia="Arial" w:hAnsi="Arial"/>
                <w:sz w:val="17"/>
                <w:szCs w:val="17"/>
                <w:color w:val="auto"/>
              </w:rPr>
              <w:t>Selling and marketing expenses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25,851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15,064</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47,737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28,499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23,392</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21,151</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51,226</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from operations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15,205</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(157)</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(3,617)</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income, net</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other expense, net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tcPr>
          <w:p>
            <w:pPr>
              <w:spacing w:after="0"/>
              <w:rPr>
                <w:sz w:val="20"/>
                <w:szCs w:val="20"/>
                <w:color w:val="auto"/>
              </w:rPr>
            </w:pPr>
            <w:r>
              <w:rPr>
                <w:rFonts w:ascii="Arial" w:cs="Arial" w:eastAsia="Arial" w:hAnsi="Arial"/>
                <w:sz w:val="17"/>
                <w:szCs w:val="17"/>
                <w:color w:val="auto"/>
              </w:rPr>
              <w:t>Income tax provision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(4,795)</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(3,296)</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(5,856)</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and comprehensive income</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8,344</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tcPr>
          <w:p>
            <w:pPr>
              <w:spacing w:after="0"/>
              <w:rPr>
                <w:sz w:val="20"/>
                <w:szCs w:val="20"/>
                <w:color w:val="auto"/>
              </w:rPr>
            </w:pPr>
            <w:r>
              <w:rPr>
                <w:rFonts w:ascii="Arial" w:cs="Arial" w:eastAsia="Arial" w:hAnsi="Arial"/>
                <w:sz w:val="17"/>
                <w:szCs w:val="17"/>
                <w:color w:val="auto"/>
              </w:rPr>
              <w:t>Allocation of undistributed earnings to participating securities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(3,412)</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attributable to common stockholders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4,932</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7"/>
                <w:szCs w:val="17"/>
                <w:color w:val="auto"/>
              </w:rPr>
              <w:t>Net income per share attributable to common stockholders:</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Basic</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60"/>
              <w:spacing w:after="0"/>
              <w:rPr>
                <w:sz w:val="20"/>
                <w:szCs w:val="20"/>
                <w:color w:val="auto"/>
              </w:rPr>
            </w:pPr>
            <w:r>
              <w:rPr>
                <w:rFonts w:ascii="Arial" w:cs="Arial" w:eastAsia="Arial" w:hAnsi="Arial"/>
                <w:sz w:val="17"/>
                <w:szCs w:val="17"/>
                <w:color w:val="auto"/>
              </w:rPr>
              <w:t>Diluted</w:t>
            </w: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0.15</w:t>
            </w:r>
          </w:p>
        </w:tc>
        <w:tc>
          <w:tcPr>
            <w:tcW w:w="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0.28</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0.21</w:t>
            </w: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740" w:type="dxa"/>
            <w:vAlign w:val="bottom"/>
            <w:shd w:val="clear" w:color="auto" w:fill="CCEEFF"/>
          </w:tcPr>
          <w:p>
            <w:pPr>
              <w:spacing w:after="0" w:line="145" w:lineRule="exact"/>
              <w:rPr>
                <w:sz w:val="20"/>
                <w:szCs w:val="20"/>
                <w:color w:val="auto"/>
              </w:rPr>
            </w:pPr>
            <w:r>
              <w:rPr>
                <w:rFonts w:ascii="Arial" w:cs="Arial" w:eastAsia="Arial" w:hAnsi="Arial"/>
                <w:sz w:val="16"/>
                <w:szCs w:val="16"/>
                <w:color w:val="auto"/>
              </w:rPr>
              <w:t>Weighted average shares used to compute net income per share</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attributable to common stockholders: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Basic</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38,535,409</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17,462,283</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38,316,895</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17,462,283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Diluted</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38,992,901</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17,462,283</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38,555,919</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17,462,283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LULU’S FASHION LOUNGE HOLDINGS, INC.</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Condensed Consolidated Statements of Redeemable Preferred Stock, Convertible Preferred Stock and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Stockholders’ Equity (Deficit)</w:t>
      </w:r>
    </w:p>
    <w:p>
      <w:pPr>
        <w:jc w:val="center"/>
        <w:spacing w:after="0"/>
        <w:rPr>
          <w:sz w:val="20"/>
          <w:szCs w:val="20"/>
          <w:color w:val="auto"/>
        </w:rPr>
      </w:pPr>
      <w:r>
        <w:rPr>
          <w:rFonts w:ascii="Arial" w:cs="Arial" w:eastAsia="Arial" w:hAnsi="Arial"/>
          <w:sz w:val="20"/>
          <w:szCs w:val="20"/>
          <w:b w:val="1"/>
          <w:bCs w:val="1"/>
          <w:color w:val="auto"/>
        </w:rPr>
        <w:t>(in thousands, except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11"/>
          </w:tcPr>
          <w:p>
            <w:pPr>
              <w:jc w:val="right"/>
              <w:spacing w:after="0"/>
              <w:rPr>
                <w:sz w:val="20"/>
                <w:szCs w:val="20"/>
                <w:color w:val="auto"/>
              </w:rPr>
            </w:pPr>
            <w:r>
              <w:rPr>
                <w:rFonts w:ascii="Arial" w:cs="Arial" w:eastAsia="Arial" w:hAnsi="Arial"/>
                <w:sz w:val="12"/>
                <w:szCs w:val="12"/>
                <w:b w:val="1"/>
                <w:bCs w:val="1"/>
                <w:color w:val="auto"/>
                <w:w w:val="93"/>
              </w:rPr>
              <w:t>For the Six Months Ended July 3, 2022</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05"/>
        </w:trPr>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4"/>
          </w:tcPr>
          <w:p>
            <w:pPr>
              <w:jc w:val="center"/>
              <w:ind w:right="140"/>
              <w:spacing w:after="0" w:line="105" w:lineRule="exact"/>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200"/>
              <w:spacing w:after="0" w:line="105"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9"/>
                <w:szCs w:val="9"/>
                <w:color w:val="auto"/>
              </w:rPr>
            </w:pPr>
          </w:p>
        </w:tc>
      </w:tr>
      <w:tr>
        <w:trPr>
          <w:trHeight w:val="144"/>
        </w:trPr>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Redeemable Preferred Stock</w:t>
            </w:r>
          </w:p>
        </w:tc>
        <w:tc>
          <w:tcPr>
            <w:tcW w:w="1660" w:type="dxa"/>
            <w:vAlign w:val="bottom"/>
            <w:tcBorders>
              <w:right w:val="single" w:sz="8" w:color="auto"/>
            </w:tcBorders>
            <w:gridSpan w:val="9"/>
          </w:tcPr>
          <w:p>
            <w:pPr>
              <w:ind w:left="60"/>
              <w:spacing w:after="0"/>
              <w:rPr>
                <w:sz w:val="20"/>
                <w:szCs w:val="20"/>
                <w:color w:val="auto"/>
              </w:rPr>
            </w:pPr>
            <w:r>
              <w:rPr>
                <w:rFonts w:ascii="Arial" w:cs="Arial" w:eastAsia="Arial" w:hAnsi="Arial"/>
                <w:sz w:val="12"/>
                <w:szCs w:val="12"/>
                <w:b w:val="1"/>
                <w:bCs w:val="1"/>
                <w:color w:val="auto"/>
                <w:w w:val="98"/>
              </w:rPr>
              <w:t>Convertible Preferred Stock</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7"/>
          </w:tcPr>
          <w:p>
            <w:pPr>
              <w:jc w:val="right"/>
              <w:ind w:right="340"/>
              <w:spacing w:after="0"/>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2"/>
                <w:szCs w:val="12"/>
                <w:color w:val="auto"/>
              </w:rPr>
            </w:pPr>
          </w:p>
        </w:tc>
        <w:tc>
          <w:tcPr>
            <w:tcW w:w="760" w:type="dxa"/>
            <w:vAlign w:val="bottom"/>
            <w:gridSpan w:val="6"/>
          </w:tcPr>
          <w:p>
            <w:pPr>
              <w:ind w:left="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6"/>
              </w:rPr>
              <w:t>Stockholders'</w:t>
            </w:r>
          </w:p>
        </w:tc>
      </w:tr>
      <w:tr>
        <w:trPr>
          <w:trHeight w:val="121"/>
        </w:trPr>
        <w:tc>
          <w:tcPr>
            <w:tcW w:w="2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ind w:left="180"/>
              <w:spacing w:after="0" w:line="121" w:lineRule="exact"/>
              <w:rPr>
                <w:sz w:val="20"/>
                <w:szCs w:val="20"/>
                <w:color w:val="auto"/>
              </w:rPr>
            </w:pPr>
            <w:r>
              <w:rPr>
                <w:rFonts w:ascii="Arial" w:cs="Arial" w:eastAsia="Arial" w:hAnsi="Arial"/>
                <w:sz w:val="12"/>
                <w:szCs w:val="12"/>
                <w:b w:val="1"/>
                <w:bCs w:val="1"/>
                <w:color w:val="auto"/>
              </w:rPr>
              <w:t>Shares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60"/>
              <w:spacing w:after="0" w:line="121"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0"/>
              <w:spacing w:after="0" w:line="121"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140"/>
              <w:spacing w:after="0" w:line="121"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4"/>
          </w:tcPr>
          <w:p>
            <w:pPr>
              <w:jc w:val="center"/>
              <w:ind w:right="140"/>
              <w:spacing w:after="0" w:line="121" w:lineRule="exact"/>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98"/>
              </w:rPr>
              <w:t>Equity</w:t>
            </w:r>
          </w:p>
        </w:tc>
      </w:tr>
      <w:tr>
        <w:trPr>
          <w:trHeight w:val="121"/>
        </w:trPr>
        <w:tc>
          <w:tcPr>
            <w:tcW w:w="232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Balance as of January 2, 2022</w:t>
            </w: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gridSpan w:val="2"/>
            <w:shd w:val="clear" w:color="auto" w:fill="CCEEFF"/>
          </w:tcPr>
          <w:p>
            <w:pPr>
              <w:ind w:left="560"/>
              <w:spacing w:after="0" w:line="121"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w w:val="99"/>
              </w:rPr>
              <w:t>38,421,124</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92"/>
              </w:rPr>
              <w:t>222,080</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9"/>
              </w:rPr>
              <w:t>(177,596)</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44,522</w:t>
            </w:r>
          </w:p>
        </w:tc>
        <w:tc>
          <w:tcPr>
            <w:tcW w:w="20" w:type="dxa"/>
            <w:vAlign w:val="bottom"/>
          </w:tcPr>
          <w:p>
            <w:pPr>
              <w:spacing w:after="0"/>
              <w:rPr>
                <w:sz w:val="10"/>
                <w:szCs w:val="10"/>
                <w:color w:val="auto"/>
              </w:rPr>
            </w:pPr>
          </w:p>
        </w:tc>
      </w:tr>
      <w:tr>
        <w:trPr>
          <w:trHeight w:val="114"/>
        </w:trPr>
        <w:tc>
          <w:tcPr>
            <w:tcW w:w="2320" w:type="dxa"/>
            <w:vAlign w:val="bottom"/>
          </w:tcPr>
          <w:p>
            <w:pPr>
              <w:ind w:left="100"/>
              <w:spacing w:after="0" w:line="114" w:lineRule="exact"/>
              <w:rPr>
                <w:sz w:val="20"/>
                <w:szCs w:val="20"/>
                <w:color w:val="auto"/>
              </w:rPr>
            </w:pPr>
            <w:r>
              <w:rPr>
                <w:rFonts w:ascii="Arial" w:cs="Arial" w:eastAsia="Arial" w:hAnsi="Arial"/>
                <w:sz w:val="12"/>
                <w:szCs w:val="12"/>
                <w:color w:val="auto"/>
              </w:rPr>
              <w:t>Issuance of common stock for vesting of</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tcPr>
          <w:p>
            <w:pPr>
              <w:ind w:left="100"/>
              <w:spacing w:after="0"/>
              <w:rPr>
                <w:sz w:val="20"/>
                <w:szCs w:val="20"/>
                <w:color w:val="auto"/>
              </w:rPr>
            </w:pPr>
            <w:r>
              <w:rPr>
                <w:rFonts w:ascii="Arial" w:cs="Arial" w:eastAsia="Arial" w:hAnsi="Arial"/>
                <w:sz w:val="12"/>
                <w:szCs w:val="12"/>
                <w:color w:val="auto"/>
              </w:rPr>
              <w:t>restricted stock units (RSUs)</w:t>
            </w:r>
          </w:p>
        </w:tc>
        <w:tc>
          <w:tcPr>
            <w:tcW w:w="20" w:type="dxa"/>
            <w:vAlign w:val="bottom"/>
          </w:tcPr>
          <w:p>
            <w:pPr>
              <w:spacing w:after="0"/>
              <w:rPr>
                <w:sz w:val="12"/>
                <w:szCs w:val="12"/>
                <w:color w:val="auto"/>
              </w:rPr>
            </w:pPr>
          </w:p>
        </w:tc>
        <w:tc>
          <w:tcPr>
            <w:tcW w:w="72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300" w:type="dxa"/>
            <w:vAlign w:val="bottom"/>
            <w:gridSpan w:val="4"/>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228,387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14"/>
        </w:trPr>
        <w:tc>
          <w:tcPr>
            <w:tcW w:w="2320" w:type="dxa"/>
            <w:vAlign w:val="bottom"/>
            <w:shd w:val="clear" w:color="auto" w:fill="CCEEFF"/>
          </w:tcPr>
          <w:p>
            <w:pPr>
              <w:ind w:left="100"/>
              <w:spacing w:after="0" w:line="114" w:lineRule="exact"/>
              <w:rPr>
                <w:sz w:val="20"/>
                <w:szCs w:val="20"/>
                <w:color w:val="auto"/>
              </w:rPr>
            </w:pPr>
            <w:r>
              <w:rPr>
                <w:rFonts w:ascii="Arial" w:cs="Arial" w:eastAsia="Arial" w:hAnsi="Arial"/>
                <w:sz w:val="12"/>
                <w:szCs w:val="12"/>
                <w:color w:val="auto"/>
              </w:rPr>
              <w:t>Issuance of common stock for special</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compensation award</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208,914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14"/>
        </w:trPr>
        <w:tc>
          <w:tcPr>
            <w:tcW w:w="2320" w:type="dxa"/>
            <w:vAlign w:val="bottom"/>
          </w:tcPr>
          <w:p>
            <w:pPr>
              <w:ind w:left="100"/>
              <w:spacing w:after="0" w:line="114" w:lineRule="exact"/>
              <w:rPr>
                <w:sz w:val="20"/>
                <w:szCs w:val="20"/>
                <w:color w:val="auto"/>
              </w:rPr>
            </w:pPr>
            <w:r>
              <w:rPr>
                <w:rFonts w:ascii="Arial" w:cs="Arial" w:eastAsia="Arial" w:hAnsi="Arial"/>
                <w:sz w:val="12"/>
                <w:szCs w:val="12"/>
                <w:color w:val="auto"/>
              </w:rPr>
              <w:t>Shares withheld for withholding tax on</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tcPr>
          <w:p>
            <w:pPr>
              <w:ind w:left="100"/>
              <w:spacing w:after="0"/>
              <w:rPr>
                <w:sz w:val="20"/>
                <w:szCs w:val="20"/>
                <w:color w:val="auto"/>
              </w:rPr>
            </w:pPr>
            <w:r>
              <w:rPr>
                <w:rFonts w:ascii="Arial" w:cs="Arial" w:eastAsia="Arial" w:hAnsi="Arial"/>
                <w:sz w:val="12"/>
                <w:szCs w:val="12"/>
                <w:color w:val="auto"/>
              </w:rPr>
              <w:t>RSUs</w:t>
            </w:r>
          </w:p>
        </w:tc>
        <w:tc>
          <w:tcPr>
            <w:tcW w:w="20" w:type="dxa"/>
            <w:vAlign w:val="bottom"/>
          </w:tcPr>
          <w:p>
            <w:pPr>
              <w:spacing w:after="0"/>
              <w:rPr>
                <w:sz w:val="12"/>
                <w:szCs w:val="12"/>
                <w:color w:val="auto"/>
              </w:rPr>
            </w:pPr>
          </w:p>
        </w:tc>
        <w:tc>
          <w:tcPr>
            <w:tcW w:w="72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300" w:type="dxa"/>
            <w:vAlign w:val="bottom"/>
            <w:gridSpan w:val="4"/>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(28,295)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(265)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(265)</w:t>
            </w:r>
          </w:p>
        </w:tc>
      </w:tr>
      <w:tr>
        <w:trPr>
          <w:trHeight w:val="114"/>
        </w:trPr>
        <w:tc>
          <w:tcPr>
            <w:tcW w:w="2320" w:type="dxa"/>
            <w:vAlign w:val="bottom"/>
            <w:shd w:val="clear" w:color="auto" w:fill="CCEEFF"/>
          </w:tcPr>
          <w:p>
            <w:pPr>
              <w:ind w:left="100"/>
              <w:spacing w:after="0" w:line="114" w:lineRule="exact"/>
              <w:rPr>
                <w:sz w:val="20"/>
                <w:szCs w:val="20"/>
                <w:color w:val="auto"/>
              </w:rPr>
            </w:pPr>
            <w:r>
              <w:rPr>
                <w:rFonts w:ascii="Arial" w:cs="Arial" w:eastAsia="Arial" w:hAnsi="Arial"/>
                <w:sz w:val="12"/>
                <w:szCs w:val="12"/>
                <w:color w:val="auto"/>
              </w:rPr>
              <w:t>Offering costs related to Initial Public</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Offering</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2"/>
                <w:szCs w:val="12"/>
                <w:color w:val="auto"/>
              </w:rPr>
            </w:pPr>
          </w:p>
        </w:tc>
        <w:tc>
          <w:tcPr>
            <w:tcW w:w="3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20" w:type="dxa"/>
            <w:vAlign w:val="bottom"/>
          </w:tcPr>
          <w:p>
            <w:pPr>
              <w:spacing w:after="0"/>
              <w:rPr>
                <w:sz w:val="12"/>
                <w:szCs w:val="12"/>
                <w:color w:val="auto"/>
              </w:rPr>
            </w:pPr>
          </w:p>
        </w:tc>
      </w:tr>
      <w:tr>
        <w:trPr>
          <w:trHeight w:val="114"/>
        </w:trPr>
        <w:tc>
          <w:tcPr>
            <w:tcW w:w="2320" w:type="dxa"/>
            <w:vAlign w:val="bottom"/>
          </w:tcPr>
          <w:p>
            <w:pPr>
              <w:ind w:left="100"/>
              <w:spacing w:after="0" w:line="114" w:lineRule="exact"/>
              <w:rPr>
                <w:sz w:val="20"/>
                <w:szCs w:val="20"/>
                <w:color w:val="auto"/>
              </w:rPr>
            </w:pPr>
            <w:r>
              <w:rPr>
                <w:rFonts w:ascii="Arial" w:cs="Arial" w:eastAsia="Arial" w:hAnsi="Arial"/>
                <w:sz w:val="12"/>
                <w:szCs w:val="12"/>
                <w:color w:val="auto"/>
              </w:rPr>
              <w:t>Settlement of distributions payable to</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tcPr>
          <w:p>
            <w:pPr>
              <w:ind w:left="100"/>
              <w:spacing w:after="0"/>
              <w:rPr>
                <w:sz w:val="20"/>
                <w:szCs w:val="20"/>
                <w:color w:val="auto"/>
              </w:rPr>
            </w:pPr>
            <w:r>
              <w:rPr>
                <w:rFonts w:ascii="Arial" w:cs="Arial" w:eastAsia="Arial" w:hAnsi="Arial"/>
                <w:sz w:val="12"/>
                <w:szCs w:val="12"/>
                <w:color w:val="auto"/>
              </w:rPr>
              <w:t>former Class P unit holders</w:t>
            </w:r>
          </w:p>
        </w:tc>
        <w:tc>
          <w:tcPr>
            <w:tcW w:w="20" w:type="dxa"/>
            <w:vAlign w:val="bottom"/>
          </w:tcPr>
          <w:p>
            <w:pPr>
              <w:spacing w:after="0"/>
              <w:rPr>
                <w:sz w:val="12"/>
                <w:szCs w:val="12"/>
                <w:color w:val="auto"/>
              </w:rPr>
            </w:pPr>
          </w:p>
        </w:tc>
        <w:tc>
          <w:tcPr>
            <w:tcW w:w="72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300" w:type="dxa"/>
            <w:vAlign w:val="bottom"/>
            <w:gridSpan w:val="4"/>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2,648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2,648</w:t>
            </w:r>
          </w:p>
        </w:tc>
        <w:tc>
          <w:tcPr>
            <w:tcW w:w="20" w:type="dxa"/>
            <w:vAlign w:val="bottom"/>
          </w:tcPr>
          <w:p>
            <w:pPr>
              <w:spacing w:after="0"/>
              <w:rPr>
                <w:sz w:val="12"/>
                <w:szCs w:val="12"/>
                <w:color w:val="auto"/>
              </w:rPr>
            </w:pPr>
          </w:p>
        </w:tc>
      </w:tr>
      <w:tr>
        <w:trPr>
          <w:trHeight w:val="128"/>
        </w:trPr>
        <w:tc>
          <w:tcPr>
            <w:tcW w:w="23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Equity-based compensation expense</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560"/>
              <w:spacing w:after="0" w:line="12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30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5,126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5,126</w:t>
            </w:r>
          </w:p>
        </w:tc>
        <w:tc>
          <w:tcPr>
            <w:tcW w:w="20" w:type="dxa"/>
            <w:vAlign w:val="bottom"/>
          </w:tcPr>
          <w:p>
            <w:pPr>
              <w:spacing w:after="0"/>
              <w:rPr>
                <w:sz w:val="11"/>
                <w:szCs w:val="11"/>
                <w:color w:val="auto"/>
              </w:rPr>
            </w:pPr>
          </w:p>
        </w:tc>
      </w:tr>
      <w:tr>
        <w:trPr>
          <w:trHeight w:val="128"/>
        </w:trPr>
        <w:tc>
          <w:tcPr>
            <w:tcW w:w="2320" w:type="dxa"/>
            <w:vAlign w:val="bottom"/>
          </w:tcPr>
          <w:p>
            <w:pPr>
              <w:ind w:left="100"/>
              <w:spacing w:after="0" w:line="128" w:lineRule="exact"/>
              <w:rPr>
                <w:sz w:val="20"/>
                <w:szCs w:val="20"/>
                <w:color w:val="auto"/>
              </w:rPr>
            </w:pPr>
            <w:r>
              <w:rPr>
                <w:rFonts w:ascii="Arial" w:cs="Arial" w:eastAsia="Arial" w:hAnsi="Arial"/>
                <w:sz w:val="12"/>
                <w:szCs w:val="12"/>
                <w:color w:val="auto"/>
              </w:rPr>
              <w:t>Net income and comprehensive income</w:t>
            </w:r>
          </w:p>
        </w:tc>
        <w:tc>
          <w:tcPr>
            <w:tcW w:w="20" w:type="dxa"/>
            <w:vAlign w:val="bottom"/>
          </w:tcPr>
          <w:p>
            <w:pPr>
              <w:spacing w:after="0"/>
              <w:rPr>
                <w:sz w:val="11"/>
                <w:szCs w:val="11"/>
                <w:color w:val="auto"/>
              </w:rPr>
            </w:pPr>
          </w:p>
        </w:tc>
        <w:tc>
          <w:tcPr>
            <w:tcW w:w="720" w:type="dxa"/>
            <w:vAlign w:val="bottom"/>
            <w:gridSpan w:val="2"/>
          </w:tcPr>
          <w:p>
            <w:pPr>
              <w:ind w:left="560"/>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300" w:type="dxa"/>
            <w:vAlign w:val="bottom"/>
            <w:gridSpan w:val="4"/>
          </w:tcPr>
          <w:p>
            <w:pPr>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2,043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2,043</w:t>
            </w:r>
          </w:p>
        </w:tc>
        <w:tc>
          <w:tcPr>
            <w:tcW w:w="20" w:type="dxa"/>
            <w:vAlign w:val="bottom"/>
          </w:tcPr>
          <w:p>
            <w:pPr>
              <w:spacing w:after="0"/>
              <w:rPr>
                <w:sz w:val="11"/>
                <w:szCs w:val="11"/>
                <w:color w:val="auto"/>
              </w:rPr>
            </w:pPr>
          </w:p>
        </w:tc>
      </w:tr>
      <w:tr>
        <w:trPr>
          <w:trHeight w:val="121"/>
        </w:trPr>
        <w:tc>
          <w:tcPr>
            <w:tcW w:w="232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Balance as of April 3, 2022</w:t>
            </w: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gridSpan w:val="2"/>
            <w:shd w:val="clear" w:color="auto" w:fill="CCEEFF"/>
          </w:tcPr>
          <w:p>
            <w:pPr>
              <w:ind w:left="560"/>
              <w:spacing w:after="0" w:line="121"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w w:val="99"/>
              </w:rPr>
              <w:t>38,830,130</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92"/>
              </w:rPr>
              <w:t>229,298</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9"/>
              </w:rPr>
              <w:t>(175,553)</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53,784</w:t>
            </w:r>
          </w:p>
        </w:tc>
        <w:tc>
          <w:tcPr>
            <w:tcW w:w="20" w:type="dxa"/>
            <w:vAlign w:val="bottom"/>
          </w:tcPr>
          <w:p>
            <w:pPr>
              <w:spacing w:after="0"/>
              <w:rPr>
                <w:sz w:val="10"/>
                <w:szCs w:val="10"/>
                <w:color w:val="auto"/>
              </w:rPr>
            </w:pPr>
          </w:p>
        </w:tc>
      </w:tr>
      <w:tr>
        <w:trPr>
          <w:trHeight w:val="114"/>
        </w:trPr>
        <w:tc>
          <w:tcPr>
            <w:tcW w:w="2320" w:type="dxa"/>
            <w:vAlign w:val="bottom"/>
          </w:tcPr>
          <w:p>
            <w:pPr>
              <w:ind w:left="100"/>
              <w:spacing w:after="0" w:line="114" w:lineRule="exact"/>
              <w:rPr>
                <w:sz w:val="20"/>
                <w:szCs w:val="20"/>
                <w:color w:val="auto"/>
              </w:rPr>
            </w:pPr>
            <w:r>
              <w:rPr>
                <w:rFonts w:ascii="Arial" w:cs="Arial" w:eastAsia="Arial" w:hAnsi="Arial"/>
                <w:sz w:val="12"/>
                <w:szCs w:val="12"/>
                <w:color w:val="auto"/>
              </w:rPr>
              <w:t>Issuance of common stock for vesting of</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tcPr>
          <w:p>
            <w:pPr>
              <w:ind w:left="100"/>
              <w:spacing w:after="0"/>
              <w:rPr>
                <w:sz w:val="20"/>
                <w:szCs w:val="20"/>
                <w:color w:val="auto"/>
              </w:rPr>
            </w:pPr>
            <w:r>
              <w:rPr>
                <w:rFonts w:ascii="Arial" w:cs="Arial" w:eastAsia="Arial" w:hAnsi="Arial"/>
                <w:sz w:val="12"/>
                <w:szCs w:val="12"/>
                <w:color w:val="auto"/>
              </w:rPr>
              <w:t>RSUs</w:t>
            </w:r>
          </w:p>
        </w:tc>
        <w:tc>
          <w:tcPr>
            <w:tcW w:w="20" w:type="dxa"/>
            <w:vAlign w:val="bottom"/>
          </w:tcPr>
          <w:p>
            <w:pPr>
              <w:spacing w:after="0"/>
              <w:rPr>
                <w:sz w:val="12"/>
                <w:szCs w:val="12"/>
                <w:color w:val="auto"/>
              </w:rPr>
            </w:pPr>
          </w:p>
        </w:tc>
        <w:tc>
          <w:tcPr>
            <w:tcW w:w="72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300" w:type="dxa"/>
            <w:vAlign w:val="bottom"/>
            <w:gridSpan w:val="4"/>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196,808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14"/>
        </w:trPr>
        <w:tc>
          <w:tcPr>
            <w:tcW w:w="2320" w:type="dxa"/>
            <w:vAlign w:val="bottom"/>
            <w:shd w:val="clear" w:color="auto" w:fill="CCEEFF"/>
          </w:tcPr>
          <w:p>
            <w:pPr>
              <w:ind w:left="100"/>
              <w:spacing w:after="0" w:line="114" w:lineRule="exact"/>
              <w:rPr>
                <w:sz w:val="20"/>
                <w:szCs w:val="20"/>
                <w:color w:val="auto"/>
              </w:rPr>
            </w:pPr>
            <w:r>
              <w:rPr>
                <w:rFonts w:ascii="Arial" w:cs="Arial" w:eastAsia="Arial" w:hAnsi="Arial"/>
                <w:sz w:val="12"/>
                <w:szCs w:val="12"/>
                <w:color w:val="auto"/>
              </w:rPr>
              <w:t>Shares withheld for withholding tax on</w:t>
            </w: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RSUs</w:t>
            </w:r>
          </w:p>
        </w:tc>
        <w:tc>
          <w:tcPr>
            <w:tcW w:w="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2"/>
                <w:szCs w:val="12"/>
                <w:color w:val="auto"/>
              </w:rPr>
            </w:pPr>
          </w:p>
        </w:tc>
        <w:tc>
          <w:tcPr>
            <w:tcW w:w="3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(73,195)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w:t>
            </w:r>
          </w:p>
        </w:tc>
        <w:tc>
          <w:tcPr>
            <w:tcW w:w="20" w:type="dxa"/>
            <w:vAlign w:val="bottom"/>
          </w:tcPr>
          <w:p>
            <w:pPr>
              <w:spacing w:after="0"/>
              <w:rPr>
                <w:sz w:val="12"/>
                <w:szCs w:val="12"/>
                <w:color w:val="auto"/>
              </w:rPr>
            </w:pPr>
          </w:p>
        </w:tc>
      </w:tr>
      <w:tr>
        <w:trPr>
          <w:trHeight w:val="128"/>
        </w:trPr>
        <w:tc>
          <w:tcPr>
            <w:tcW w:w="2320" w:type="dxa"/>
            <w:vAlign w:val="bottom"/>
          </w:tcPr>
          <w:p>
            <w:pPr>
              <w:ind w:left="100"/>
              <w:spacing w:after="0" w:line="128" w:lineRule="exact"/>
              <w:rPr>
                <w:sz w:val="20"/>
                <w:szCs w:val="20"/>
                <w:color w:val="auto"/>
              </w:rPr>
            </w:pPr>
            <w:r>
              <w:rPr>
                <w:rFonts w:ascii="Arial" w:cs="Arial" w:eastAsia="Arial" w:hAnsi="Arial"/>
                <w:sz w:val="12"/>
                <w:szCs w:val="12"/>
                <w:color w:val="auto"/>
              </w:rPr>
              <w:t>Forfeited shares of restricted stock</w:t>
            </w:r>
          </w:p>
        </w:tc>
        <w:tc>
          <w:tcPr>
            <w:tcW w:w="20" w:type="dxa"/>
            <w:vAlign w:val="bottom"/>
          </w:tcPr>
          <w:p>
            <w:pPr>
              <w:spacing w:after="0"/>
              <w:rPr>
                <w:sz w:val="11"/>
                <w:szCs w:val="11"/>
                <w:color w:val="auto"/>
              </w:rPr>
            </w:pPr>
          </w:p>
        </w:tc>
        <w:tc>
          <w:tcPr>
            <w:tcW w:w="720" w:type="dxa"/>
            <w:vAlign w:val="bottom"/>
            <w:gridSpan w:val="2"/>
          </w:tcPr>
          <w:p>
            <w:pPr>
              <w:ind w:left="560"/>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300" w:type="dxa"/>
            <w:vAlign w:val="bottom"/>
            <w:gridSpan w:val="4"/>
          </w:tcPr>
          <w:p>
            <w:pPr>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(22,693)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8"/>
        </w:trPr>
        <w:tc>
          <w:tcPr>
            <w:tcW w:w="23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Equity-based compensation expense</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560"/>
              <w:spacing w:after="0" w:line="12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30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3,447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3,447</w:t>
            </w:r>
          </w:p>
        </w:tc>
        <w:tc>
          <w:tcPr>
            <w:tcW w:w="20" w:type="dxa"/>
            <w:vAlign w:val="bottom"/>
          </w:tcPr>
          <w:p>
            <w:pPr>
              <w:spacing w:after="0"/>
              <w:rPr>
                <w:sz w:val="11"/>
                <w:szCs w:val="11"/>
                <w:color w:val="auto"/>
              </w:rPr>
            </w:pPr>
          </w:p>
        </w:tc>
      </w:tr>
      <w:tr>
        <w:trPr>
          <w:trHeight w:val="128"/>
        </w:trPr>
        <w:tc>
          <w:tcPr>
            <w:tcW w:w="2320" w:type="dxa"/>
            <w:vAlign w:val="bottom"/>
          </w:tcPr>
          <w:p>
            <w:pPr>
              <w:ind w:left="100"/>
              <w:spacing w:after="0" w:line="128" w:lineRule="exact"/>
              <w:rPr>
                <w:sz w:val="20"/>
                <w:szCs w:val="20"/>
                <w:color w:val="auto"/>
              </w:rPr>
            </w:pPr>
            <w:r>
              <w:rPr>
                <w:rFonts w:ascii="Arial" w:cs="Arial" w:eastAsia="Arial" w:hAnsi="Arial"/>
                <w:sz w:val="12"/>
                <w:szCs w:val="12"/>
                <w:color w:val="auto"/>
              </w:rPr>
              <w:t>Net income and comprehensive income</w:t>
            </w:r>
          </w:p>
        </w:tc>
        <w:tc>
          <w:tcPr>
            <w:tcW w:w="20" w:type="dxa"/>
            <w:vAlign w:val="bottom"/>
          </w:tcPr>
          <w:p>
            <w:pPr>
              <w:spacing w:after="0"/>
              <w:rPr>
                <w:sz w:val="11"/>
                <w:szCs w:val="11"/>
                <w:color w:val="auto"/>
              </w:rPr>
            </w:pPr>
          </w:p>
        </w:tc>
        <w:tc>
          <w:tcPr>
            <w:tcW w:w="720" w:type="dxa"/>
            <w:vAlign w:val="bottom"/>
            <w:gridSpan w:val="2"/>
          </w:tcPr>
          <w:p>
            <w:pPr>
              <w:ind w:left="560"/>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300" w:type="dxa"/>
            <w:vAlign w:val="bottom"/>
            <w:gridSpan w:val="4"/>
          </w:tcPr>
          <w:p>
            <w:pPr>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5,999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5,999</w:t>
            </w:r>
          </w:p>
        </w:tc>
        <w:tc>
          <w:tcPr>
            <w:tcW w:w="20" w:type="dxa"/>
            <w:vAlign w:val="bottom"/>
          </w:tcPr>
          <w:p>
            <w:pPr>
              <w:spacing w:after="0"/>
              <w:rPr>
                <w:sz w:val="11"/>
                <w:szCs w:val="11"/>
                <w:color w:val="auto"/>
              </w:rPr>
            </w:pPr>
          </w:p>
        </w:tc>
      </w:tr>
      <w:tr>
        <w:trPr>
          <w:trHeight w:val="121"/>
        </w:trPr>
        <w:tc>
          <w:tcPr>
            <w:tcW w:w="232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Balance as of July 3, 2022</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gridSpan w:val="2"/>
            <w:shd w:val="clear" w:color="auto" w:fill="CCEEFF"/>
          </w:tcPr>
          <w:p>
            <w:pPr>
              <w:ind w:left="560"/>
              <w:spacing w:after="0" w:line="121"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gridSpan w:val="2"/>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w w:val="99"/>
              </w:rPr>
              <w:t>38,931,050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92"/>
              </w:rPr>
              <w:t>231,940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89"/>
              </w:rPr>
              <w:t>(169,554)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62,425</w:t>
            </w:r>
          </w:p>
        </w:tc>
        <w:tc>
          <w:tcPr>
            <w:tcW w:w="20" w:type="dxa"/>
            <w:vAlign w:val="bottom"/>
          </w:tcPr>
          <w:p>
            <w:pPr>
              <w:spacing w:after="0"/>
              <w:rPr>
                <w:sz w:val="10"/>
                <w:szCs w:val="10"/>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3"/>
          </w:tcPr>
          <w:p>
            <w:pPr>
              <w:jc w:val="right"/>
              <w:ind w:right="112"/>
              <w:spacing w:after="0"/>
              <w:rPr>
                <w:sz w:val="20"/>
                <w:szCs w:val="20"/>
                <w:color w:val="auto"/>
              </w:rPr>
            </w:pPr>
            <w:r>
              <w:rPr>
                <w:rFonts w:ascii="Arial" w:cs="Arial" w:eastAsia="Arial" w:hAnsi="Arial"/>
                <w:sz w:val="12"/>
                <w:szCs w:val="12"/>
                <w:b w:val="1"/>
                <w:bCs w:val="1"/>
                <w:color w:val="auto"/>
                <w:w w:val="93"/>
              </w:rPr>
              <w:t>For the Six Months Ended July 4, 2021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5"/>
          </w:tcPr>
          <w:p>
            <w:pPr>
              <w:jc w:val="center"/>
              <w:ind w:right="140"/>
              <w:spacing w:after="0" w:line="105" w:lineRule="exact"/>
              <w:rPr>
                <w:sz w:val="20"/>
                <w:szCs w:val="20"/>
                <w:color w:val="auto"/>
              </w:rPr>
            </w:pPr>
            <w:r>
              <w:rPr>
                <w:rFonts w:ascii="Arial" w:cs="Arial" w:eastAsia="Arial" w:hAnsi="Arial"/>
                <w:sz w:val="12"/>
                <w:szCs w:val="12"/>
                <w:b w:val="1"/>
                <w:bCs w:val="1"/>
                <w:color w:val="auto"/>
                <w:w w:val="91"/>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40"/>
              <w:spacing w:after="0" w:line="105"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9"/>
                <w:szCs w:val="9"/>
                <w:color w:val="auto"/>
              </w:rPr>
            </w:pPr>
          </w:p>
        </w:tc>
      </w:tr>
      <w:tr>
        <w:trPr>
          <w:trHeight w:val="144"/>
        </w:trPr>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Redeemable Preferred Stock</w:t>
            </w:r>
          </w:p>
        </w:tc>
        <w:tc>
          <w:tcPr>
            <w:tcW w:w="1660" w:type="dxa"/>
            <w:vAlign w:val="bottom"/>
            <w:tcBorders>
              <w:right w:val="single" w:sz="8" w:color="auto"/>
            </w:tcBorders>
            <w:gridSpan w:val="9"/>
          </w:tcPr>
          <w:p>
            <w:pPr>
              <w:ind w:left="40"/>
              <w:spacing w:after="0"/>
              <w:rPr>
                <w:sz w:val="20"/>
                <w:szCs w:val="20"/>
                <w:color w:val="auto"/>
              </w:rPr>
            </w:pPr>
            <w:r>
              <w:rPr>
                <w:rFonts w:ascii="Arial" w:cs="Arial" w:eastAsia="Arial" w:hAnsi="Arial"/>
                <w:sz w:val="12"/>
                <w:szCs w:val="12"/>
                <w:b w:val="1"/>
                <w:bCs w:val="1"/>
                <w:color w:val="auto"/>
                <w:w w:val="99"/>
              </w:rPr>
              <w:t>Convertible Preferred Stock</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8"/>
              </w:rPr>
              <w:t>Stockholders'</w:t>
            </w:r>
          </w:p>
        </w:tc>
      </w:tr>
      <w:tr>
        <w:trPr>
          <w:trHeight w:val="121"/>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2"/>
          </w:tcPr>
          <w:p>
            <w:pPr>
              <w:ind w:left="140"/>
              <w:spacing w:after="0" w:line="121" w:lineRule="exact"/>
              <w:rPr>
                <w:sz w:val="20"/>
                <w:szCs w:val="20"/>
                <w:color w:val="auto"/>
              </w:rPr>
            </w:pPr>
            <w:r>
              <w:rPr>
                <w:rFonts w:ascii="Arial" w:cs="Arial" w:eastAsia="Arial" w:hAnsi="Arial"/>
                <w:sz w:val="12"/>
                <w:szCs w:val="12"/>
                <w:b w:val="1"/>
                <w:bCs w:val="1"/>
                <w:color w:val="auto"/>
              </w:rPr>
              <w:t>Shares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20"/>
              <w:spacing w:after="0" w:line="121" w:lineRule="exact"/>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ind w:right="60"/>
              <w:spacing w:after="0" w:line="121"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ind w:left="60"/>
              <w:spacing w:after="0" w:line="121"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gridSpan w:val="3"/>
          </w:tcPr>
          <w:p>
            <w:pPr>
              <w:ind w:left="160"/>
              <w:spacing w:after="0" w:line="121" w:lineRule="exact"/>
              <w:rPr>
                <w:sz w:val="20"/>
                <w:szCs w:val="20"/>
                <w:color w:val="auto"/>
              </w:rPr>
            </w:pPr>
            <w:r>
              <w:rPr>
                <w:rFonts w:ascii="Arial" w:cs="Arial" w:eastAsia="Arial" w:hAnsi="Arial"/>
                <w:sz w:val="12"/>
                <w:szCs w:val="12"/>
                <w:b w:val="1"/>
                <w:bCs w:val="1"/>
                <w:color w:val="auto"/>
              </w:rPr>
              <w:t>Shares</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4"/>
          </w:tcPr>
          <w:p>
            <w:pPr>
              <w:jc w:val="right"/>
              <w:ind w:right="112"/>
              <w:spacing w:after="0" w:line="121" w:lineRule="exact"/>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left="40"/>
              <w:spacing w:after="0" w:line="121" w:lineRule="exact"/>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left="20"/>
              <w:spacing w:after="0" w:line="121" w:lineRule="exact"/>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92"/>
              </w:rPr>
              <w:t>Deficit</w:t>
            </w:r>
          </w:p>
        </w:tc>
      </w:tr>
      <w:tr>
        <w:trPr>
          <w:trHeight w:val="121"/>
        </w:trPr>
        <w:tc>
          <w:tcPr>
            <w:tcW w:w="232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Balance as of January 3, 2021</w:t>
            </w: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7,500,001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16,412</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3,129,634</w:t>
            </w: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117,038</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99"/>
              </w:rPr>
              <w:t>17,462,283</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w w:val="74"/>
              </w:rPr>
              <w:t>18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gridSpan w:val="4"/>
            <w:shd w:val="clear" w:color="auto" w:fill="CCEEFF"/>
          </w:tcPr>
          <w:p>
            <w:pPr>
              <w:jc w:val="right"/>
              <w:spacing w:after="0" w:line="121" w:lineRule="exact"/>
              <w:rPr>
                <w:sz w:val="20"/>
                <w:szCs w:val="20"/>
                <w:color w:val="auto"/>
              </w:rPr>
            </w:pPr>
            <w:r>
              <w:rPr>
                <w:rFonts w:ascii="Arial" w:cs="Arial" w:eastAsia="Arial" w:hAnsi="Arial"/>
                <w:sz w:val="12"/>
                <w:szCs w:val="12"/>
                <w:color w:val="auto"/>
              </w:rPr>
              <w:t>10,622</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4"/>
            <w:shd w:val="clear" w:color="auto" w:fill="CCEEFF"/>
          </w:tcPr>
          <w:p>
            <w:pPr>
              <w:jc w:val="right"/>
              <w:spacing w:after="0" w:line="121" w:lineRule="exact"/>
              <w:rPr>
                <w:sz w:val="20"/>
                <w:szCs w:val="20"/>
                <w:color w:val="auto"/>
              </w:rPr>
            </w:pPr>
            <w:r>
              <w:rPr>
                <w:rFonts w:ascii="Arial" w:cs="Arial" w:eastAsia="Arial" w:hAnsi="Arial"/>
                <w:sz w:val="12"/>
                <w:szCs w:val="12"/>
                <w:color w:val="auto"/>
              </w:rPr>
              <w:t>(179,641)</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(169,001)</w:t>
            </w:r>
          </w:p>
        </w:tc>
        <w:tc>
          <w:tcPr>
            <w:tcW w:w="20" w:type="dxa"/>
            <w:vAlign w:val="bottom"/>
          </w:tcPr>
          <w:p>
            <w:pPr>
              <w:spacing w:after="0"/>
              <w:rPr>
                <w:sz w:val="10"/>
                <w:szCs w:val="10"/>
                <w:color w:val="auto"/>
              </w:rPr>
            </w:pPr>
          </w:p>
        </w:tc>
      </w:tr>
      <w:tr>
        <w:trPr>
          <w:trHeight w:val="114"/>
        </w:trPr>
        <w:tc>
          <w:tcPr>
            <w:tcW w:w="2320" w:type="dxa"/>
            <w:vAlign w:val="bottom"/>
          </w:tcPr>
          <w:p>
            <w:pPr>
              <w:ind w:left="100"/>
              <w:spacing w:after="0" w:line="114" w:lineRule="exact"/>
              <w:rPr>
                <w:sz w:val="20"/>
                <w:szCs w:val="20"/>
                <w:color w:val="auto"/>
              </w:rPr>
            </w:pPr>
            <w:r>
              <w:rPr>
                <w:rFonts w:ascii="Arial" w:cs="Arial" w:eastAsia="Arial" w:hAnsi="Arial"/>
                <w:sz w:val="12"/>
                <w:szCs w:val="12"/>
                <w:color w:val="auto"/>
              </w:rPr>
              <w:t>Series B-1 redeemable preferred stock</w:t>
            </w: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320" w:type="dxa"/>
            <w:vAlign w:val="bottom"/>
          </w:tcPr>
          <w:p>
            <w:pPr>
              <w:ind w:left="100"/>
              <w:spacing w:after="0"/>
              <w:rPr>
                <w:sz w:val="20"/>
                <w:szCs w:val="20"/>
                <w:color w:val="auto"/>
              </w:rPr>
            </w:pPr>
            <w:r>
              <w:rPr>
                <w:rFonts w:ascii="Arial" w:cs="Arial" w:eastAsia="Arial" w:hAnsi="Arial"/>
                <w:sz w:val="12"/>
                <w:szCs w:val="12"/>
                <w:color w:val="auto"/>
              </w:rPr>
              <w:t>issuance, net of issuance costs of $23</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1,450,000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2,908</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28"/>
        </w:trPr>
        <w:tc>
          <w:tcPr>
            <w:tcW w:w="23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Equity-based compensation expense</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spacing w:after="0" w:line="128" w:lineRule="exact"/>
              <w:rPr>
                <w:sz w:val="20"/>
                <w:szCs w:val="20"/>
                <w:color w:val="auto"/>
              </w:rPr>
            </w:pPr>
            <w:r>
              <w:rPr>
                <w:rFonts w:ascii="Arial" w:cs="Arial" w:eastAsia="Arial" w:hAnsi="Arial"/>
                <w:sz w:val="12"/>
                <w:szCs w:val="12"/>
                <w:color w:val="auto"/>
              </w:rPr>
              <w:t>432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432</w:t>
            </w:r>
          </w:p>
        </w:tc>
        <w:tc>
          <w:tcPr>
            <w:tcW w:w="20" w:type="dxa"/>
            <w:vAlign w:val="bottom"/>
          </w:tcPr>
          <w:p>
            <w:pPr>
              <w:spacing w:after="0"/>
              <w:rPr>
                <w:sz w:val="11"/>
                <w:szCs w:val="11"/>
                <w:color w:val="auto"/>
              </w:rPr>
            </w:pPr>
          </w:p>
        </w:tc>
      </w:tr>
      <w:tr>
        <w:trPr>
          <w:trHeight w:val="128"/>
        </w:trPr>
        <w:tc>
          <w:tcPr>
            <w:tcW w:w="2320" w:type="dxa"/>
            <w:vAlign w:val="bottom"/>
          </w:tcPr>
          <w:p>
            <w:pPr>
              <w:ind w:left="100"/>
              <w:spacing w:after="0" w:line="128" w:lineRule="exact"/>
              <w:rPr>
                <w:sz w:val="20"/>
                <w:szCs w:val="20"/>
                <w:color w:val="auto"/>
              </w:rPr>
            </w:pPr>
            <w:r>
              <w:rPr>
                <w:rFonts w:ascii="Arial" w:cs="Arial" w:eastAsia="Arial" w:hAnsi="Arial"/>
                <w:sz w:val="12"/>
                <w:szCs w:val="12"/>
                <w:color w:val="auto"/>
              </w:rPr>
              <w:t>Net loss and comprehensive loss</w:t>
            </w:r>
          </w:p>
        </w:tc>
        <w:tc>
          <w:tcPr>
            <w:tcW w:w="20" w:type="dxa"/>
            <w:vAlign w:val="bottom"/>
          </w:tcPr>
          <w:p>
            <w:pPr>
              <w:spacing w:after="0"/>
              <w:rPr>
                <w:sz w:val="11"/>
                <w:szCs w:val="11"/>
                <w:color w:val="auto"/>
              </w:rPr>
            </w:pPr>
          </w:p>
        </w:tc>
        <w:tc>
          <w:tcPr>
            <w:tcW w:w="72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3"/>
          </w:tcPr>
          <w:p>
            <w:pPr>
              <w:jc w:val="right"/>
              <w:ind w:right="120"/>
              <w:spacing w:after="0" w:line="128" w:lineRule="exact"/>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right"/>
              <w:spacing w:after="0" w:line="128" w:lineRule="exact"/>
              <w:rPr>
                <w:sz w:val="20"/>
                <w:szCs w:val="20"/>
                <w:color w:val="auto"/>
              </w:rPr>
            </w:pPr>
            <w:r>
              <w:rPr>
                <w:rFonts w:ascii="Arial" w:cs="Arial" w:eastAsia="Arial" w:hAnsi="Arial"/>
                <w:sz w:val="12"/>
                <w:szCs w:val="12"/>
                <w:color w:val="auto"/>
              </w:rPr>
              <w:t>(1,375)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(1,375)</w:t>
            </w:r>
          </w:p>
        </w:tc>
        <w:tc>
          <w:tcPr>
            <w:tcW w:w="20" w:type="dxa"/>
            <w:vAlign w:val="bottom"/>
          </w:tcPr>
          <w:p>
            <w:pPr>
              <w:spacing w:after="0"/>
              <w:rPr>
                <w:sz w:val="11"/>
                <w:szCs w:val="11"/>
                <w:color w:val="auto"/>
              </w:rPr>
            </w:pPr>
          </w:p>
        </w:tc>
      </w:tr>
      <w:tr>
        <w:trPr>
          <w:trHeight w:val="121"/>
        </w:trPr>
        <w:tc>
          <w:tcPr>
            <w:tcW w:w="232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Balance as of April 4, 2021</w:t>
            </w: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8,950,001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19,320</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3,129,634</w:t>
            </w: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117,038</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99"/>
              </w:rPr>
              <w:t>17,462,283</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w w:val="74"/>
              </w:rPr>
              <w:t>18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4"/>
            <w:shd w:val="clear" w:color="auto" w:fill="CCEEFF"/>
          </w:tcPr>
          <w:p>
            <w:pPr>
              <w:jc w:val="right"/>
              <w:spacing w:after="0" w:line="121" w:lineRule="exact"/>
              <w:rPr>
                <w:sz w:val="20"/>
                <w:szCs w:val="20"/>
                <w:color w:val="auto"/>
              </w:rPr>
            </w:pPr>
            <w:r>
              <w:rPr>
                <w:rFonts w:ascii="Arial" w:cs="Arial" w:eastAsia="Arial" w:hAnsi="Arial"/>
                <w:sz w:val="12"/>
                <w:szCs w:val="12"/>
                <w:color w:val="auto"/>
              </w:rPr>
              <w:t>11,054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gridSpan w:val="4"/>
            <w:shd w:val="clear" w:color="auto" w:fill="CCEEFF"/>
          </w:tcPr>
          <w:p>
            <w:pPr>
              <w:jc w:val="right"/>
              <w:spacing w:after="0" w:line="121" w:lineRule="exact"/>
              <w:rPr>
                <w:sz w:val="20"/>
                <w:szCs w:val="20"/>
                <w:color w:val="auto"/>
              </w:rPr>
            </w:pPr>
            <w:r>
              <w:rPr>
                <w:rFonts w:ascii="Arial" w:cs="Arial" w:eastAsia="Arial" w:hAnsi="Arial"/>
                <w:sz w:val="12"/>
                <w:szCs w:val="12"/>
                <w:color w:val="auto"/>
              </w:rPr>
              <w:t>(181,016)</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(169,944)</w:t>
            </w:r>
          </w:p>
        </w:tc>
        <w:tc>
          <w:tcPr>
            <w:tcW w:w="20" w:type="dxa"/>
            <w:vAlign w:val="bottom"/>
          </w:tcPr>
          <w:p>
            <w:pPr>
              <w:spacing w:after="0"/>
              <w:rPr>
                <w:sz w:val="10"/>
                <w:szCs w:val="10"/>
                <w:color w:val="auto"/>
              </w:rPr>
            </w:pPr>
          </w:p>
        </w:tc>
      </w:tr>
      <w:tr>
        <w:trPr>
          <w:trHeight w:val="128"/>
        </w:trPr>
        <w:tc>
          <w:tcPr>
            <w:tcW w:w="2320" w:type="dxa"/>
            <w:vAlign w:val="bottom"/>
          </w:tcPr>
          <w:p>
            <w:pPr>
              <w:ind w:left="100"/>
              <w:spacing w:after="0" w:line="128" w:lineRule="exact"/>
              <w:rPr>
                <w:sz w:val="20"/>
                <w:szCs w:val="20"/>
                <w:color w:val="auto"/>
              </w:rPr>
            </w:pPr>
            <w:r>
              <w:rPr>
                <w:rFonts w:ascii="Arial" w:cs="Arial" w:eastAsia="Arial" w:hAnsi="Arial"/>
                <w:sz w:val="12"/>
                <w:szCs w:val="12"/>
                <w:color w:val="auto"/>
              </w:rPr>
              <w:t>Equity-based compensation expense</w:t>
            </w:r>
          </w:p>
        </w:tc>
        <w:tc>
          <w:tcPr>
            <w:tcW w:w="20" w:type="dxa"/>
            <w:vAlign w:val="bottom"/>
          </w:tcPr>
          <w:p>
            <w:pPr>
              <w:spacing w:after="0"/>
              <w:rPr>
                <w:sz w:val="11"/>
                <w:szCs w:val="11"/>
                <w:color w:val="auto"/>
              </w:rPr>
            </w:pPr>
          </w:p>
        </w:tc>
        <w:tc>
          <w:tcPr>
            <w:tcW w:w="72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jc w:val="right"/>
              <w:spacing w:after="0" w:line="128" w:lineRule="exact"/>
              <w:rPr>
                <w:sz w:val="20"/>
                <w:szCs w:val="20"/>
                <w:color w:val="auto"/>
              </w:rPr>
            </w:pPr>
            <w:r>
              <w:rPr>
                <w:rFonts w:ascii="Arial" w:cs="Arial" w:eastAsia="Arial" w:hAnsi="Arial"/>
                <w:sz w:val="12"/>
                <w:szCs w:val="12"/>
                <w:color w:val="auto"/>
              </w:rPr>
              <w:t>681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3"/>
          </w:tcPr>
          <w:p>
            <w:pPr>
              <w:jc w:val="right"/>
              <w:ind w:right="100"/>
              <w:spacing w:after="0" w:line="128" w:lineRule="exact"/>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681</w:t>
            </w:r>
          </w:p>
        </w:tc>
        <w:tc>
          <w:tcPr>
            <w:tcW w:w="20" w:type="dxa"/>
            <w:vAlign w:val="bottom"/>
          </w:tcPr>
          <w:p>
            <w:pPr>
              <w:spacing w:after="0"/>
              <w:rPr>
                <w:sz w:val="11"/>
                <w:szCs w:val="11"/>
                <w:color w:val="auto"/>
              </w:rPr>
            </w:pPr>
          </w:p>
        </w:tc>
      </w:tr>
      <w:tr>
        <w:trPr>
          <w:trHeight w:val="128"/>
        </w:trPr>
        <w:tc>
          <w:tcPr>
            <w:tcW w:w="23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Net income and comprehensive income</w:t>
            </w: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gridSpan w:val="3"/>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12"/>
              <w:spacing w:after="0" w:line="128" w:lineRule="exact"/>
              <w:rPr>
                <w:sz w:val="20"/>
                <w:szCs w:val="20"/>
                <w:color w:val="auto"/>
              </w:rPr>
            </w:pPr>
            <w:r>
              <w:rPr>
                <w:rFonts w:ascii="Arial" w:cs="Arial" w:eastAsia="Arial" w:hAnsi="Arial"/>
                <w:sz w:val="12"/>
                <w:szCs w:val="12"/>
                <w:color w:val="auto"/>
              </w:rPr>
              <w:t>8,344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8,344</w:t>
            </w:r>
          </w:p>
        </w:tc>
        <w:tc>
          <w:tcPr>
            <w:tcW w:w="20" w:type="dxa"/>
            <w:vAlign w:val="bottom"/>
          </w:tcPr>
          <w:p>
            <w:pPr>
              <w:spacing w:after="0"/>
              <w:rPr>
                <w:sz w:val="11"/>
                <w:szCs w:val="11"/>
                <w:color w:val="auto"/>
              </w:rPr>
            </w:pPr>
          </w:p>
        </w:tc>
      </w:tr>
      <w:tr>
        <w:trPr>
          <w:trHeight w:val="121"/>
        </w:trPr>
        <w:tc>
          <w:tcPr>
            <w:tcW w:w="2320" w:type="dxa"/>
            <w:vAlign w:val="bottom"/>
          </w:tcPr>
          <w:p>
            <w:pPr>
              <w:spacing w:after="0" w:line="121" w:lineRule="exact"/>
              <w:rPr>
                <w:sz w:val="20"/>
                <w:szCs w:val="20"/>
                <w:color w:val="auto"/>
              </w:rPr>
            </w:pPr>
            <w:r>
              <w:rPr>
                <w:rFonts w:ascii="Arial" w:cs="Arial" w:eastAsia="Arial" w:hAnsi="Arial"/>
                <w:sz w:val="12"/>
                <w:szCs w:val="12"/>
                <w:color w:val="auto"/>
              </w:rPr>
              <w:t>Balance as of July 4, 2021</w:t>
            </w:r>
          </w:p>
        </w:tc>
        <w:tc>
          <w:tcPr>
            <w:tcW w:w="2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8,950,001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19,320</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3,129,634</w:t>
            </w:r>
          </w:p>
        </w:tc>
        <w:tc>
          <w:tcPr>
            <w:tcW w:w="40" w:type="dxa"/>
            <w:vAlign w:val="bottom"/>
            <w:tcBorders>
              <w:top w:val="single" w:sz="8" w:color="auto"/>
            </w:tcBorders>
          </w:tcPr>
          <w:p>
            <w:pPr>
              <w:spacing w:after="0"/>
              <w:rPr>
                <w:sz w:val="10"/>
                <w:szCs w:val="10"/>
                <w:color w:val="auto"/>
              </w:rPr>
            </w:pPr>
          </w:p>
        </w:tc>
        <w:tc>
          <w:tcPr>
            <w:tcW w:w="140" w:type="dxa"/>
            <w:vAlign w:val="bottom"/>
            <w:gridSpan w:val="2"/>
          </w:tcPr>
          <w:p>
            <w:pPr>
              <w:spacing w:after="0"/>
              <w:rPr>
                <w:sz w:val="10"/>
                <w:szCs w:val="10"/>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117,038</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w w:val="99"/>
              </w:rPr>
              <w:t>17,462,283</w:t>
            </w: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line="121"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gridSpan w:val="2"/>
          </w:tcPr>
          <w:p>
            <w:pPr>
              <w:jc w:val="right"/>
              <w:spacing w:after="0" w:line="121" w:lineRule="exact"/>
              <w:rPr>
                <w:sz w:val="20"/>
                <w:szCs w:val="20"/>
                <w:color w:val="auto"/>
              </w:rPr>
            </w:pPr>
            <w:r>
              <w:rPr>
                <w:rFonts w:ascii="Arial" w:cs="Arial" w:eastAsia="Arial" w:hAnsi="Arial"/>
                <w:sz w:val="12"/>
                <w:szCs w:val="12"/>
                <w:color w:val="auto"/>
                <w:w w:val="74"/>
              </w:rPr>
              <w:t>18</w:t>
            </w: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gridSpan w:val="4"/>
          </w:tcPr>
          <w:p>
            <w:pPr>
              <w:jc w:val="right"/>
              <w:spacing w:after="0" w:line="121" w:lineRule="exact"/>
              <w:rPr>
                <w:sz w:val="20"/>
                <w:szCs w:val="20"/>
                <w:color w:val="auto"/>
              </w:rPr>
            </w:pPr>
            <w:r>
              <w:rPr>
                <w:rFonts w:ascii="Arial" w:cs="Arial" w:eastAsia="Arial" w:hAnsi="Arial"/>
                <w:sz w:val="12"/>
                <w:szCs w:val="12"/>
                <w:color w:val="auto"/>
              </w:rPr>
              <w:t>11,735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4"/>
          </w:tcPr>
          <w:p>
            <w:pPr>
              <w:jc w:val="right"/>
              <w:spacing w:after="0" w:line="121" w:lineRule="exact"/>
              <w:rPr>
                <w:sz w:val="20"/>
                <w:szCs w:val="20"/>
                <w:color w:val="auto"/>
              </w:rPr>
            </w:pPr>
            <w:r>
              <w:rPr>
                <w:rFonts w:ascii="Arial" w:cs="Arial" w:eastAsia="Arial" w:hAnsi="Arial"/>
                <w:sz w:val="12"/>
                <w:szCs w:val="12"/>
                <w:color w:val="auto"/>
              </w:rPr>
              <w:t>(172,672)</w:t>
            </w:r>
          </w:p>
        </w:tc>
        <w:tc>
          <w:tcPr>
            <w:tcW w:w="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80" w:type="dxa"/>
            <w:vAlign w:val="bottom"/>
            <w:tcBorders>
              <w:top w:val="single" w:sz="8" w:color="auto"/>
            </w:tcBorders>
          </w:tcPr>
          <w:p>
            <w:pPr>
              <w:jc w:val="right"/>
              <w:ind w:right="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(160,919)</w:t>
            </w:r>
          </w:p>
        </w:tc>
        <w:tc>
          <w:tcPr>
            <w:tcW w:w="20" w:type="dxa"/>
            <w:vAlign w:val="bottom"/>
          </w:tcPr>
          <w:p>
            <w:pPr>
              <w:spacing w:after="0"/>
              <w:rPr>
                <w:sz w:val="10"/>
                <w:szCs w:val="10"/>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LULU’S FASHION LOUNGE HOLDINGS, INC.</w:t>
      </w:r>
    </w:p>
    <w:p>
      <w:pPr>
        <w:spacing w:after="0" w:line="205"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ind w:left="160"/>
              <w:spacing w:after="0" w:line="113" w:lineRule="exact"/>
              <w:rPr>
                <w:sz w:val="20"/>
                <w:szCs w:val="20"/>
                <w:color w:val="auto"/>
              </w:rPr>
            </w:pPr>
            <w:r>
              <w:rPr>
                <w:rFonts w:ascii="Arial" w:cs="Arial" w:eastAsia="Arial" w:hAnsi="Arial"/>
                <w:sz w:val="12"/>
                <w:szCs w:val="12"/>
                <w:b w:val="1"/>
                <w:bCs w:val="1"/>
                <w:color w:val="auto"/>
              </w:rPr>
              <w:t>July 3,</w:t>
            </w:r>
          </w:p>
        </w:tc>
        <w:tc>
          <w:tcPr>
            <w:tcW w:w="2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324"/>
              <w:spacing w:after="0" w:line="113" w:lineRule="exact"/>
              <w:rPr>
                <w:sz w:val="20"/>
                <w:szCs w:val="20"/>
                <w:color w:val="auto"/>
              </w:rPr>
            </w:pPr>
            <w:r>
              <w:rPr>
                <w:rFonts w:ascii="Arial" w:cs="Arial" w:eastAsia="Arial" w:hAnsi="Arial"/>
                <w:sz w:val="12"/>
                <w:szCs w:val="12"/>
                <w:b w:val="1"/>
                <w:bCs w:val="1"/>
                <w:color w:val="auto"/>
              </w:rPr>
              <w:t>July 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8,042</w:t>
            </w:r>
          </w:p>
        </w:tc>
        <w:tc>
          <w:tcPr>
            <w:tcW w:w="220" w:type="dxa"/>
            <w:vAlign w:val="bottom"/>
          </w:tcPr>
          <w:p>
            <w:pPr>
              <w:spacing w:after="0"/>
              <w:rPr>
                <w:sz w:val="16"/>
                <w:szCs w:val="16"/>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6,969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8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1,850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Noncash lease expense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80"/>
              <w:spacing w:after="0"/>
              <w:rPr>
                <w:sz w:val="20"/>
                <w:szCs w:val="20"/>
                <w:color w:val="auto"/>
              </w:rPr>
            </w:pPr>
            <w:r>
              <w:rPr>
                <w:rFonts w:ascii="Arial" w:cs="Arial" w:eastAsia="Arial" w:hAnsi="Arial"/>
                <w:sz w:val="15"/>
                <w:szCs w:val="15"/>
                <w:color w:val="auto"/>
              </w:rPr>
              <w:t>Amortization of debt discount and debt issuance costs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Interest expense capitalized to principal of long-term debt and revolving line of credit</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80"/>
              <w:spacing w:after="0"/>
              <w:rPr>
                <w:sz w:val="20"/>
                <w:szCs w:val="20"/>
                <w:color w:val="auto"/>
              </w:rPr>
            </w:pPr>
            <w:r>
              <w:rPr>
                <w:rFonts w:ascii="Arial" w:cs="Arial" w:eastAsia="Arial" w:hAnsi="Arial"/>
                <w:sz w:val="15"/>
                <w:szCs w:val="15"/>
                <w:color w:val="auto"/>
              </w:rPr>
              <w:t>Equity-based compensation expense</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8,591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Deferred income taxes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(1,298)</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80"/>
              <w:spacing w:after="0"/>
              <w:rPr>
                <w:sz w:val="20"/>
                <w:szCs w:val="20"/>
                <w:color w:val="auto"/>
              </w:rPr>
            </w:pPr>
            <w:r>
              <w:rPr>
                <w:rFonts w:ascii="Arial" w:cs="Arial" w:eastAsia="Arial" w:hAnsi="Arial"/>
                <w:sz w:val="15"/>
                <w:szCs w:val="15"/>
                <w:color w:val="auto"/>
              </w:rPr>
              <w:t>Loss on disposal of property and equipment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2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(858)</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Inventories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(26,399)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Assets for recovery</w:t>
            </w:r>
          </w:p>
        </w:tc>
        <w:tc>
          <w:tcPr>
            <w:tcW w:w="2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(1,637)</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Income taxes (receivable) payable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Prepaid and other current assets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14,730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18,449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(1,038)</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Other noncurrent liabilities</w:t>
            </w:r>
          </w:p>
        </w:tc>
        <w:tc>
          <w:tcPr>
            <w:tcW w:w="2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(454)</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10,588</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34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Capitalized software development costs</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(1,247)</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(1,394)</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(97)</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5"/>
                <w:szCs w:val="15"/>
                <w:b w:val="1"/>
                <w:bCs w:val="1"/>
                <w:color w:val="auto"/>
              </w:rPr>
              <w:t>Net cash used in investing activities</w:t>
            </w: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(2,738)</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Proceeds from borrowings on revolving line of credit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Repayments on revolving line of credit</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(20,000)</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Repayment of long-term debt</w:t>
            </w:r>
          </w:p>
        </w:tc>
        <w:tc>
          <w:tcPr>
            <w:tcW w:w="24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Payment of debt issuance costs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Proceeds from the issuance of redeemable preferred stock, net of issuance costs</w:t>
            </w:r>
          </w:p>
        </w:tc>
        <w:tc>
          <w:tcPr>
            <w:tcW w:w="24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Principal payments on finance lease obligations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Payment of offering costs related to Initial Public Offering</w:t>
            </w:r>
          </w:p>
        </w:tc>
        <w:tc>
          <w:tcPr>
            <w:tcW w:w="2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(542)</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5"/>
                <w:szCs w:val="15"/>
                <w:b w:val="1"/>
                <w:bCs w:val="1"/>
                <w:color w:val="auto"/>
              </w:rPr>
              <w:t>Net cash used in financing activities</w:t>
            </w: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(10,909)</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11,908</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end of period</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Reconciliation of cash, cash equivalents and restricted cash</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8,343</w:t>
            </w:r>
          </w:p>
        </w:tc>
        <w:tc>
          <w:tcPr>
            <w:tcW w:w="220" w:type="dxa"/>
            <w:vAlign w:val="bottom"/>
          </w:tcPr>
          <w:p>
            <w:pPr>
              <w:spacing w:after="0"/>
              <w:rPr>
                <w:sz w:val="16"/>
                <w:szCs w:val="16"/>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32,135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Restricted cash</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40" w:type="dxa"/>
            <w:vAlign w:val="bottom"/>
            <w:gridSpan w:val="2"/>
          </w:tcPr>
          <w:p>
            <w:pPr>
              <w:spacing w:after="0"/>
              <w:rPr>
                <w:sz w:val="20"/>
                <w:szCs w:val="20"/>
                <w:color w:val="auto"/>
              </w:rPr>
            </w:pPr>
            <w:r>
              <w:rPr>
                <w:rFonts w:ascii="Arial" w:cs="Arial" w:eastAsia="Arial" w:hAnsi="Arial"/>
                <w:sz w:val="15"/>
                <w:szCs w:val="15"/>
                <w:color w:val="auto"/>
              </w:rPr>
              <w:t>Total cash, cash equivalents and restricted cash at end of period</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912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LULU’S FASHION LOUNGE HOLDINGS, INC.</w:t>
      </w:r>
    </w:p>
    <w:p>
      <w:pPr>
        <w:spacing w:after="0" w:line="22"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Condensed Consolidated Statements of Cash Flows</w:t>
      </w:r>
    </w:p>
    <w:p>
      <w:pPr>
        <w:jc w:val="center"/>
        <w:spacing w:after="0"/>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68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60"/>
              <w:spacing w:after="0" w:line="141"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2"/>
                <w:szCs w:val="12"/>
                <w:color w:val="auto"/>
              </w:rPr>
            </w:pPr>
          </w:p>
        </w:tc>
        <w:tc>
          <w:tcPr>
            <w:tcW w:w="960" w:type="dxa"/>
            <w:vAlign w:val="bottom"/>
          </w:tcPr>
          <w:p>
            <w:pPr>
              <w:jc w:val="right"/>
              <w:ind w:right="324"/>
              <w:spacing w:after="0" w:line="141" w:lineRule="exact"/>
              <w:rPr>
                <w:sz w:val="20"/>
                <w:szCs w:val="20"/>
                <w:color w:val="auto"/>
              </w:rPr>
            </w:pPr>
            <w:r>
              <w:rPr>
                <w:rFonts w:ascii="Arial" w:cs="Arial" w:eastAsia="Arial" w:hAnsi="Arial"/>
                <w:sz w:val="14"/>
                <w:szCs w:val="14"/>
                <w:b w:val="1"/>
                <w:bCs w:val="1"/>
                <w:color w:val="auto"/>
              </w:rPr>
              <w:t>July 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Cash paid (refunded) for income taxes, net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4,309</w:t>
            </w:r>
          </w:p>
        </w:tc>
        <w:tc>
          <w:tcPr>
            <w:tcW w:w="220" w:type="dxa"/>
            <w:vAlign w:val="bottom"/>
          </w:tcPr>
          <w:p>
            <w:pPr>
              <w:spacing w:after="0"/>
              <w:rPr>
                <w:sz w:val="16"/>
                <w:szCs w:val="16"/>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interest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Addition of right-of-use assets, including prepaid rent, net of deferred rent recorded upon adoption of ASC 842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28,018</w:t>
            </w:r>
          </w:p>
        </w:tc>
        <w:tc>
          <w:tcPr>
            <w:tcW w:w="220" w:type="dxa"/>
            <w:vAlign w:val="bottom"/>
          </w:tcPr>
          <w:p>
            <w:pPr>
              <w:spacing w:after="0"/>
              <w:rPr>
                <w:sz w:val="16"/>
                <w:szCs w:val="16"/>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Addition of lease liabilities recorded upon adoption of ASC 842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28,599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Right-of-use assets acquired under operating lease obligations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1,839</w:t>
            </w:r>
          </w:p>
        </w:tc>
        <w:tc>
          <w:tcPr>
            <w:tcW w:w="220" w:type="dxa"/>
            <w:vAlign w:val="bottom"/>
          </w:tcPr>
          <w:p>
            <w:pPr>
              <w:spacing w:after="0"/>
              <w:rPr>
                <w:sz w:val="16"/>
                <w:szCs w:val="16"/>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Assets acquired under finance lease obligations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Purchases of property and equipment included in accounts payable and accrued expenses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188</w:t>
            </w:r>
          </w:p>
        </w:tc>
        <w:tc>
          <w:tcPr>
            <w:tcW w:w="220" w:type="dxa"/>
            <w:vAlign w:val="bottom"/>
          </w:tcPr>
          <w:p>
            <w:pPr>
              <w:spacing w:after="0"/>
              <w:rPr>
                <w:sz w:val="16"/>
                <w:szCs w:val="16"/>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Shares withheld for withholding tax on restricted stock units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Offering costs included in accrued expenses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290</w:t>
            </w:r>
          </w:p>
        </w:tc>
        <w:tc>
          <w:tcPr>
            <w:tcW w:w="220" w:type="dxa"/>
            <w:vAlign w:val="bottom"/>
          </w:tcPr>
          <w:p>
            <w:pPr>
              <w:spacing w:after="0"/>
              <w:rPr>
                <w:sz w:val="16"/>
                <w:szCs w:val="16"/>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Debt issuance costs included in accrued expenses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Paid-in-kind interest added to principal balance of long-term debt and revolving line of credit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Deferred offering costs in 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(Concluded)</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629475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498" w:right="999" w:bottom="1440" w:gutter="0" w:footer="0" w:header="0"/>
        </w:sectPr>
      </w:pPr>
    </w:p>
    <w:bookmarkStart w:id="9" w:name="page10"/>
    <w:bookmarkEnd w:id="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2" w:lineRule="exact"/>
        <w:rPr>
          <w:sz w:val="20"/>
          <w:szCs w:val="20"/>
          <w:color w:val="auto"/>
        </w:rPr>
      </w:pPr>
    </w:p>
    <w:p>
      <w:pPr>
        <w:ind w:left="660" w:hanging="614"/>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Organization and Liquidity</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Organization and Business</w:t>
      </w:r>
    </w:p>
    <w:p>
      <w:pPr>
        <w:spacing w:after="0" w:line="21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Pursuant to a reorganization, Lulu’s Fashion Lounge Holdings, Inc., a Delaware Corporation (“Lulus”, or the “Company”), was formed on August 25, 2017 as a holding company and its primary asset is an indirect membership interest in Lulu’s Fashion Lounge, LLC (“Lulus LLC”). Prior to the sale of the Company’s Series A convertible preferred stock in April 2018, the Company was wholly-owned by Lulu’s Holdings, L.P. (the “LP”). Prior to the Company’s initial public offering in November 2021, the Company was majority-owned by the LP.</w:t>
      </w:r>
    </w:p>
    <w:p>
      <w:pPr>
        <w:spacing w:after="0" w:line="181"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an online retailer of women’s clothing, shoes and accessories headquartered in Chico, CA.</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14" w:lineRule="exact"/>
        <w:rPr>
          <w:sz w:val="20"/>
          <w:szCs w:val="20"/>
          <w:color w:val="auto"/>
        </w:rPr>
      </w:pPr>
    </w:p>
    <w:p>
      <w:pPr>
        <w:jc w:val="both"/>
        <w:ind w:left="40" w:right="59" w:firstLine="307"/>
        <w:spacing w:after="0" w:line="271" w:lineRule="auto"/>
        <w:rPr>
          <w:sz w:val="20"/>
          <w:szCs w:val="20"/>
          <w:color w:val="auto"/>
        </w:rPr>
      </w:pPr>
      <w:r>
        <w:rPr>
          <w:rFonts w:ascii="Arial" w:cs="Arial" w:eastAsia="Arial" w:hAnsi="Arial"/>
          <w:sz w:val="16"/>
          <w:szCs w:val="16"/>
          <w:color w:val="auto"/>
        </w:rPr>
        <w:t>On November 10, 2021, the Company’s registration statement on Form S-1 relating to its initial public offering (“IPO”) was declared effective by the Securities and Exchange Commission (“SEC”) and the shares of its common stock began trading on the Nasdaq Global Market on November 11, 2021. The IPO closed on November 15, 2021, pursuant to which the Company issued and sold 5,750,000 shares of its common stock at a public offering price of $16.00 per share. On November 15, 2021, the Company received net proceeds of approximately $82.0 million from the IPO, after deducting underwriting discounts and commissions of approximately $6.1 million and other issuance costs of approximately $3.9 million.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14" w:lineRule="exact"/>
        <w:rPr>
          <w:sz w:val="20"/>
          <w:szCs w:val="20"/>
          <w:color w:val="auto"/>
        </w:rPr>
      </w:pPr>
    </w:p>
    <w:p>
      <w:pPr>
        <w:jc w:val="both"/>
        <w:ind w:left="40" w:right="59" w:firstLine="307"/>
        <w:spacing w:after="0" w:line="304" w:lineRule="auto"/>
        <w:rPr>
          <w:sz w:val="20"/>
          <w:szCs w:val="20"/>
          <w:color w:val="auto"/>
        </w:rPr>
      </w:pPr>
      <w:r>
        <w:rPr>
          <w:rFonts w:ascii="Arial" w:cs="Arial" w:eastAsia="Arial" w:hAnsi="Arial"/>
          <w:sz w:val="15"/>
          <w:szCs w:val="15"/>
          <w:color w:val="auto"/>
        </w:rPr>
        <w:t>The COVID-19 pandemic has had a material impact on the global fashion apparel, accessories and footwear industry as a significant portion of in-person social, professional, and formal events were postponed or cancelled in 2020. The Company’s business has rebounded from the initial impact of the pandemic on consumer behavior. During the three and six months ended July 3, 2022, the Company’s net revenue grew by 27% and 41%, respectively, compared to the same period of the prior year.</w:t>
      </w:r>
    </w:p>
    <w:p>
      <w:pPr>
        <w:spacing w:after="0" w:line="149"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The Company expects the effects of the COVID-19 pandemic and related macro-economic trends, such as inflation, supply chain pressures, shipping costs and the emergence of new variants of COVID-19, to have a continued impact on its business, results of operations, its growth and financial condition during fiscal 2022. The Company continues to take actions to adjust to the changing COVID-19 business environment and related inflationary and supply chain pressures, including placing orders earlier than pre-pandemic times, leveraging our “test, learn and reorder” approach to test small order quantities and then graduate successful styles to its re-order algorithms and diversifying our supply chain network to mitigate rising costs and service delays. Although the Company continues to face a challenging environment due to the COVID-19 pandemic and related macro-economic trends, it has successfully been able to, and plans to continue to take such proactive measures to mitigate the impact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2" w:lineRule="exact"/>
        <w:rPr>
          <w:sz w:val="20"/>
          <w:szCs w:val="20"/>
          <w:color w:val="auto"/>
        </w:rPr>
      </w:pPr>
    </w:p>
    <w:p>
      <w:pPr>
        <w:ind w:left="660" w:hanging="614"/>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of Presentation and Fiscal Year</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Company’s fiscal year consists of a 52-week or 53-week period ending on the Sunday nearest December 31.</w:t>
      </w:r>
    </w:p>
    <w:p>
      <w:pPr>
        <w:spacing w:after="0" w:line="214" w:lineRule="exact"/>
        <w:rPr>
          <w:sz w:val="20"/>
          <w:szCs w:val="20"/>
          <w:color w:val="auto"/>
        </w:rPr>
      </w:pPr>
    </w:p>
    <w:p>
      <w:pPr>
        <w:jc w:val="both"/>
        <w:ind w:left="40" w:right="59" w:firstLine="307"/>
        <w:spacing w:after="0" w:line="290" w:lineRule="auto"/>
        <w:rPr>
          <w:sz w:val="20"/>
          <w:szCs w:val="20"/>
          <w:color w:val="auto"/>
        </w:rPr>
      </w:pPr>
      <w:r>
        <w:rPr>
          <w:rFonts w:ascii="Arial" w:cs="Arial" w:eastAsia="Arial" w:hAnsi="Arial"/>
          <w:sz w:val="15"/>
          <w:szCs w:val="15"/>
          <w:color w:val="auto"/>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July 3, 2022 and its results of operations and cash flows for the three and six months ended July 3, 2022 and July 4, 2021. The results of operations for the six months ended July 3, 2022 are not necessarily indicative of the results to be expected for the fiscal year ending January 1, 2023 or for any other future annual or interim period.</w:t>
      </w:r>
    </w:p>
    <w:p>
      <w:pPr>
        <w:spacing w:after="0" w:line="163" w:lineRule="exact"/>
        <w:rPr>
          <w:sz w:val="20"/>
          <w:szCs w:val="20"/>
          <w:color w:val="auto"/>
        </w:rPr>
      </w:pPr>
    </w:p>
    <w:p>
      <w:pPr>
        <w:jc w:val="both"/>
        <w:ind w:left="40" w:right="59" w:firstLine="307"/>
        <w:spacing w:after="0" w:line="308" w:lineRule="auto"/>
        <w:rPr>
          <w:sz w:val="20"/>
          <w:szCs w:val="20"/>
          <w:color w:val="auto"/>
        </w:rPr>
      </w:pPr>
      <w:r>
        <w:rPr>
          <w:rFonts w:ascii="Arial" w:cs="Arial" w:eastAsia="Arial" w:hAnsi="Arial"/>
          <w:sz w:val="16"/>
          <w:szCs w:val="16"/>
          <w:color w:val="auto"/>
        </w:rPr>
        <w:t>The condensed consolidated balance sheet as of January 2, 2022 was derived from the Company’s audited consolidated financial statements, which are included in the Company’s Annual Report on Form 10-K filed with the SEC.</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January 2, 2022, except as noted below and within the "Adopted and Recently Issued Accounting Pronouncements" section.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4" w:lineRule="exact"/>
        <w:rPr>
          <w:sz w:val="20"/>
          <w:szCs w:val="20"/>
          <w:color w:val="auto"/>
        </w:rPr>
      </w:pPr>
    </w:p>
    <w:p>
      <w:pPr>
        <w:jc w:val="both"/>
        <w:ind w:left="40" w:right="59" w:firstLine="307"/>
        <w:spacing w:after="0" w:line="291" w:lineRule="auto"/>
        <w:rPr>
          <w:sz w:val="20"/>
          <w:szCs w:val="20"/>
          <w:color w:val="auto"/>
        </w:rPr>
      </w:pPr>
      <w:r>
        <w:rPr>
          <w:rFonts w:ascii="Arial" w:cs="Arial" w:eastAsia="Arial" w:hAnsi="Arial"/>
          <w:sz w:val="15"/>
          <w:szCs w:val="15"/>
          <w:color w:val="auto"/>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and income tax valuation allowance.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Concentration of Credit Risks</w:t>
      </w:r>
    </w:p>
    <w:p>
      <w:pPr>
        <w:spacing w:after="0" w:line="214" w:lineRule="exact"/>
        <w:rPr>
          <w:sz w:val="20"/>
          <w:szCs w:val="20"/>
          <w:color w:val="auto"/>
        </w:rPr>
      </w:pPr>
    </w:p>
    <w:p>
      <w:pPr>
        <w:jc w:val="both"/>
        <w:ind w:left="40" w:right="59" w:firstLine="307"/>
        <w:spacing w:after="0" w:line="280"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cash equivalents and restricted cash. At times, such amounts may exceed federally insured limits. The Company reduces credit risk by depositing its cash with major credit-worthy financial institutions within the United States. To date, the Company has not experienced any losses on its cash deposits. As of July 3, 2022 and January 2, 2022, a single wholesale customer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1" w:name="page12"/>
    <w:bookmarkEnd w:id="1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spacing w:after="0" w:line="276" w:lineRule="auto"/>
        <w:rPr>
          <w:sz w:val="20"/>
          <w:szCs w:val="20"/>
          <w:color w:val="auto"/>
        </w:rPr>
      </w:pPr>
      <w:r>
        <w:rPr>
          <w:rFonts w:ascii="Arial" w:cs="Arial" w:eastAsia="Arial" w:hAnsi="Arial"/>
          <w:sz w:val="17"/>
          <w:szCs w:val="17"/>
          <w:color w:val="auto"/>
        </w:rPr>
        <w:t>represented 19% and 24%, respectively, of the Company’s accounts receivable balance. No customer accounted for greater than 10% of the Company’s net revenue during the three and six months ended July 3, 2022 and July 4, 2021.</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Leases</w:t>
      </w:r>
    </w:p>
    <w:p>
      <w:pPr>
        <w:spacing w:after="0" w:line="214" w:lineRule="exact"/>
        <w:rPr>
          <w:sz w:val="20"/>
          <w:szCs w:val="20"/>
          <w:color w:val="auto"/>
        </w:rPr>
      </w:pPr>
    </w:p>
    <w:p>
      <w:pPr>
        <w:ind w:left="40" w:right="319"/>
        <w:spacing w:after="0" w:line="276" w:lineRule="auto"/>
        <w:rPr>
          <w:sz w:val="20"/>
          <w:szCs w:val="20"/>
          <w:color w:val="auto"/>
        </w:rPr>
      </w:pPr>
      <w:r>
        <w:rPr>
          <w:rFonts w:ascii="Arial" w:cs="Arial" w:eastAsia="Arial" w:hAnsi="Arial"/>
          <w:sz w:val="17"/>
          <w:szCs w:val="17"/>
          <w:i w:val="1"/>
          <w:iCs w:val="1"/>
          <w:color w:val="auto"/>
        </w:rPr>
        <w:t>Prior to the adoption of Financial Accounting Standards Board (“FASB”) Accounting Standards Codification (“ASC”) 842 on January 3, 2022</w:t>
      </w:r>
    </w:p>
    <w:p>
      <w:pPr>
        <w:spacing w:after="0" w:line="164"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auto"/>
        </w:rPr>
        <w:t>Leases were reviewed for classification as operating or capital leases. For operating leases, the Company recognized rent on a straight-line basis over the term of the lease. The Company recorded the difference between cash payments and rent expense recognized as a deferred rent liability included in other accrued and current liabilities and other noncurrent liabilities on the condensed consolidated balance sheets. Incentives granted under the Company’s facility leases, including allowances to fund leasehold improvements, were deferred and are recognized as adjustments to rental expense on a straight-line basis over the term of the lease. The Company changed its method of accounting for leases as of January 3, 2022 due to the adoption of FASB ASC 842, Leases (“ASC 842”).</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Subsequent to the adoption of ASC 842 on January 3, 2022</w:t>
      </w:r>
    </w:p>
    <w:p>
      <w:pPr>
        <w:spacing w:after="0" w:line="214" w:lineRule="exact"/>
        <w:rPr>
          <w:sz w:val="20"/>
          <w:szCs w:val="20"/>
          <w:color w:val="auto"/>
        </w:rPr>
      </w:pPr>
    </w:p>
    <w:p>
      <w:pPr>
        <w:jc w:val="both"/>
        <w:ind w:left="40" w:right="59" w:firstLine="307"/>
        <w:spacing w:after="0" w:line="270" w:lineRule="auto"/>
        <w:rPr>
          <w:sz w:val="20"/>
          <w:szCs w:val="20"/>
          <w:color w:val="auto"/>
        </w:rPr>
      </w:pPr>
      <w:r>
        <w:rPr>
          <w:rFonts w:ascii="Arial" w:cs="Arial" w:eastAsia="Arial" w:hAnsi="Arial"/>
          <w:sz w:val="16"/>
          <w:szCs w:val="16"/>
          <w:color w:val="auto"/>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w:t>
      </w:r>
    </w:p>
    <w:p>
      <w:pPr>
        <w:spacing w:after="0" w:line="174"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income. Fixed and variable lease expense on operating leases is recognized within operating expenses in the condensed consolidated statements of operations and comprehensive income.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4" w:lineRule="exact"/>
        <w:rPr>
          <w:sz w:val="20"/>
          <w:szCs w:val="20"/>
          <w:color w:val="auto"/>
        </w:rPr>
      </w:pPr>
    </w:p>
    <w:p>
      <w:pPr>
        <w:jc w:val="both"/>
        <w:ind w:left="40" w:right="59" w:firstLine="307"/>
        <w:spacing w:after="0" w:line="299" w:lineRule="auto"/>
        <w:rPr>
          <w:sz w:val="20"/>
          <w:szCs w:val="20"/>
          <w:color w:val="auto"/>
        </w:rPr>
      </w:pPr>
      <w:r>
        <w:rPr>
          <w:rFonts w:ascii="Arial" w:cs="Arial" w:eastAsia="Arial" w:hAnsi="Arial"/>
          <w:sz w:val="15"/>
          <w:szCs w:val="15"/>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74" w:lineRule="exact"/>
        <w:rPr>
          <w:sz w:val="20"/>
          <w:szCs w:val="20"/>
          <w:color w:val="auto"/>
        </w:rPr>
      </w:pPr>
    </w:p>
    <w:p>
      <w:pPr>
        <w:jc w:val="both"/>
        <w:ind w:left="40" w:right="59" w:firstLine="307"/>
        <w:spacing w:after="0" w:line="256" w:lineRule="auto"/>
        <w:rPr>
          <w:sz w:val="20"/>
          <w:szCs w:val="20"/>
          <w:color w:val="auto"/>
        </w:rPr>
      </w:pPr>
      <w:r>
        <w:rPr>
          <w:rFonts w:ascii="Arial" w:cs="Arial" w:eastAsia="Arial" w:hAnsi="Arial"/>
          <w:sz w:val="17"/>
          <w:szCs w:val="17"/>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spacing w:after="0" w:line="182"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auto"/>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three and six months ended July 3, 2022 and July 4, 2021 was not material.</w:t>
      </w:r>
    </w:p>
    <w:p>
      <w:pPr>
        <w:spacing w:after="0" w:line="183"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179"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The following table summarizes the significant changes in the contract liabilities balances during the three and six months ended July 3, 2022 and July 4, 2021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w w:val="87"/>
              </w:rPr>
              <w:t>Stored-Value</w:t>
            </w: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Cards</w:t>
            </w: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2, 2022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7,240</w:t>
            </w:r>
          </w:p>
        </w:tc>
        <w:tc>
          <w:tcPr>
            <w:tcW w:w="0" w:type="dxa"/>
            <w:vAlign w:val="bottom"/>
          </w:tcPr>
          <w:p>
            <w:pPr>
              <w:spacing w:after="0"/>
              <w:rPr>
                <w:sz w:val="1"/>
                <w:szCs w:val="1"/>
                <w:color w:val="auto"/>
              </w:rPr>
            </w:pPr>
          </w:p>
        </w:tc>
      </w:tr>
      <w:tr>
        <w:trPr>
          <w:trHeight w:val="192"/>
        </w:trPr>
        <w:tc>
          <w:tcPr>
            <w:tcW w:w="6520" w:type="dxa"/>
            <w:vAlign w:val="bottom"/>
          </w:tcPr>
          <w:p>
            <w:pPr>
              <w:spacing w:after="0" w:line="193" w:lineRule="exact"/>
              <w:rPr>
                <w:sz w:val="20"/>
                <w:szCs w:val="20"/>
                <w:color w:val="auto"/>
              </w:rPr>
            </w:pPr>
            <w:r>
              <w:rPr>
                <w:rFonts w:ascii="Arial" w:cs="Arial" w:eastAsia="Arial" w:hAnsi="Arial"/>
                <w:sz w:val="17"/>
                <w:szCs w:val="17"/>
                <w:color w:val="auto"/>
                <w:w w:val="97"/>
              </w:rPr>
              <w:t>Revenue recognized that was included in contract liability balance at the beginning of the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(1,786)</w:t>
            </w:r>
          </w:p>
        </w:tc>
        <w:tc>
          <w:tcPr>
            <w:tcW w:w="0" w:type="dxa"/>
            <w:vAlign w:val="bottom"/>
          </w:tcPr>
          <w:p>
            <w:pPr>
              <w:spacing w:after="0"/>
              <w:rPr>
                <w:sz w:val="1"/>
                <w:szCs w:val="1"/>
                <w:color w:val="auto"/>
              </w:rPr>
            </w:pPr>
          </w:p>
        </w:tc>
      </w:tr>
      <w:tr>
        <w:trPr>
          <w:trHeight w:val="205"/>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w w:val="94"/>
              </w:rPr>
              <w:t>Increase due to cash received, excluding amounts recognized as revenue during the period</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0" w:type="dxa"/>
            <w:vAlign w:val="bottom"/>
          </w:tcPr>
          <w:p>
            <w:pPr>
              <w:spacing w:after="0"/>
              <w:rPr>
                <w:sz w:val="1"/>
                <w:szCs w:val="1"/>
                <w:color w:val="auto"/>
              </w:rPr>
            </w:pPr>
          </w:p>
        </w:tc>
      </w:tr>
      <w:tr>
        <w:trPr>
          <w:trHeight w:val="197"/>
        </w:trPr>
        <w:tc>
          <w:tcPr>
            <w:tcW w:w="6520" w:type="dxa"/>
            <w:vAlign w:val="bottom"/>
          </w:tcPr>
          <w:p>
            <w:pPr>
              <w:spacing w:after="0"/>
              <w:rPr>
                <w:sz w:val="20"/>
                <w:szCs w:val="20"/>
                <w:color w:val="auto"/>
              </w:rPr>
            </w:pPr>
            <w:r>
              <w:rPr>
                <w:rFonts w:ascii="Arial" w:cs="Arial" w:eastAsia="Arial" w:hAnsi="Arial"/>
                <w:sz w:val="17"/>
                <w:szCs w:val="17"/>
                <w:color w:val="auto"/>
              </w:rPr>
              <w:t>Balance as of April 3, 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7,292</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7"/>
              </w:rPr>
              <w:t>Revenue recognized that was included in contract liability balance at the beginning of the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period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0" w:type="dxa"/>
            <w:vAlign w:val="bottom"/>
          </w:tcPr>
          <w:p>
            <w:pPr>
              <w:spacing w:after="0"/>
              <w:rPr>
                <w:sz w:val="1"/>
                <w:szCs w:val="1"/>
                <w:color w:val="auto"/>
              </w:rPr>
            </w:pPr>
          </w:p>
        </w:tc>
      </w:tr>
      <w:tr>
        <w:trPr>
          <w:trHeight w:val="205"/>
        </w:trPr>
        <w:tc>
          <w:tcPr>
            <w:tcW w:w="6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4"/>
              </w:rPr>
              <w:t>Increase due to cash received, excluding amounts recognized as revenue during the period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3,140</w:t>
            </w: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July 3, 2022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38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6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6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8"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w w:val="87"/>
              </w:rPr>
              <w:t>Stored-Value</w:t>
            </w:r>
          </w:p>
        </w:tc>
      </w:t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Cards</w:t>
            </w:r>
          </w:p>
        </w:tc>
      </w:tr>
      <w:tr>
        <w:trPr>
          <w:trHeight w:val="197"/>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3, 2021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4,973</w:t>
            </w:r>
          </w:p>
        </w:tc>
      </w:tr>
      <w:tr>
        <w:trPr>
          <w:trHeight w:val="192"/>
        </w:trPr>
        <w:tc>
          <w:tcPr>
            <w:tcW w:w="6520" w:type="dxa"/>
            <w:vAlign w:val="bottom"/>
          </w:tcPr>
          <w:p>
            <w:pPr>
              <w:spacing w:after="0" w:line="193" w:lineRule="exact"/>
              <w:rPr>
                <w:sz w:val="20"/>
                <w:szCs w:val="20"/>
                <w:color w:val="auto"/>
              </w:rPr>
            </w:pPr>
            <w:r>
              <w:rPr>
                <w:rFonts w:ascii="Arial" w:cs="Arial" w:eastAsia="Arial" w:hAnsi="Arial"/>
                <w:sz w:val="17"/>
                <w:szCs w:val="17"/>
                <w:color w:val="auto"/>
                <w:w w:val="97"/>
              </w:rPr>
              <w:t>Revenue recognized that was included in contract liability balance at the beginning of the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(792)</w:t>
            </w:r>
          </w:p>
        </w:tc>
      </w:tr>
      <w:tr>
        <w:trPr>
          <w:trHeight w:val="205"/>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w w:val="94"/>
              </w:rPr>
              <w:t>Increase due to cash received, excluding amounts recognized as revenue during the period</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r>
      <w:tr>
        <w:trPr>
          <w:trHeight w:val="197"/>
        </w:trPr>
        <w:tc>
          <w:tcPr>
            <w:tcW w:w="6520" w:type="dxa"/>
            <w:vAlign w:val="bottom"/>
          </w:tcPr>
          <w:p>
            <w:pPr>
              <w:spacing w:after="0"/>
              <w:rPr>
                <w:sz w:val="20"/>
                <w:szCs w:val="20"/>
                <w:color w:val="auto"/>
              </w:rPr>
            </w:pPr>
            <w:r>
              <w:rPr>
                <w:rFonts w:ascii="Arial" w:cs="Arial" w:eastAsia="Arial" w:hAnsi="Arial"/>
                <w:sz w:val="17"/>
                <w:szCs w:val="17"/>
                <w:color w:val="auto"/>
              </w:rPr>
              <w:t>Balance as of April 4,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4,922</w:t>
            </w:r>
          </w:p>
        </w:tc>
      </w:tr>
      <w:tr>
        <w:trPr>
          <w:trHeight w:val="192"/>
        </w:trPr>
        <w:tc>
          <w:tcPr>
            <w:tcW w:w="65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7"/>
              </w:rPr>
              <w:t>Revenue recognized that was included in contract liability balance at the beginning of the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7"/>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period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r>
      <w:tr>
        <w:trPr>
          <w:trHeight w:val="205"/>
        </w:trPr>
        <w:tc>
          <w:tcPr>
            <w:tcW w:w="6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4"/>
              </w:rPr>
              <w:t>Increase due to cash received, excluding amounts recognized as revenue during the period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1,307</w:t>
            </w:r>
          </w:p>
        </w:tc>
      </w:tr>
      <w:tr>
        <w:trPr>
          <w:trHeight w:val="19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July 4, 2021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5,687</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Advertising costs included in selling and marketing expenses were $20.2 million and $10.2 million for the three months ended July 3, 2022 and July 4, 2021, respectively, and $37.2 million and $20.1 million for the six months ended July 3, 2022 and July 4, 2021, respectively.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Income Per Share Attributable to Common Stockholders</w:t>
      </w:r>
    </w:p>
    <w:p>
      <w:pPr>
        <w:spacing w:after="0" w:line="214" w:lineRule="exact"/>
        <w:rPr>
          <w:sz w:val="20"/>
          <w:szCs w:val="20"/>
          <w:color w:val="auto"/>
        </w:rPr>
      </w:pPr>
    </w:p>
    <w:p>
      <w:pPr>
        <w:jc w:val="both"/>
        <w:ind w:left="40" w:right="59" w:firstLine="307"/>
        <w:spacing w:after="0" w:line="304" w:lineRule="auto"/>
        <w:rPr>
          <w:sz w:val="20"/>
          <w:szCs w:val="20"/>
          <w:color w:val="auto"/>
        </w:rPr>
      </w:pPr>
      <w:r>
        <w:rPr>
          <w:rFonts w:ascii="Arial" w:cs="Arial" w:eastAsia="Arial" w:hAnsi="Arial"/>
          <w:sz w:val="15"/>
          <w:szCs w:val="15"/>
          <w:color w:val="auto"/>
        </w:rPr>
        <w:t>The Company calculates basic and diluted net income per share attributable to common stockholders in conformity with the two-class method required for participating securities as the application of the if converted method is not more dilutive. The two-class method requires income available to common stockholders for the period to be allocated between common stock and participating securities based upon their respective rights to receive dividends as if all income for the period had been distributed.</w:t>
      </w:r>
    </w:p>
    <w:p>
      <w:pPr>
        <w:spacing w:after="0" w:line="149"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The Company considered its redeemable preferred stock and convertible preferred stock outstanding during fiscal 2021 to be participating securities. In accordance with the two-class method, net income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income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72" w:lineRule="exact"/>
        <w:rPr>
          <w:sz w:val="20"/>
          <w:szCs w:val="20"/>
          <w:color w:val="auto"/>
        </w:rPr>
      </w:pPr>
    </w:p>
    <w:p>
      <w:pPr>
        <w:jc w:val="both"/>
        <w:ind w:left="40" w:right="59" w:firstLine="307"/>
        <w:spacing w:after="0" w:line="304" w:lineRule="auto"/>
        <w:rPr>
          <w:sz w:val="20"/>
          <w:szCs w:val="20"/>
          <w:color w:val="auto"/>
        </w:rPr>
      </w:pPr>
      <w:r>
        <w:rPr>
          <w:rFonts w:ascii="Arial" w:cs="Arial" w:eastAsia="Arial" w:hAnsi="Arial"/>
          <w:sz w:val="15"/>
          <w:szCs w:val="15"/>
          <w:color w:val="auto"/>
        </w:rPr>
        <w:t>Basic net income per share attributable to common stockholders is computed using net income attributable to common stockholders divided by the weighted average number of common shares outstanding during the period. Diluted net income per share attributable to common stockholders represents net income attributable to common stockholders divided by the weighted average number of common shares outstanding during the period, including the effects of any dilutive securities outstanding.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The following table presents the calculation of basic and diluted weighted average shares used to compute net income per share attributable to common stockholders: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12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2022</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4, 2021</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2022</w:t>
            </w:r>
          </w:p>
        </w:tc>
        <w:tc>
          <w:tcPr>
            <w:tcW w:w="980" w:type="dxa"/>
            <w:vAlign w:val="bottom"/>
          </w:tcPr>
          <w:p>
            <w:pPr>
              <w:jc w:val="right"/>
              <w:ind w:right="58"/>
              <w:spacing w:after="0"/>
              <w:rPr>
                <w:sz w:val="20"/>
                <w:szCs w:val="20"/>
                <w:color w:val="auto"/>
              </w:rPr>
            </w:pPr>
            <w:r>
              <w:rPr>
                <w:rFonts w:ascii="Arial" w:cs="Arial" w:eastAsia="Arial" w:hAnsi="Arial"/>
                <w:sz w:val="14"/>
                <w:szCs w:val="14"/>
                <w:b w:val="1"/>
                <w:bCs w:val="1"/>
                <w:color w:val="auto"/>
              </w:rPr>
              <w:t>July 4, 2021</w:t>
            </w:r>
          </w:p>
        </w:tc>
        <w:tc>
          <w:tcPr>
            <w:tcW w:w="0" w:type="dxa"/>
            <w:vAlign w:val="bottom"/>
          </w:tcPr>
          <w:p>
            <w:pPr>
              <w:spacing w:after="0"/>
              <w:rPr>
                <w:sz w:val="1"/>
                <w:szCs w:val="1"/>
                <w:color w:val="auto"/>
              </w:rPr>
            </w:pPr>
          </w:p>
        </w:tc>
      </w:tr>
      <w:tr>
        <w:trPr>
          <w:trHeight w:val="172"/>
        </w:trPr>
        <w:tc>
          <w:tcPr>
            <w:tcW w:w="474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color w:val="auto"/>
                <w:w w:val="96"/>
              </w:rPr>
              <w:t>Weighted average shares used to compute net income per share</w:t>
            </w: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attributable to common stockholders - Basic</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38,535,409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17,462,283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38,316,895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17,462,283</w:t>
            </w:r>
          </w:p>
        </w:tc>
        <w:tc>
          <w:tcPr>
            <w:tcW w:w="0" w:type="dxa"/>
            <w:vAlign w:val="bottom"/>
          </w:tcPr>
          <w:p>
            <w:pPr>
              <w:spacing w:after="0"/>
              <w:rPr>
                <w:sz w:val="1"/>
                <w:szCs w:val="1"/>
                <w:color w:val="auto"/>
              </w:rPr>
            </w:pPr>
          </w:p>
        </w:tc>
      </w:tr>
      <w:tr>
        <w:trPr>
          <w:trHeight w:val="205"/>
        </w:trPr>
        <w:tc>
          <w:tcPr>
            <w:tcW w:w="4740" w:type="dxa"/>
            <w:vAlign w:val="bottom"/>
          </w:tcPr>
          <w:p>
            <w:pPr>
              <w:spacing w:after="0"/>
              <w:rPr>
                <w:sz w:val="20"/>
                <w:szCs w:val="20"/>
                <w:color w:val="auto"/>
              </w:rPr>
            </w:pPr>
            <w:r>
              <w:rPr>
                <w:rFonts w:ascii="Arial" w:cs="Arial" w:eastAsia="Arial" w:hAnsi="Arial"/>
                <w:sz w:val="17"/>
                <w:szCs w:val="17"/>
                <w:color w:val="auto"/>
              </w:rPr>
              <w:t>Dilutive securities: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Unvested restricted stock awards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69,519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83,329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740" w:type="dxa"/>
            <w:vAlign w:val="bottom"/>
          </w:tcPr>
          <w:p>
            <w:pPr>
              <w:ind w:left="220"/>
              <w:spacing w:after="0"/>
              <w:rPr>
                <w:sz w:val="20"/>
                <w:szCs w:val="20"/>
                <w:color w:val="auto"/>
              </w:rPr>
            </w:pPr>
            <w:r>
              <w:rPr>
                <w:rFonts w:ascii="Arial" w:cs="Arial" w:eastAsia="Arial" w:hAnsi="Arial"/>
                <w:sz w:val="17"/>
                <w:szCs w:val="17"/>
                <w:color w:val="auto"/>
              </w:rPr>
              <w:t>Restricted stock units</w:t>
            </w:r>
          </w:p>
        </w:tc>
        <w:tc>
          <w:tcPr>
            <w:tcW w:w="960" w:type="dxa"/>
            <w:vAlign w:val="bottom"/>
          </w:tcPr>
          <w:p>
            <w:pPr>
              <w:jc w:val="right"/>
              <w:spacing w:after="0"/>
              <w:rPr>
                <w:sz w:val="20"/>
                <w:szCs w:val="20"/>
                <w:color w:val="auto"/>
              </w:rPr>
            </w:pPr>
            <w:r>
              <w:rPr>
                <w:rFonts w:ascii="Arial" w:cs="Arial" w:eastAsia="Arial" w:hAnsi="Arial"/>
                <w:sz w:val="17"/>
                <w:szCs w:val="17"/>
                <w:color w:val="auto"/>
              </w:rPr>
              <w:t>286,616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1,950</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Special compensation awards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101,357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153,745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2"/>
        </w:trPr>
        <w:tc>
          <w:tcPr>
            <w:tcW w:w="4740" w:type="dxa"/>
            <w:vAlign w:val="bottom"/>
          </w:tcPr>
          <w:p>
            <w:pPr>
              <w:spacing w:after="0" w:line="172" w:lineRule="exact"/>
              <w:rPr>
                <w:sz w:val="20"/>
                <w:szCs w:val="20"/>
                <w:color w:val="auto"/>
              </w:rPr>
            </w:pPr>
            <w:r>
              <w:rPr>
                <w:rFonts w:ascii="Arial" w:cs="Arial" w:eastAsia="Arial" w:hAnsi="Arial"/>
                <w:sz w:val="17"/>
                <w:szCs w:val="17"/>
                <w:color w:val="auto"/>
                <w:w w:val="96"/>
              </w:rPr>
              <w:t>Weighted average shares used to compute net income per share</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38,992,901</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17,462,283</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38,555,919</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17,462,283</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7"/>
                <w:szCs w:val="17"/>
                <w:color w:val="auto"/>
              </w:rPr>
              <w:t>attributable to common stockholders - Diluted</w:t>
            </w: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40" w:right="59" w:firstLine="307"/>
        <w:spacing w:after="0" w:line="308" w:lineRule="auto"/>
        <w:rPr>
          <w:sz w:val="20"/>
          <w:szCs w:val="20"/>
          <w:color w:val="auto"/>
        </w:rPr>
      </w:pPr>
      <w:r>
        <w:rPr>
          <w:rFonts w:ascii="Arial" w:cs="Arial" w:eastAsia="Arial" w:hAnsi="Arial"/>
          <w:sz w:val="16"/>
          <w:szCs w:val="16"/>
          <w:color w:val="auto"/>
        </w:rPr>
        <w:t>The following securities were excluded from the computation of diluted net income per share attributable to common stockholders for the periods presented because including them would have been anti-dilutive (on an as-converted basis):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3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6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 2022</w:t>
            </w: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4, 2021</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 2022</w:t>
            </w:r>
          </w:p>
        </w:tc>
        <w:tc>
          <w:tcPr>
            <w:tcW w:w="1080" w:type="dxa"/>
            <w:vAlign w:val="bottom"/>
          </w:tcPr>
          <w:p>
            <w:pPr>
              <w:jc w:val="right"/>
              <w:ind w:right="98"/>
              <w:spacing w:after="0"/>
              <w:rPr>
                <w:sz w:val="20"/>
                <w:szCs w:val="20"/>
                <w:color w:val="auto"/>
              </w:rPr>
            </w:pPr>
            <w:r>
              <w:rPr>
                <w:rFonts w:ascii="Arial" w:cs="Arial" w:eastAsia="Arial" w:hAnsi="Arial"/>
                <w:sz w:val="14"/>
                <w:szCs w:val="14"/>
                <w:b w:val="1"/>
                <w:bCs w:val="1"/>
                <w:color w:val="auto"/>
              </w:rPr>
              <w:t>July 4, 2021</w:t>
            </w:r>
          </w:p>
        </w:tc>
      </w:tr>
      <w:tr>
        <w:trPr>
          <w:trHeight w:val="197"/>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12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3,129,634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3,129,634</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Stock options</w:t>
            </w:r>
          </w:p>
        </w:tc>
        <w:tc>
          <w:tcPr>
            <w:tcW w:w="1020" w:type="dxa"/>
            <w:vAlign w:val="bottom"/>
          </w:tcPr>
          <w:p>
            <w:pPr>
              <w:jc w:val="right"/>
              <w:spacing w:after="0"/>
              <w:rPr>
                <w:sz w:val="20"/>
                <w:szCs w:val="20"/>
                <w:color w:val="auto"/>
              </w:rPr>
            </w:pPr>
            <w:r>
              <w:rPr>
                <w:rFonts w:ascii="Arial" w:cs="Arial" w:eastAsia="Arial" w:hAnsi="Arial"/>
                <w:sz w:val="17"/>
                <w:szCs w:val="17"/>
                <w:color w:val="auto"/>
              </w:rPr>
              <w:t>322,793</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322,793</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322,793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322,793</w:t>
            </w: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187,635</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Unvested restricted stock units</w:t>
            </w:r>
          </w:p>
        </w:tc>
        <w:tc>
          <w:tcPr>
            <w:tcW w:w="1020" w:type="dxa"/>
            <w:vAlign w:val="bottom"/>
          </w:tcPr>
          <w:p>
            <w:pPr>
              <w:jc w:val="right"/>
              <w:spacing w:after="0"/>
              <w:rPr>
                <w:sz w:val="20"/>
                <w:szCs w:val="20"/>
                <w:color w:val="auto"/>
              </w:rPr>
            </w:pPr>
            <w:r>
              <w:rPr>
                <w:rFonts w:ascii="Arial" w:cs="Arial" w:eastAsia="Arial" w:hAnsi="Arial"/>
                <w:sz w:val="17"/>
                <w:szCs w:val="17"/>
                <w:color w:val="auto"/>
              </w:rPr>
              <w:t>16,950</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1,513,510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527,378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3,452,427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2,023,938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3,452,427</w:t>
            </w:r>
          </w:p>
        </w:tc>
      </w:tr>
      <w:tr>
        <w:trPr>
          <w:trHeight w:val="20"/>
        </w:trPr>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4" w:lineRule="exact"/>
        <w:rPr>
          <w:sz w:val="20"/>
          <w:szCs w:val="20"/>
          <w:color w:val="auto"/>
        </w:rPr>
      </w:pPr>
    </w:p>
    <w:p>
      <w:pPr>
        <w:jc w:val="both"/>
        <w:ind w:left="40" w:right="59" w:firstLine="307"/>
        <w:spacing w:after="0" w:line="287"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w:t>
      </w:r>
    </w:p>
    <w:p>
      <w:pPr>
        <w:spacing w:after="0" w:line="3" w:lineRule="exact"/>
        <w:rPr>
          <w:sz w:val="20"/>
          <w:szCs w:val="20"/>
          <w:color w:val="auto"/>
        </w:rPr>
      </w:pPr>
    </w:p>
    <w:p>
      <w:pPr>
        <w:jc w:val="both"/>
        <w:ind w:left="40" w:right="59" w:firstLine="6"/>
        <w:spacing w:after="0" w:line="256" w:lineRule="auto"/>
        <w:tabs>
          <w:tab w:leader="none" w:pos="331" w:val="left"/>
        </w:tabs>
        <w:numPr>
          <w:ilvl w:val="0"/>
          <w:numId w:val="5"/>
        </w:numPr>
        <w:rPr>
          <w:rFonts w:ascii="Arial" w:cs="Arial" w:eastAsia="Arial" w:hAnsi="Arial"/>
          <w:sz w:val="17"/>
          <w:szCs w:val="17"/>
          <w:color w:val="auto"/>
        </w:rPr>
      </w:pPr>
      <w:r>
        <w:rPr>
          <w:rFonts w:ascii="Arial" w:cs="Arial" w:eastAsia="Arial" w:hAnsi="Arial"/>
          <w:sz w:val="17"/>
          <w:szCs w:val="17"/>
          <w:color w:val="auto"/>
        </w:rPr>
        <w:t>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82" w:lineRule="exact"/>
        <w:rPr>
          <w:sz w:val="20"/>
          <w:szCs w:val="20"/>
          <w:color w:val="auto"/>
        </w:rPr>
      </w:pPr>
    </w:p>
    <w:p>
      <w:pPr>
        <w:jc w:val="both"/>
        <w:ind w:left="40" w:right="59" w:firstLine="307"/>
        <w:spacing w:after="0" w:line="27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 amended, which requires lessees to recognize a right-of-use asset and lease liability on their condensed consolidated balance sheets for all leases with a term longer than twelve months. Under the new lease standard, the Company determines if an arrangement is a lease at inception. Lease liabilities and their corresponding right-of-use assets are recorded based on the present value of lease payments over the expected lease term. In determining the present value of lease payments, the Company uses its incremental borrowing rate based on the information available at the lease commencement date if the rate implicit in the lease is not readily determinable.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right-of-use assets and lease liabilities for all leases with a term of greater than 12 months regardless of their classification. Leases with a term of 12 months or less may be accounted for similar to existing guidance for operating leases today and are not recorded on the Company’s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5"/>
          <w:szCs w:val="15"/>
          <w:color w:val="auto"/>
        </w:rPr>
        <w:t>balance sheet. The Company adopted the new standard as of January 3, 2022 on a modified retrospective basis under the alternative transition method. The Company elected to take the practical expedient to not separate lease and non-lease components as part of the adoption. Lease agreements entered into after the adoption of Topic 842 that include lease and non-lease components are accounted for as a single lease component. Beginning on January 3, 2022, the Company’s operating leases, excluding those with terms less than 12 months, were discounted and recorded as assets and liabilities on the Company’s balance sheet. As of the effective date of adoption, the Company recognized lease right-of-use assets of $28.0 million, which included $0.4 million previously recorded as prepaid rent net of $1.0 million previously recorded as deferred rent, $2.2 million of current lease liabilities and $26.4 million in lease liabilities, net of current portion, related to its operating leases.</w:t>
      </w:r>
    </w:p>
    <w:p>
      <w:pPr>
        <w:spacing w:after="0" w:line="157"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This standard is effective for fiscal periods beginning after December 15, 2021, including interim periods within fiscal years beginning after December 15, 2022, with early adoption permitted. The Company adopted this guidance on January 3, 2022, and it did not have a material impact on its condensed consolidated financial statements.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14" w:lineRule="exact"/>
        <w:rPr>
          <w:sz w:val="20"/>
          <w:szCs w:val="20"/>
          <w:color w:val="auto"/>
        </w:rPr>
      </w:pPr>
    </w:p>
    <w:p>
      <w:pPr>
        <w:jc w:val="both"/>
        <w:ind w:left="40" w:right="59" w:firstLine="307"/>
        <w:spacing w:after="0" w:line="27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as amended, which amends guidance on reporting credit losses for assets held at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available-for-sale debt securities from an incurred loss methodology to an expected loss methodology. For assets held at amortized cost basis, the guidance eliminates the probable 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 significant estimates and credit quality are also required. The guidance is effective for the Company for fiscal years beginning after December 15, 2022. The Company is currently assessing the potential impact of adopting ASU 2016-13 on its condensed consolidated financial statements and does not expect the adoption to have a material impact.</w:t>
      </w:r>
    </w:p>
    <w:p>
      <w:pPr>
        <w:spacing w:after="0" w:line="171" w:lineRule="exact"/>
        <w:rPr>
          <w:sz w:val="20"/>
          <w:szCs w:val="20"/>
          <w:color w:val="auto"/>
        </w:rPr>
      </w:pPr>
    </w:p>
    <w:p>
      <w:pPr>
        <w:jc w:val="both"/>
        <w:ind w:left="40" w:right="59" w:firstLine="307"/>
        <w:spacing w:after="0" w:line="27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Rate Reform on Financial Accounting</w:t>
      </w:r>
      <w:r>
        <w:rPr>
          <w:rFonts w:ascii="Arial" w:cs="Arial" w:eastAsia="Arial" w:hAnsi="Arial"/>
          <w:sz w:val="16"/>
          <w:szCs w:val="16"/>
          <w:color w:val="auto"/>
        </w:rPr>
        <w:t>, which, as amended, provides optional guidance for a limited period of time to 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burden in accounting for (or reorganizing the effects of) reference rate reform on financial reporting. This standard can be adopted immediately, however, the guidance will only be available until December 31, 2022. The Company is currently evaluating the potential impact of adopting this guidance on its condensed consolidated financial statements.</w:t>
      </w:r>
    </w:p>
    <w:p>
      <w:pPr>
        <w:spacing w:after="0" w:line="188" w:lineRule="exact"/>
        <w:rPr>
          <w:sz w:val="20"/>
          <w:szCs w:val="20"/>
          <w:color w:val="auto"/>
        </w:rPr>
      </w:pPr>
    </w:p>
    <w:p>
      <w:pPr>
        <w:ind w:left="660" w:hanging="614"/>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18"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 xml:space="preserve">The Company’s financial instruments consist of cash and cash equivalents, restricted cash, accounts payable, accrued expenses, revolving line of credit and long-term debt. As of July 3, 2022 and January 2, 2022, the carrying values of cash and cash equivalents, restricted cash, accounts payable and accrued expenses approximate fair value due to their short-term maturities. The fair value of the Company’s New Revolving Facility that provides for borrowings up to $50.0 million (see Note 5, </w:t>
      </w:r>
      <w:r>
        <w:rPr>
          <w:rFonts w:ascii="Arial" w:cs="Arial" w:eastAsia="Arial" w:hAnsi="Arial"/>
          <w:sz w:val="16"/>
          <w:szCs w:val="16"/>
          <w:i w:val="1"/>
          <w:iCs w:val="1"/>
          <w:color w:val="auto"/>
        </w:rPr>
        <w:t>Debt</w:t>
      </w:r>
      <w:r>
        <w:rPr>
          <w:rFonts w:ascii="Arial" w:cs="Arial" w:eastAsia="Arial" w:hAnsi="Arial"/>
          <w:sz w:val="16"/>
          <w:szCs w:val="16"/>
          <w:color w:val="auto"/>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2" w:lineRule="exact"/>
        <w:rPr>
          <w:sz w:val="20"/>
          <w:szCs w:val="20"/>
          <w:color w:val="auto"/>
        </w:rPr>
      </w:pPr>
    </w:p>
    <w:p>
      <w:pPr>
        <w:ind w:left="660" w:hanging="614"/>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Estimated Useful Lives</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July 3,</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January 2,</w:t>
            </w:r>
          </w:p>
        </w:tc>
      </w:tr>
      <w:tr>
        <w:trPr>
          <w:trHeight w:val="161"/>
        </w:trPr>
        <w:tc>
          <w:tcPr>
            <w:tcW w:w="406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 Years</w:t>
            </w:r>
          </w:p>
        </w:tc>
        <w:tc>
          <w:tcPr>
            <w:tcW w:w="120" w:type="dxa"/>
            <w:vAlign w:val="bottom"/>
          </w:tcPr>
          <w:p>
            <w:pPr>
              <w:spacing w:after="0"/>
              <w:rPr>
                <w:sz w:val="14"/>
                <w:szCs w:val="14"/>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2022</w:t>
            </w:r>
          </w:p>
        </w:tc>
      </w:tr>
      <w:tr>
        <w:trPr>
          <w:trHeight w:val="197"/>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3-8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3,502</w:t>
            </w:r>
          </w:p>
        </w:tc>
      </w:tr>
      <w:tr>
        <w:trPr>
          <w:trHeight w:val="205"/>
        </w:trPr>
        <w:tc>
          <w:tcPr>
            <w:tcW w:w="4060" w:type="dxa"/>
            <w:vAlign w:val="bottom"/>
          </w:tcPr>
          <w:p>
            <w:pPr>
              <w:spacing w:after="0"/>
              <w:rPr>
                <w:sz w:val="20"/>
                <w:szCs w:val="20"/>
                <w:color w:val="auto"/>
              </w:rPr>
            </w:pPr>
            <w:r>
              <w:rPr>
                <w:rFonts w:ascii="Arial" w:cs="Arial" w:eastAsia="Arial" w:hAnsi="Arial"/>
                <w:sz w:val="17"/>
                <w:szCs w:val="17"/>
                <w:color w:val="auto"/>
              </w:rPr>
              <w:t>Equipment</w:t>
            </w:r>
          </w:p>
        </w:tc>
        <w:tc>
          <w:tcPr>
            <w:tcW w:w="1440" w:type="dxa"/>
            <w:vAlign w:val="bottom"/>
          </w:tcPr>
          <w:p>
            <w:pPr>
              <w:jc w:val="center"/>
              <w:spacing w:after="0"/>
              <w:rPr>
                <w:sz w:val="20"/>
                <w:szCs w:val="20"/>
                <w:color w:val="auto"/>
              </w:rPr>
            </w:pPr>
            <w:r>
              <w:rPr>
                <w:rFonts w:ascii="Arial" w:cs="Arial" w:eastAsia="Arial" w:hAnsi="Arial"/>
                <w:sz w:val="17"/>
                <w:szCs w:val="17"/>
                <w:color w:val="auto"/>
                <w:w w:val="89"/>
              </w:rPr>
              <w:t>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3,278</w:t>
            </w:r>
          </w:p>
        </w:tc>
      </w:tr>
      <w:tr>
        <w:trPr>
          <w:trHeight w:val="205"/>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w:t>
            </w:r>
          </w:p>
        </w:tc>
      </w:tr>
      <w:tr>
        <w:trPr>
          <w:trHeight w:val="205"/>
        </w:trPr>
        <w:tc>
          <w:tcPr>
            <w:tcW w:w="4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4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r>
      <w:tr>
        <w:trPr>
          <w:trHeight w:val="197"/>
        </w:trPr>
        <w:tc>
          <w:tcPr>
            <w:tcW w:w="4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property and equipment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9,010</w:t>
            </w:r>
          </w:p>
        </w:tc>
      </w:tr>
      <w:tr>
        <w:trPr>
          <w:trHeight w:val="205"/>
        </w:trPr>
        <w:tc>
          <w:tcPr>
            <w:tcW w:w="40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(3,270)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(5,779)</w:t>
            </w:r>
          </w:p>
        </w:tc>
      </w:tr>
      <w:tr>
        <w:trPr>
          <w:trHeight w:val="197"/>
        </w:trPr>
        <w:tc>
          <w:tcPr>
            <w:tcW w:w="40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Property and equipment, net</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3,231</w:t>
            </w:r>
          </w:p>
        </w:tc>
      </w:tr>
      <w:tr>
        <w:trPr>
          <w:trHeight w:val="20"/>
        </w:trPr>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Depreciation and amortization of property and equipment for the three months ended July 3, 2022 and July 4, 2021 was $0.6 million and $0.3 million, respectively, and for the six months ended July 3, 2022 and July 4, 2021, was $1.0 million and $0.6 million, respectively.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January 2,</w:t>
            </w:r>
          </w:p>
        </w:tc>
      </w:tr>
      <w:tr>
        <w:trPr>
          <w:trHeight w:val="161"/>
        </w:trPr>
        <w:tc>
          <w:tcPr>
            <w:tcW w:w="5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8,136</w:t>
            </w:r>
          </w:p>
        </w:tc>
      </w:tr>
      <w:tr>
        <w:trPr>
          <w:trHeight w:val="205"/>
        </w:trPr>
        <w:tc>
          <w:tcPr>
            <w:tcW w:w="5160" w:type="dxa"/>
            <w:vAlign w:val="bottom"/>
          </w:tcPr>
          <w:p>
            <w:pPr>
              <w:spacing w:after="0"/>
              <w:rPr>
                <w:sz w:val="20"/>
                <w:szCs w:val="20"/>
                <w:color w:val="auto"/>
              </w:rPr>
            </w:pPr>
            <w:r>
              <w:rPr>
                <w:rFonts w:ascii="Arial" w:cs="Arial" w:eastAsia="Arial" w:hAnsi="Arial"/>
                <w:sz w:val="17"/>
                <w:szCs w:val="17"/>
                <w:color w:val="auto"/>
              </w:rPr>
              <w:t>Accrued distributions payable to former Class P unit holders</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2,648</w:t>
            </w:r>
          </w:p>
        </w:tc>
      </w:tr>
      <w:tr>
        <w:trPr>
          <w:trHeight w:val="205"/>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Accrued marketing</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3,621</w:t>
            </w:r>
          </w:p>
        </w:tc>
      </w:tr>
      <w:tr>
        <w:trPr>
          <w:trHeight w:val="205"/>
        </w:trPr>
        <w:tc>
          <w:tcPr>
            <w:tcW w:w="5160" w:type="dxa"/>
            <w:vAlign w:val="bottom"/>
          </w:tcPr>
          <w:p>
            <w:pPr>
              <w:spacing w:after="0"/>
              <w:rPr>
                <w:sz w:val="20"/>
                <w:szCs w:val="20"/>
                <w:color w:val="auto"/>
              </w:rPr>
            </w:pPr>
            <w:r>
              <w:rPr>
                <w:rFonts w:ascii="Arial" w:cs="Arial" w:eastAsia="Arial" w:hAnsi="Arial"/>
                <w:sz w:val="17"/>
                <w:szCs w:val="17"/>
                <w:color w:val="auto"/>
              </w:rPr>
              <w:t>Accrued inventory</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9,611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2,928</w:t>
            </w:r>
          </w:p>
        </w:tc>
      </w:tr>
      <w:tr>
        <w:trPr>
          <w:trHeight w:val="205"/>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7,223</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4,615</w:t>
            </w:r>
          </w:p>
        </w:tc>
      </w:tr>
      <w:tr>
        <w:trPr>
          <w:trHeight w:val="197"/>
        </w:trPr>
        <w:tc>
          <w:tcPr>
            <w:tcW w:w="5160" w:type="dxa"/>
            <w:vAlign w:val="bottom"/>
          </w:tcPr>
          <w:p>
            <w:pPr>
              <w:ind w:left="100"/>
              <w:spacing w:after="0"/>
              <w:rPr>
                <w:sz w:val="20"/>
                <w:szCs w:val="20"/>
                <w:color w:val="auto"/>
              </w:rPr>
            </w:pPr>
            <w:r>
              <w:rPr>
                <w:rFonts w:ascii="Arial" w:cs="Arial" w:eastAsia="Arial" w:hAnsi="Arial"/>
                <w:sz w:val="17"/>
                <w:szCs w:val="17"/>
                <w:color w:val="auto"/>
              </w:rPr>
              <w:t>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29,214</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660" w:hanging="614"/>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New Revolving Facility</w:t>
      </w:r>
    </w:p>
    <w:p>
      <w:pPr>
        <w:spacing w:after="0" w:line="214" w:lineRule="exact"/>
        <w:rPr>
          <w:sz w:val="20"/>
          <w:szCs w:val="20"/>
          <w:color w:val="auto"/>
        </w:rPr>
      </w:pPr>
    </w:p>
    <w:p>
      <w:pPr>
        <w:jc w:val="both"/>
        <w:ind w:left="40" w:right="59" w:firstLine="307"/>
        <w:spacing w:after="0" w:line="271" w:lineRule="auto"/>
        <w:rPr>
          <w:sz w:val="20"/>
          <w:szCs w:val="20"/>
          <w:color w:val="auto"/>
        </w:rPr>
      </w:pPr>
      <w:r>
        <w:rPr>
          <w:rFonts w:ascii="Arial" w:cs="Arial" w:eastAsia="Arial" w:hAnsi="Arial"/>
          <w:sz w:val="16"/>
          <w:szCs w:val="16"/>
          <w:color w:val="auto"/>
        </w:rPr>
        <w:t>During November 2021, the Company entered into a Credit Agreement with Bank of America (the “Credit Agreement”) to provide the New Revolving Facility that provides for borrowings up to $50.0 million. During the term of the Credit Agreement, the Company can increase the aggregate amount of the New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(“Letter of Credit”). During the six months ended July 3, 2022, the Company borrowed $10 million under the New Revolving Facility and repaid $20.0 million of the outstanding balance. The New Revolving Facility matures on November 15, 2024, while the Letter of Credit matures on November 8, 2024. As of July 3, 2022, the Company had $15.0 million outstanding and $34.8 million available for borrowing under the New Revolving Facility and $7.25 million available to issue letters of credit.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All borrowings under the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New Revolving Facility, taking into account the sum of outstanding borrowings and letter of credit obligations. As of July 3, 2022, the interest rate for the New Revolving Facility was 3.2%. During the three and six months ended July 3, 2022, the effective interest rate for the New Revolving Facility was 4.0% and 3.0%, respectively.</w:t>
      </w:r>
    </w:p>
    <w:p>
      <w:pPr>
        <w:spacing w:after="0" w:line="172"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auto"/>
        </w:rPr>
        <w:t>Amounts borrowed under the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July 3, 2022, management has determined that the Company was in compliance with all financial covenants.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Term Loan</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In August 2017, the Company entered into a term loan with a principal amount of $135.0 million (the “Term Loan”) and a revolving credit facility of $10.0 million (the “Revolving Facility”) with certain financial institutions for which Credit Suisse acted as an administrative agent (the “Credit Facility”).</w:t>
      </w:r>
    </w:p>
    <w:p>
      <w:pPr>
        <w:spacing w:after="0" w:line="176"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During April 2021, the Company entered into the sixth amendment to the Credit Facility (“Sixth Amendment”), which: 1) Amended the minimum liquidity covenant from $2.5 million to $10.0 million, 2) Extended the due date for the 2020 audited consolidated financial statements to September 30, 2021, and 3) Upon receipt of proceeds from an IPO, Special Purpose Acquisition Company transaction, or other liquidity transaction that involves the equity of Lulus or its affiliates, the Company was required to pay off the outstanding obligations under the Credit Facility before any proceeds were utilized by the Company. There was no gain or loss arising from the Sixth Amendment as it was considered to be a debt modification.</w:t>
      </w:r>
    </w:p>
    <w:p>
      <w:pPr>
        <w:spacing w:after="0" w:line="168"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During November 2021, the Company utilized the proceeds from the IPO and the New Revolving Facility to repay the $105.8 million of outstanding principal and $1.4 million of accrued interest related to the Term Loan. The Credit Facility was terminated on November 15, 2021 and no prepayment penalties were incurred.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effective interest rate on the Term Loan was 12.9% for the three and six months ended July 4, 2021.</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Revolving Facility</w:t>
      </w:r>
    </w:p>
    <w:p>
      <w:pPr>
        <w:spacing w:after="0" w:line="214" w:lineRule="exact"/>
        <w:rPr>
          <w:sz w:val="20"/>
          <w:szCs w:val="20"/>
          <w:color w:val="auto"/>
        </w:rPr>
      </w:pPr>
    </w:p>
    <w:p>
      <w:pPr>
        <w:jc w:val="both"/>
        <w:ind w:left="40" w:right="59" w:firstLine="307"/>
        <w:spacing w:after="0" w:line="314" w:lineRule="auto"/>
        <w:rPr>
          <w:sz w:val="20"/>
          <w:szCs w:val="20"/>
          <w:color w:val="auto"/>
        </w:rPr>
      </w:pPr>
      <w:r>
        <w:rPr>
          <w:rFonts w:ascii="Arial" w:cs="Arial" w:eastAsia="Arial" w:hAnsi="Arial"/>
          <w:sz w:val="15"/>
          <w:szCs w:val="15"/>
          <w:color w:val="auto"/>
        </w:rPr>
        <w:t>Outstanding amounts under the Revolving Facility bore interest at variable rates with a minimum of 7.00%. The Revolving Facility was terminated on November 15, 2021. The effective interest rate for the Revolving Facility was 9.6% for the six months ended July 4, 2021. No amounts were outstanding under the Revolving Facility during the three months ended July 4, 2021.</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Debt Discounts and Issuance Costs</w:t>
      </w:r>
    </w:p>
    <w:p>
      <w:pPr>
        <w:spacing w:after="0" w:line="214" w:lineRule="exact"/>
        <w:rPr>
          <w:sz w:val="20"/>
          <w:szCs w:val="20"/>
          <w:color w:val="auto"/>
        </w:rPr>
      </w:pPr>
    </w:p>
    <w:p>
      <w:pPr>
        <w:jc w:val="both"/>
        <w:ind w:left="40" w:right="59" w:firstLine="307"/>
        <w:spacing w:after="0" w:line="280" w:lineRule="auto"/>
        <w:rPr>
          <w:sz w:val="20"/>
          <w:szCs w:val="20"/>
          <w:color w:val="auto"/>
        </w:rPr>
      </w:pPr>
      <w:r>
        <w:rPr>
          <w:rFonts w:ascii="Arial" w:cs="Arial" w:eastAsia="Arial" w:hAnsi="Arial"/>
          <w:sz w:val="16"/>
          <w:szCs w:val="16"/>
          <w:color w:val="auto"/>
        </w:rPr>
        <w:t>Debt discounts and issuance costs are deferred and amortized over the life of the related loan using the effective interest method. The associated expense is included in interest expense in the condensed consolidated statements of operations and comprehensive income. Debt discounts and issuance costs are presented as a reduction of long-term debt with the exception of debt issuance costs related to the New Revolving Facility, which are included in other non-current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ind w:left="40" w:right="79"/>
        <w:spacing w:after="0" w:line="276" w:lineRule="auto"/>
        <w:rPr>
          <w:sz w:val="20"/>
          <w:szCs w:val="20"/>
          <w:color w:val="auto"/>
        </w:rPr>
      </w:pPr>
      <w:r>
        <w:rPr>
          <w:rFonts w:ascii="Arial" w:cs="Arial" w:eastAsia="Arial" w:hAnsi="Arial"/>
          <w:sz w:val="17"/>
          <w:szCs w:val="17"/>
          <w:color w:val="auto"/>
        </w:rPr>
        <w:t>assets in the condensed consolidated balance sheets. As of July 3, 2022 and January 2, 2022, unamortized debt issuance costs recorded within other non-current assets were $0.4 million and $0.4 million, respectively.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Future minimum payments of principal on the Company’s outstanding debt were as follows (in thousands):</w:t>
      </w:r>
    </w:p>
    <w:p>
      <w:pPr>
        <w:spacing w:after="0" w:line="21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Fiscal Year Ending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Amounts</w:t>
            </w:r>
          </w:p>
        </w:tc>
      </w:tr>
      <w:tr>
        <w:trPr>
          <w:trHeight w:val="197"/>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2022 (remaining six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6240" w:type="dxa"/>
            <w:vAlign w:val="bottom"/>
          </w:tcPr>
          <w:p>
            <w:pPr>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r>
      <w:tr>
        <w:trPr>
          <w:trHeight w:val="197"/>
        </w:trPr>
        <w:tc>
          <w:tcPr>
            <w:tcW w:w="6240" w:type="dxa"/>
            <w:vAlign w:val="bottom"/>
          </w:tcPr>
          <w:p>
            <w:pPr>
              <w:ind w:left="100"/>
              <w:spacing w:after="0"/>
              <w:rPr>
                <w:sz w:val="20"/>
                <w:szCs w:val="20"/>
                <w:color w:val="auto"/>
              </w:rPr>
            </w:pPr>
            <w:r>
              <w:rPr>
                <w:rFonts w:ascii="Arial" w:cs="Arial" w:eastAsia="Arial" w:hAnsi="Arial"/>
                <w:sz w:val="17"/>
                <w:szCs w:val="17"/>
                <w:color w:val="auto"/>
              </w:rPr>
              <w:t>Total principal amount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60" w:hanging="614"/>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i w:val="1"/>
          <w:iCs w:val="1"/>
          <w:u w:val="single" w:color="auto"/>
          <w:color w:val="auto"/>
        </w:rPr>
        <w:t>Subsequent to the adoption of ASC 842</w:t>
      </w:r>
    </w:p>
    <w:p>
      <w:pPr>
        <w:spacing w:after="0" w:line="316"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Arial" w:cs="Arial" w:eastAsia="Arial" w:hAnsi="Arial"/>
          <w:sz w:val="16"/>
          <w:szCs w:val="16"/>
          <w:i w:val="1"/>
          <w:iCs w:val="1"/>
          <w:color w:val="auto"/>
        </w:rPr>
        <w:t>Leases</w:t>
      </w:r>
      <w:r>
        <w:rPr>
          <w:rFonts w:ascii="Arial" w:cs="Arial" w:eastAsia="Arial" w:hAnsi="Arial"/>
          <w:sz w:val="16"/>
          <w:szCs w:val="16"/>
          <w:color w:val="auto"/>
        </w:rPr>
        <w:t>. The Company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The Company also elected the practical expedient to combine lease and non-lease components.</w:t>
      </w:r>
    </w:p>
    <w:p>
      <w:pPr>
        <w:spacing w:after="0" w:line="172" w:lineRule="exact"/>
        <w:rPr>
          <w:sz w:val="20"/>
          <w:szCs w:val="20"/>
          <w:color w:val="auto"/>
        </w:rPr>
      </w:pPr>
    </w:p>
    <w:p>
      <w:pPr>
        <w:jc w:val="both"/>
        <w:ind w:left="40" w:right="59" w:firstLine="307"/>
        <w:spacing w:after="0" w:line="291" w:lineRule="auto"/>
        <w:rPr>
          <w:sz w:val="20"/>
          <w:szCs w:val="20"/>
          <w:color w:val="auto"/>
        </w:rPr>
      </w:pPr>
      <w:r>
        <w:rPr>
          <w:rFonts w:ascii="Arial" w:cs="Arial" w:eastAsia="Arial" w:hAnsi="Arial"/>
          <w:sz w:val="15"/>
          <w:szCs w:val="15"/>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twelve months or less. The Company has one finance lease and multiple operating leases that are combined and included in the lease right-of-use assets, lease liabilities, current, and lease liabilities, noncurrent on the Company’s condensed consolidated balance sheets.</w:t>
      </w:r>
    </w:p>
    <w:p>
      <w:pPr>
        <w:spacing w:after="0" w:line="160"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The Company primarily leases its distribution facilities and corporate offices under operating lease agreements expiring on various dates through December 2031, most of which contain options to extend. As of January 3, 2022, the Company had various operating leases with a lease term of less than 12 months for its office spaces. In addition to payment of base rent, the Company is also required to pay property taxes, insurance, and common area maintenance expenses. The Company records lease expense on a straight-line basis over the term of the lease. As of July 3, 2022, the Company had a remaining obligation for the base rent related to the short-term leases in the amount of $0.6 million.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Company also leases equipment under one finance lease agreement commencing in 2022 that expires in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79" w:firstLine="307"/>
        <w:spacing w:after="0" w:line="276" w:lineRule="auto"/>
        <w:rPr>
          <w:sz w:val="20"/>
          <w:szCs w:val="20"/>
          <w:color w:val="auto"/>
        </w:rPr>
      </w:pPr>
      <w:r>
        <w:rPr>
          <w:rFonts w:ascii="Arial" w:cs="Arial" w:eastAsia="Arial" w:hAnsi="Arial"/>
          <w:sz w:val="17"/>
          <w:szCs w:val="17"/>
          <w:color w:val="auto"/>
        </w:rPr>
        <w:t>As of July 3, 2022, the future minimum lease payments for the Company’s operating and finance leases for each of the fiscal years were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Fiscal Year Ending:</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Operating Leases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6"/>
              </w:rPr>
              <w:t>Finance Leases</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Total</w:t>
            </w:r>
          </w:p>
        </w:tc>
      </w:tr>
      <w:tr>
        <w:trPr>
          <w:trHeight w:val="198"/>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2022 (remaining six months)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2,815</w:t>
            </w:r>
          </w:p>
        </w:tc>
      </w:tr>
      <w:tr>
        <w:trPr>
          <w:trHeight w:val="205"/>
        </w:trPr>
        <w:tc>
          <w:tcPr>
            <w:tcW w:w="3500" w:type="dxa"/>
            <w:vAlign w:val="bottom"/>
          </w:tcPr>
          <w:p>
            <w:pPr>
              <w:spacing w:after="0"/>
              <w:rPr>
                <w:sz w:val="20"/>
                <w:szCs w:val="20"/>
                <w:color w:val="auto"/>
              </w:rPr>
            </w:pPr>
            <w:r>
              <w:rPr>
                <w:rFonts w:ascii="Arial" w:cs="Arial" w:eastAsia="Arial" w:hAnsi="Arial"/>
                <w:sz w:val="17"/>
                <w:szCs w:val="17"/>
                <w:color w:val="auto"/>
              </w:rPr>
              <w:t>2023</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5,433</w:t>
            </w:r>
          </w:p>
        </w:tc>
      </w:tr>
      <w:tr>
        <w:trPr>
          <w:trHeight w:val="20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5,582</w:t>
            </w:r>
          </w:p>
        </w:tc>
      </w:tr>
      <w:tr>
        <w:trPr>
          <w:trHeight w:val="205"/>
        </w:trPr>
        <w:tc>
          <w:tcPr>
            <w:tcW w:w="3500" w:type="dxa"/>
            <w:vAlign w:val="bottom"/>
          </w:tcPr>
          <w:p>
            <w:pPr>
              <w:spacing w:after="0"/>
              <w:rPr>
                <w:sz w:val="20"/>
                <w:szCs w:val="20"/>
                <w:color w:val="auto"/>
              </w:rPr>
            </w:pPr>
            <w:r>
              <w:rPr>
                <w:rFonts w:ascii="Arial" w:cs="Arial" w:eastAsia="Arial" w:hAnsi="Arial"/>
                <w:sz w:val="17"/>
                <w:szCs w:val="17"/>
                <w:color w:val="auto"/>
              </w:rPr>
              <w:t>2025</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6,163</w:t>
            </w:r>
          </w:p>
        </w:tc>
      </w:tr>
      <w:tr>
        <w:trPr>
          <w:trHeight w:val="20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w:t>
            </w:r>
          </w:p>
        </w:tc>
      </w:tr>
      <w:tr>
        <w:trPr>
          <w:trHeight w:val="205"/>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10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16,604</w:t>
            </w:r>
          </w:p>
        </w:tc>
      </w:tr>
      <w:tr>
        <w:trPr>
          <w:trHeight w:val="197"/>
        </w:trPr>
        <w:tc>
          <w:tcPr>
            <w:tcW w:w="3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undiscounted lease payment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41,113</w:t>
            </w:r>
          </w:p>
        </w:tc>
      </w:tr>
      <w:tr>
        <w:trPr>
          <w:trHeight w:val="205"/>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Present value adjustment</w:t>
            </w:r>
          </w:p>
        </w:tc>
        <w:tc>
          <w:tcPr>
            <w:tcW w:w="10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(8,648)</w:t>
            </w:r>
          </w:p>
        </w:tc>
      </w:tr>
      <w:tr>
        <w:trPr>
          <w:trHeight w:val="197"/>
        </w:trPr>
        <w:tc>
          <w:tcPr>
            <w:tcW w:w="3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lease liabilities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32,465</w:t>
            </w:r>
          </w:p>
        </w:tc>
      </w:tr>
      <w:tr>
        <w:trPr>
          <w:trHeight w:val="205"/>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lease liabilities, current</w:t>
            </w:r>
          </w:p>
        </w:tc>
        <w:tc>
          <w:tcPr>
            <w:tcW w:w="10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3,708</w:t>
            </w:r>
          </w:p>
        </w:tc>
      </w:tr>
      <w:tr>
        <w:trPr>
          <w:trHeight w:val="197"/>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liabilities, noncurrent</w:t>
            </w: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26,560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28,757</w:t>
            </w:r>
          </w:p>
        </w:tc>
      </w:tr>
      <w:tr>
        <w:trPr>
          <w:trHeight w:val="20"/>
        </w:trPr>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76"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The following information represents supplemental disclosure of lease costs, components of the statement of cash flows related to operating and finance leases and components of right-of-use assets (in thousands):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238"/>
              <w:spacing w:after="0"/>
              <w:rPr>
                <w:sz w:val="20"/>
                <w:szCs w:val="20"/>
                <w:color w:val="auto"/>
              </w:rPr>
            </w:pPr>
            <w:r>
              <w:rPr>
                <w:rFonts w:ascii="Arial" w:cs="Arial" w:eastAsia="Arial" w:hAnsi="Arial"/>
                <w:sz w:val="14"/>
                <w:szCs w:val="14"/>
                <w:b w:val="1"/>
                <w:bCs w:val="1"/>
                <w:color w:val="auto"/>
                <w:w w:val="89"/>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ind w:right="498"/>
              <w:spacing w:after="0" w:line="141" w:lineRule="exact"/>
              <w:rPr>
                <w:sz w:val="20"/>
                <w:szCs w:val="20"/>
                <w:color w:val="auto"/>
              </w:rPr>
            </w:pPr>
            <w:r>
              <w:rPr>
                <w:rFonts w:ascii="Arial" w:cs="Arial" w:eastAsia="Arial" w:hAnsi="Arial"/>
                <w:sz w:val="14"/>
                <w:szCs w:val="14"/>
                <w:b w:val="1"/>
                <w:bCs w:val="1"/>
                <w:color w:val="auto"/>
              </w:rPr>
              <w:t>July 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jc w:val="right"/>
              <w:ind w:right="519"/>
              <w:spacing w:after="0" w:line="141"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7"/>
                <w:szCs w:val="17"/>
                <w:color w:val="auto"/>
              </w:rPr>
              <w:t>Finance lease cost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638"/>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41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Amortization of ROU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ind w:left="80"/>
              <w:spacing w:after="0"/>
              <w:rPr>
                <w:sz w:val="20"/>
                <w:szCs w:val="20"/>
                <w:color w:val="auto"/>
              </w:rPr>
            </w:pPr>
            <w:r>
              <w:rPr>
                <w:rFonts w:ascii="Arial" w:cs="Arial" w:eastAsia="Arial" w:hAnsi="Arial"/>
                <w:sz w:val="17"/>
                <w:szCs w:val="17"/>
                <w:color w:val="auto"/>
              </w:rPr>
              <w:t>Interest on lease liabilities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Short-term lease cost</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Variable lease cost</w:t>
            </w:r>
          </w:p>
        </w:tc>
        <w:tc>
          <w:tcPr>
            <w:tcW w:w="8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37"/>
        </w:trPr>
        <w:tc>
          <w:tcPr>
            <w:tcW w:w="4160" w:type="dxa"/>
            <w:vAlign w:val="bottom"/>
            <w:gridSpan w:val="2"/>
          </w:tcPr>
          <w:p>
            <w:pPr>
              <w:spacing w:after="0"/>
              <w:rPr>
                <w:sz w:val="20"/>
                <w:szCs w:val="20"/>
                <w:color w:val="auto"/>
              </w:rPr>
            </w:pPr>
            <w:r>
              <w:rPr>
                <w:rFonts w:ascii="Arial" w:cs="Arial" w:eastAsia="Arial" w:hAnsi="Arial"/>
                <w:sz w:val="17"/>
                <w:szCs w:val="17"/>
                <w:color w:val="auto"/>
              </w:rPr>
              <w:t>Total lease cost</w:t>
            </w:r>
          </w:p>
        </w:tc>
        <w:tc>
          <w:tcPr>
            <w:tcW w:w="8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1,790</w:t>
            </w:r>
          </w:p>
        </w:tc>
        <w:tc>
          <w:tcPr>
            <w:tcW w:w="4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3,371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140" w:type="dxa"/>
            <w:vAlign w:val="bottom"/>
          </w:tcPr>
          <w:p>
            <w:pPr>
              <w:spacing w:after="0" w:line="193" w:lineRule="exact"/>
              <w:rPr>
                <w:sz w:val="20"/>
                <w:szCs w:val="20"/>
                <w:color w:val="auto"/>
              </w:rPr>
            </w:pPr>
            <w:r>
              <w:rPr>
                <w:rFonts w:ascii="Arial" w:cs="Arial" w:eastAsia="Arial" w:hAnsi="Arial"/>
                <w:sz w:val="17"/>
                <w:szCs w:val="17"/>
                <w:color w:val="auto"/>
                <w:w w:val="99"/>
              </w:rPr>
              <w:t>Cash paid for amounts included in the measurement of</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spacing w:after="0"/>
              <w:rPr>
                <w:sz w:val="20"/>
                <w:szCs w:val="20"/>
                <w:color w:val="auto"/>
              </w:rPr>
            </w:pPr>
            <w:r>
              <w:rPr>
                <w:rFonts w:ascii="Arial" w:cs="Arial" w:eastAsia="Arial" w:hAnsi="Arial"/>
                <w:sz w:val="17"/>
                <w:szCs w:val="17"/>
                <w:color w:val="auto"/>
              </w:rPr>
              <w:t>lease 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cash flows from operating leases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ind w:left="80"/>
              <w:spacing w:after="0"/>
              <w:rPr>
                <w:sz w:val="20"/>
                <w:szCs w:val="20"/>
                <w:color w:val="auto"/>
              </w:rPr>
            </w:pPr>
            <w:r>
              <w:rPr>
                <w:rFonts w:ascii="Arial" w:cs="Arial" w:eastAsia="Arial" w:hAnsi="Arial"/>
                <w:sz w:val="17"/>
                <w:szCs w:val="17"/>
                <w:color w:val="auto"/>
              </w:rPr>
              <w:t>Operating cash flows from finance leases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7"/>
                <w:szCs w:val="17"/>
                <w:color w:val="auto"/>
              </w:rPr>
              <w:t>Financing cash flows from finance leases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Right-of-use assets obtained in exchange for new finance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line="193" w:lineRule="exact"/>
              <w:rPr>
                <w:sz w:val="20"/>
                <w:szCs w:val="20"/>
                <w:color w:val="auto"/>
              </w:rPr>
            </w:pPr>
            <w:r>
              <w:rPr>
                <w:rFonts w:ascii="Arial" w:cs="Arial" w:eastAsia="Arial" w:hAnsi="Arial"/>
                <w:sz w:val="17"/>
                <w:szCs w:val="17"/>
                <w:color w:val="auto"/>
              </w:rPr>
              <w:t>Right-of-use assets obtained in exchange for new</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spacing w:after="0"/>
              <w:rPr>
                <w:sz w:val="20"/>
                <w:szCs w:val="20"/>
                <w:color w:val="auto"/>
              </w:rPr>
            </w:pPr>
            <w:r>
              <w:rPr>
                <w:rFonts w:ascii="Arial" w:cs="Arial" w:eastAsia="Arial" w:hAnsi="Arial"/>
                <w:sz w:val="17"/>
                <w:szCs w:val="17"/>
                <w:color w:val="auto"/>
              </w:rPr>
              <w:t>operating lease liabilities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1,839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1,839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w w:val="96"/>
              </w:rPr>
              <w:t>Weighted-average remaining lease term - finance leases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45 months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45 months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w w:val="93"/>
              </w:rPr>
              <w:t>Weighted-average remaining lease term - operating leases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months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months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Weighted-average discount rate - finance leases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3.00%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discount rate - operating leases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651"/>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tcPr>
          <w:p>
            <w:pPr>
              <w:jc w:val="right"/>
              <w:ind w:right="39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8"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Prior to the adoption of ASC 842</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Rent expense for non-cancelable operating leases was $0.7 million and $1.5 million for the three and six months ended July 4, 2021, respectively, and was included within general and administrative expenses in the condensed consolidated statements of operations and comprehensive income.</w:t>
      </w:r>
    </w:p>
    <w:p>
      <w:pPr>
        <w:spacing w:after="0" w:line="176" w:lineRule="exact"/>
        <w:rPr>
          <w:sz w:val="20"/>
          <w:szCs w:val="20"/>
          <w:color w:val="auto"/>
        </w:rPr>
      </w:pPr>
    </w:p>
    <w:p>
      <w:pPr>
        <w:ind w:left="40" w:right="1259"/>
        <w:spacing w:after="0" w:line="276" w:lineRule="auto"/>
        <w:rPr>
          <w:sz w:val="20"/>
          <w:szCs w:val="20"/>
          <w:color w:val="auto"/>
        </w:rPr>
      </w:pPr>
      <w:r>
        <w:rPr>
          <w:rFonts w:ascii="Arial" w:cs="Arial" w:eastAsia="Arial" w:hAnsi="Arial"/>
          <w:sz w:val="17"/>
          <w:szCs w:val="17"/>
          <w:color w:val="auto"/>
        </w:rPr>
        <w:t>Future minimum lease payments under non-cancelable operating leases as of January 2, 2022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Fiscal Year Ending:</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Amounts</w:t>
            </w:r>
          </w:p>
        </w:tc>
      </w:tr>
      <w:tr>
        <w:trPr>
          <w:trHeight w:val="197"/>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4,899</w:t>
            </w:r>
          </w:p>
        </w:tc>
      </w:tr>
      <w:tr>
        <w:trPr>
          <w:trHeight w:val="205"/>
        </w:trPr>
        <w:tc>
          <w:tcPr>
            <w:tcW w:w="7200" w:type="dxa"/>
            <w:vAlign w:val="bottom"/>
          </w:tcPr>
          <w:p>
            <w:pPr>
              <w:spacing w:after="0"/>
              <w:rPr>
                <w:sz w:val="20"/>
                <w:szCs w:val="20"/>
                <w:color w:val="auto"/>
              </w:rPr>
            </w:pPr>
            <w:r>
              <w:rPr>
                <w:rFonts w:ascii="Arial" w:cs="Arial" w:eastAsia="Arial" w:hAnsi="Arial"/>
                <w:sz w:val="17"/>
                <w:szCs w:val="17"/>
                <w:color w:val="auto"/>
              </w:rPr>
              <w:t>2023</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4,263</w:t>
            </w: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3,879</w:t>
            </w:r>
          </w:p>
        </w:tc>
      </w:tr>
      <w:tr>
        <w:trPr>
          <w:trHeight w:val="205"/>
        </w:trPr>
        <w:tc>
          <w:tcPr>
            <w:tcW w:w="7200" w:type="dxa"/>
            <w:vAlign w:val="bottom"/>
          </w:tcPr>
          <w:p>
            <w:pPr>
              <w:spacing w:after="0"/>
              <w:rPr>
                <w:sz w:val="20"/>
                <w:szCs w:val="20"/>
                <w:color w:val="auto"/>
              </w:rPr>
            </w:pPr>
            <w:r>
              <w:rPr>
                <w:rFonts w:ascii="Arial" w:cs="Arial" w:eastAsia="Arial" w:hAnsi="Arial"/>
                <w:sz w:val="17"/>
                <w:szCs w:val="17"/>
                <w:color w:val="auto"/>
              </w:rPr>
              <w:t>2025</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4,017</w:t>
            </w: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w:t>
            </w:r>
          </w:p>
        </w:tc>
      </w:tr>
      <w:tr>
        <w:trPr>
          <w:trHeight w:val="205"/>
        </w:trPr>
        <w:tc>
          <w:tcPr>
            <w:tcW w:w="7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5,037</w:t>
            </w:r>
          </w:p>
        </w:tc>
      </w:tr>
      <w:tr>
        <w:trPr>
          <w:trHeight w:val="197"/>
        </w:trPr>
        <w:tc>
          <w:tcPr>
            <w:tcW w:w="7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24,522</w:t>
            </w: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hanging="614"/>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Litigation and Other</w:t>
      </w:r>
    </w:p>
    <w:p>
      <w:pPr>
        <w:spacing w:after="0" w:line="214" w:lineRule="exact"/>
        <w:rPr>
          <w:sz w:val="20"/>
          <w:szCs w:val="20"/>
          <w:color w:val="auto"/>
        </w:rPr>
      </w:pPr>
    </w:p>
    <w:p>
      <w:pPr>
        <w:jc w:val="both"/>
        <w:ind w:left="40" w:right="59" w:firstLine="307"/>
        <w:spacing w:after="0" w:line="292" w:lineRule="auto"/>
        <w:rPr>
          <w:sz w:val="20"/>
          <w:szCs w:val="20"/>
          <w:color w:val="auto"/>
        </w:rPr>
      </w:pPr>
      <w:r>
        <w:rPr>
          <w:rFonts w:ascii="Arial" w:cs="Arial" w:eastAsia="Arial" w:hAnsi="Arial"/>
          <w:sz w:val="15"/>
          <w:szCs w:val="15"/>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Therefore, the Company has not recorded a reserve for any contingencies.</w:t>
      </w:r>
    </w:p>
    <w:p>
      <w:pPr>
        <w:spacing w:after="0" w:line="158" w:lineRule="exact"/>
        <w:rPr>
          <w:sz w:val="20"/>
          <w:szCs w:val="20"/>
          <w:color w:val="auto"/>
        </w:rPr>
      </w:pPr>
    </w:p>
    <w:p>
      <w:pPr>
        <w:jc w:val="both"/>
        <w:ind w:left="40" w:right="59" w:firstLine="307"/>
        <w:spacing w:after="0" w:line="277" w:lineRule="auto"/>
        <w:rPr>
          <w:sz w:val="20"/>
          <w:szCs w:val="20"/>
          <w:color w:val="auto"/>
        </w:rPr>
      </w:pPr>
      <w:r>
        <w:rPr>
          <w:rFonts w:ascii="Arial" w:cs="Arial" w:eastAsia="Arial" w:hAnsi="Arial"/>
          <w:sz w:val="16"/>
          <w:szCs w:val="16"/>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July 3, 2022, the Company was not aware of any currently pending legal matters or claims, individually or in the aggregate, that are expected to have a material adverse impact on its condensed consolidated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condensed consolidated financial statements as a result of these provisions.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2" w:lineRule="exact"/>
        <w:rPr>
          <w:sz w:val="20"/>
          <w:szCs w:val="20"/>
          <w:color w:val="auto"/>
        </w:rPr>
      </w:pPr>
    </w:p>
    <w:p>
      <w:pPr>
        <w:ind w:left="660" w:hanging="614"/>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Preferred Stock</w:t>
      </w:r>
    </w:p>
    <w:p>
      <w:pPr>
        <w:spacing w:after="0" w:line="218" w:lineRule="exact"/>
        <w:rPr>
          <w:sz w:val="20"/>
          <w:szCs w:val="20"/>
          <w:color w:val="auto"/>
        </w:rPr>
      </w:pPr>
    </w:p>
    <w:p>
      <w:pPr>
        <w:jc w:val="both"/>
        <w:ind w:left="40" w:right="59" w:firstLine="307"/>
        <w:spacing w:after="0" w:line="277" w:lineRule="auto"/>
        <w:rPr>
          <w:sz w:val="20"/>
          <w:szCs w:val="20"/>
          <w:color w:val="auto"/>
        </w:rPr>
      </w:pPr>
      <w:r>
        <w:rPr>
          <w:rFonts w:ascii="Arial" w:cs="Arial" w:eastAsia="Arial" w:hAnsi="Arial"/>
          <w:sz w:val="16"/>
          <w:szCs w:val="16"/>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In connection with the Company’s IPO, all convertible preferred stock was converted to the Company’s common stock. As of July 3, 2022 and January 2, 2022, no shares of preferred stock were issued and outstanding.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Series B-1 Redeemable Preferred Stock Issuance</w:t>
      </w:r>
    </w:p>
    <w:p>
      <w:pPr>
        <w:spacing w:after="0" w:line="21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During March 2021, the Company issued and sold 1,450,000 shares of Series B-1 Preferred Stock at $1.00 per share to current executives of the Company. In connection with the offering, the Company filed an amended and restated certificate of incorporation which authorized the issuance of up to 2,500,000 shares of Series B-1 preferred stock with the same rights, preferences and privileges of the Series B redeemable preferred stock and increased the authorized shares of common stock to 24,000,000.</w:t>
      </w:r>
    </w:p>
    <w:p>
      <w:pPr>
        <w:spacing w:after="0" w:line="181" w:lineRule="exact"/>
        <w:rPr>
          <w:sz w:val="20"/>
          <w:szCs w:val="20"/>
          <w:color w:val="auto"/>
        </w:rPr>
      </w:pPr>
    </w:p>
    <w:p>
      <w:pPr>
        <w:jc w:val="both"/>
        <w:ind w:left="40" w:right="59" w:firstLine="307"/>
        <w:spacing w:after="0" w:line="280" w:lineRule="auto"/>
        <w:rPr>
          <w:sz w:val="20"/>
          <w:szCs w:val="20"/>
          <w:color w:val="auto"/>
        </w:rPr>
      </w:pPr>
      <w:r>
        <w:rPr>
          <w:rFonts w:ascii="Arial" w:cs="Arial" w:eastAsia="Arial" w:hAnsi="Arial"/>
          <w:sz w:val="16"/>
          <w:szCs w:val="16"/>
          <w:color w:val="auto"/>
        </w:rPr>
        <w:t>The Company received gross cash proceeds of $1.5 million and incurred nominal issuance costs associated with the Series B-1 Preferred Stock issuance. For accounting purposes, the Company determined the fair value of the Series B-1 Preferred Stock to be $2.02 per share at issuance. The Series B-1 Preferred Stock shares were recorded at fair value and the excess of the fair value over the consideration paid was recorded as equity-based compensation of $1.5 million.</w:t>
      </w:r>
    </w:p>
    <w:p>
      <w:pPr>
        <w:spacing w:after="0" w:line="186" w:lineRule="exact"/>
        <w:rPr>
          <w:sz w:val="20"/>
          <w:szCs w:val="20"/>
          <w:color w:val="auto"/>
        </w:rPr>
      </w:pPr>
    </w:p>
    <w:p>
      <w:pPr>
        <w:ind w:left="660" w:hanging="614"/>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218" w:lineRule="exact"/>
        <w:rPr>
          <w:sz w:val="20"/>
          <w:szCs w:val="20"/>
          <w:color w:val="auto"/>
        </w:rPr>
      </w:pPr>
    </w:p>
    <w:p>
      <w:pPr>
        <w:jc w:val="both"/>
        <w:ind w:left="40" w:right="59" w:firstLine="307"/>
        <w:spacing w:after="0" w:line="293" w:lineRule="auto"/>
        <w:rPr>
          <w:sz w:val="20"/>
          <w:szCs w:val="20"/>
          <w:color w:val="auto"/>
        </w:rPr>
      </w:pPr>
      <w:r>
        <w:rPr>
          <w:rFonts w:ascii="Arial" w:cs="Arial" w:eastAsia="Arial" w:hAnsi="Arial"/>
          <w:sz w:val="15"/>
          <w:szCs w:val="15"/>
          <w:color w:val="auto"/>
        </w:rPr>
        <w:t>The Company has authorized the issuance of 250,000,000 shares of common stock with a $0.001 par value as of July 3, 2022 and January 2, 2022. As of July 3, 2022 and January 2, 2022, there were 38,931,050 and 38,421,124 shares of common stock issued and outstanding.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July 3, 2022, the Company has reserved 322,793 shares of common stock for issuance upon the exercise of stock options, 208,914 shares of common stock to settle the CEO Special Compensation Awards in March 2023, and 3,858,470 shares of common stock for future issuance under the equity plans described in Note 10, Equity-Based Compensation.</w:t>
      </w:r>
    </w:p>
    <w:p>
      <w:pPr>
        <w:spacing w:after="0" w:line="179" w:lineRule="exact"/>
        <w:rPr>
          <w:sz w:val="20"/>
          <w:szCs w:val="20"/>
          <w:color w:val="auto"/>
        </w:rPr>
      </w:pPr>
    </w:p>
    <w:p>
      <w:pPr>
        <w:ind w:left="660" w:hanging="614"/>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Omnibus Equity Plan and Employee Stock Purchase Plan</w:t>
      </w:r>
    </w:p>
    <w:p>
      <w:pPr>
        <w:spacing w:after="0" w:line="214"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In connection with the closing of the IPO, the Company adopted the Omnibus Equity Plan (the “Omnibus Equity Plan”) and the 2021 Employee Stock Purchase Plan (the “ESPP”).</w:t>
      </w:r>
    </w:p>
    <w:p>
      <w:pPr>
        <w:spacing w:after="0" w:line="164"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On April 1, 2022, the Company filed a Registration Statement on Form S-8 (the “Form S-8”) with the SEC for the purpose of registering an aggregate of 5,921,056 shares of the Company’s common stock, consisting of 4,736,845 shares of common stock issuable pursuant to the Omnibus Equity Plan and 1,184,211 shares of common stock issuable pursuant to the ESPP. Under the Omnibus Equity Plan, the Company had 2,674,259 shares available for grant as of July 3, 2022.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174"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Under the ESPP, certain Company employees may purchase shares of the Company’s common stock at a 15% discount in future offerings. The Company initially reserved 743,803 shares of common stock for future issuance under the ESPP, which was subsequently increased to 1,184,211 per the Form S-8. The number of shares of common stock reserved for issuance under the ESPP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As of July 3, 2022, no offerings have commenced under the ESPP, nor have any shares been issued under the ESPP. We anticipate commencing offerings under the ESPP during the third quarter of 2022.</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2021 Equity Plan</w:t>
      </w:r>
    </w:p>
    <w:p>
      <w:pPr>
        <w:spacing w:after="0" w:line="214" w:lineRule="exact"/>
        <w:rPr>
          <w:sz w:val="20"/>
          <w:szCs w:val="20"/>
          <w:color w:val="auto"/>
        </w:rPr>
      </w:pPr>
    </w:p>
    <w:p>
      <w:pPr>
        <w:jc w:val="both"/>
        <w:ind w:left="40" w:right="59" w:firstLine="307"/>
        <w:spacing w:after="0" w:line="256" w:lineRule="auto"/>
        <w:rPr>
          <w:sz w:val="20"/>
          <w:szCs w:val="20"/>
          <w:color w:val="auto"/>
        </w:rPr>
      </w:pPr>
      <w:r>
        <w:rPr>
          <w:rFonts w:ascii="Arial" w:cs="Arial" w:eastAsia="Arial" w:hAnsi="Arial"/>
          <w:sz w:val="17"/>
          <w:szCs w:val="17"/>
          <w:color w:val="auto"/>
        </w:rPr>
        <w:t>In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common shares to satisfy stock option exercises. In connection with the closing of the IPO, no further awards will be granted under the 2021 Equity Plan.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CEO Stock Options and Special Compensation Awards</w:t>
      </w:r>
    </w:p>
    <w:p>
      <w:pPr>
        <w:spacing w:after="0" w:line="214" w:lineRule="exact"/>
        <w:rPr>
          <w:sz w:val="20"/>
          <w:szCs w:val="20"/>
          <w:color w:val="auto"/>
        </w:rPr>
      </w:pPr>
    </w:p>
    <w:p>
      <w:pPr>
        <w:jc w:val="both"/>
        <w:ind w:left="40" w:right="59" w:firstLine="307"/>
        <w:spacing w:after="0" w:line="299" w:lineRule="auto"/>
        <w:rPr>
          <w:sz w:val="20"/>
          <w:szCs w:val="20"/>
          <w:color w:val="auto"/>
        </w:rPr>
      </w:pPr>
      <w:r>
        <w:rPr>
          <w:rFonts w:ascii="Arial" w:cs="Arial" w:eastAsia="Arial" w:hAnsi="Arial"/>
          <w:sz w:val="15"/>
          <w:szCs w:val="15"/>
          <w:color w:val="auto"/>
        </w:rPr>
        <w:t>In April 2021, the Company entered into an Employment Agreement (“Employment Agreement”) with the CEO and granted stock options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w:t>
      </w:r>
    </w:p>
    <w:p>
      <w:pPr>
        <w:spacing w:after="0" w:line="154" w:lineRule="exact"/>
        <w:rPr>
          <w:sz w:val="20"/>
          <w:szCs w:val="20"/>
          <w:color w:val="auto"/>
        </w:rPr>
      </w:pPr>
    </w:p>
    <w:p>
      <w:pPr>
        <w:jc w:val="both"/>
        <w:ind w:left="40" w:right="59" w:firstLine="307"/>
        <w:spacing w:after="0" w:line="291" w:lineRule="auto"/>
        <w:rPr>
          <w:sz w:val="20"/>
          <w:szCs w:val="20"/>
          <w:color w:val="auto"/>
        </w:rPr>
      </w:pPr>
      <w:r>
        <w:rPr>
          <w:rFonts w:ascii="Arial" w:cs="Arial" w:eastAsia="Arial" w:hAnsi="Arial"/>
          <w:sz w:val="15"/>
          <w:szCs w:val="15"/>
          <w:color w:val="auto"/>
        </w:rPr>
        <w:t>Under the Employment Agreement and subject to ongoing employment, and in light of the closing of the IPO, the CEO will receive two bonuses which will be settled in fully-vested shares of the Company’s common stock equal to $3.0 million each ($6.0 million in aggregate) on March 31, 2022 and March 31, 2023. The Company initially concluded that the two bonuses were subject to the guidance within ASC 718 and, were liability-classified upon issuance. Upon the completion of the IPO, the two bonuses became equity-classified as they no longer met the criteria for liability classification. The Company records the equity-based compensation expense on a straight-line basis over the requisite service periods through March 31, 2022 and March 31, 2023. During the three and six months ended July 3, 2022, the Company recognized equity-based compensation related to the two bonuses of $0.4 million and $1.5 million, respectively. During the three and six months ended July 3, 2022, the Company issued 0 and 208,914 of fully-vested shares, respectively, upon satisfaction of the service performed through March 31, 2022. On March 31, 2023, the Company will issue 208,914 fully-vested shares to the CEO upon satisfaction of the requisite service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Options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summary of stock option activity is as follows (in thousands, except per share amounts and years):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84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0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Price per</w:t>
            </w:r>
          </w:p>
        </w:tc>
        <w:tc>
          <w:tcPr>
            <w:tcW w:w="104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40" w:type="dxa"/>
            <w:vAlign w:val="bottom"/>
          </w:tcPr>
          <w:p>
            <w:pPr>
              <w:jc w:val="center"/>
              <w:ind w:right="62"/>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Life (years)</w:t>
            </w:r>
          </w:p>
        </w:tc>
        <w:tc>
          <w:tcPr>
            <w:tcW w:w="14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2,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322,793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720" w:type="dxa"/>
            <w:vAlign w:val="bottom"/>
          </w:tcPr>
          <w:p>
            <w:pPr>
              <w:ind w:left="100"/>
              <w:spacing w:after="0"/>
              <w:rPr>
                <w:sz w:val="20"/>
                <w:szCs w:val="20"/>
                <w:color w:val="auto"/>
              </w:rPr>
            </w:pPr>
            <w:r>
              <w:rPr>
                <w:rFonts w:ascii="Arial" w:cs="Arial" w:eastAsia="Arial" w:hAnsi="Arial"/>
                <w:sz w:val="17"/>
                <w:szCs w:val="17"/>
                <w:color w:val="auto"/>
              </w:rPr>
              <w:t>Granted</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July 3,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7"/>
                <w:szCs w:val="17"/>
                <w:color w:val="auto"/>
              </w:rPr>
              <w:t>Exercisable as of July 3, 2022</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tcBorders>
              <w:bottom w:val="single" w:sz="8" w:color="CCEEFF"/>
            </w:tcBorders>
            <w:vMerge w:val="continue"/>
          </w:tcPr>
          <w:p>
            <w:pPr>
              <w:spacing w:after="0"/>
              <w:rPr>
                <w:sz w:val="19"/>
                <w:szCs w:val="19"/>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161,397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11.35</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8.79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Vested and expected to vest as of July 3, 2022</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322,793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11.35</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8.79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ind w:left="6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There were no options granted during the three and six months ended July 3, 2022. There were 322,793 options granted during the three and six months ended July 4, 2021.</w:t>
      </w:r>
    </w:p>
    <w:p>
      <w:pPr>
        <w:spacing w:after="0" w:line="16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During the three and six months ended July 3, 2022, equity-based compensation expense of $0.3 million and $0.6 million, respectively, and during the three and six months ended July 4, 2021, equity-based compensation expense of $0.2 million was recorded to general and administrative expense related to the stock options. As of July 3, 2022, total unrecognized compensation cost related to unvested stock options was $1.7 million, which is expected to be recognized over a weighted average remaining service period of 1.75 years.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Class P Units</w:t>
      </w:r>
    </w:p>
    <w:p>
      <w:pPr>
        <w:spacing w:after="0" w:line="21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$0.5 million and $0.9 million related to the Class P units was recorded to general and administrative expense in the condensed consolidated statements of operations and comprehensive income for the three and six months ended July 4, 2021, respectively.</w:t>
      </w:r>
    </w:p>
    <w:p>
      <w:pPr>
        <w:spacing w:after="0" w:line="181"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During October 2021, the LP modified the vesting schedule related to 763,178 outstanding Class P units for two senior executives to accelerate vesting if the two senior executives perform service after the completion of the IPO over the subsequent 12-month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is being recognized over the subsequent 12-month period through November 2022.</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Class P Distributions</w:t>
      </w:r>
    </w:p>
    <w:p>
      <w:pPr>
        <w:spacing w:after="0" w:line="214"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With the completion of the IPO, the performance condition for the distributions related to the Class P units was met and the Company recognized a cumulative catch-up to equity-based compensation. Such amounts payable to the former Class P unit holders (“FCPUs”) were included in accrued expenses and other current liabilities as of January 2, 2022. The distributions payable to the FCPUs were determined to be settled in the three months ended April 3, 2022 as a result of agreements reached with the FCPUs, and were recorded as an increase to additional paid-in capital as such amounts were related to the shares of common stock received by the FCPUs as part of the liquidation of the LP in November 2021. The agreements provided for payments to the FCPUs of up to $0.6 million (if future sales of shares of common stock held by the FCPUs during 2022 occur at a price less than the threshold stated in the agreements), which were recorded as equity-based compensation expense in the three months ended April 3, 2022 and in accrued expenses and other current liabilities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7"/>
          <w:szCs w:val="17"/>
          <w:color w:val="auto"/>
        </w:rPr>
        <w:t>as of April 3, 2022. During the three months ended July 3, 2022, the $0.6 million accrual was reversed as the period in which the FCPUs were eligible for this payment expired on June 20, 2022 with one immaterial payment being triggered under this agreement and the remainder being reversed out of equity-based compensation expense.</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Restricted Stock and Restricted Stock Units</w:t>
      </w:r>
    </w:p>
    <w:p>
      <w:pPr>
        <w:spacing w:after="0" w:line="214"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Immediately before the completion of the IPO, the LP was liquidated and the Class P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recorded equity-based compensation expense of $0.7 million and $1.5 million during the three and six months ended July 3, 2022, respectively, related to the exchanged restricted stock. As of July 3, 2022, the unrecognized equity-based compensation expense for all restricted stock is $2.2 million and will be recognized over a weighted-average period of 1.28 years.</w:t>
      </w:r>
    </w:p>
    <w:p>
      <w:pPr>
        <w:spacing w:after="0" w:line="174" w:lineRule="exact"/>
        <w:rPr>
          <w:sz w:val="20"/>
          <w:szCs w:val="20"/>
          <w:color w:val="auto"/>
        </w:rPr>
      </w:pPr>
    </w:p>
    <w:p>
      <w:pPr>
        <w:jc w:val="both"/>
        <w:ind w:left="40" w:right="59" w:firstLine="307"/>
        <w:spacing w:after="0" w:line="256" w:lineRule="auto"/>
        <w:rPr>
          <w:sz w:val="20"/>
          <w:szCs w:val="20"/>
          <w:color w:val="auto"/>
        </w:rPr>
      </w:pPr>
      <w:r>
        <w:rPr>
          <w:rFonts w:ascii="Arial" w:cs="Arial" w:eastAsia="Arial" w:hAnsi="Arial"/>
          <w:sz w:val="17"/>
          <w:szCs w:val="17"/>
          <w:color w:val="auto"/>
        </w:rPr>
        <w:t>During the three and six months ended July 3, 2022, the Company granted 165,800 RSUs and 2,063,444 RSUs, respectively, to certain executives and employees which vest over a two- or three- year service period, and 19,387 RSUs and 100,632 RSUs, respectively, to certain directors which vest over a six-month to three-year service period. The Company recognized equity-based compensation expense of $2.2 million and $4.3 million during the three and six months ended July 3, 2022, respectively, related to the RSUs. As of July 3, 2022, the unrecognized equity-based compensation expense is $13.9 million and will be recognized over a weighted-average period of 2.7 years.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r>
      <w:tr>
        <w:trPr>
          <w:trHeight w:val="141"/>
        </w:trPr>
        <w:tc>
          <w:tcPr>
            <w:tcW w:w="670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4"/>
              </w:rPr>
              <w:t>Restricted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Average Fair</w:t>
            </w:r>
          </w:p>
        </w:tc>
      </w:tr>
      <w:tr>
        <w:trPr>
          <w:trHeight w:val="161"/>
        </w:trPr>
        <w:tc>
          <w:tcPr>
            <w:tcW w:w="67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Value per Share</w:t>
            </w:r>
          </w:p>
        </w:tc>
      </w:tr>
      <w:tr>
        <w:trPr>
          <w:trHeight w:val="197"/>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2, 2022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r>
      <w:tr>
        <w:trPr>
          <w:trHeight w:val="205"/>
        </w:trPr>
        <w:tc>
          <w:tcPr>
            <w:tcW w:w="6700" w:type="dxa"/>
            <w:vAlign w:val="bottom"/>
          </w:tcPr>
          <w:p>
            <w:pPr>
              <w:ind w:left="100"/>
              <w:spacing w:after="0"/>
              <w:rPr>
                <w:sz w:val="20"/>
                <w:szCs w:val="20"/>
                <w:color w:val="auto"/>
              </w:rPr>
            </w:pPr>
            <w:r>
              <w:rPr>
                <w:rFonts w:ascii="Arial" w:cs="Arial" w:eastAsia="Arial" w:hAnsi="Arial"/>
                <w:sz w:val="17"/>
                <w:szCs w:val="17"/>
                <w:color w:val="auto"/>
              </w:rPr>
              <w:t>Restricted stock 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Restricted stock 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r>
      <w:tr>
        <w:trPr>
          <w:trHeight w:val="205"/>
        </w:trPr>
        <w:tc>
          <w:tcPr>
            <w:tcW w:w="67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Restricted stock 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(22,693)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r>
      <w:tr>
        <w:trPr>
          <w:trHeight w:val="19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July 3,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242,765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02"/>
        </w:trPr>
        <w:tc>
          <w:tcPr>
            <w:tcW w:w="67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Unvested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r>
      <w:tr>
        <w:trPr>
          <w:trHeight w:val="205"/>
        </w:trPr>
        <w:tc>
          <w:tcPr>
            <w:tcW w:w="67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Average Fair</w:t>
            </w:r>
          </w:p>
        </w:tc>
      </w:tr>
      <w:tr>
        <w:trPr>
          <w:trHeight w:val="190"/>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Value per Share</w:t>
            </w:r>
          </w:p>
        </w:tc>
      </w:tr>
      <w:tr>
        <w:trPr>
          <w:trHeight w:val="197"/>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2, 2022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6700" w:type="dxa"/>
            <w:vAlign w:val="bottom"/>
          </w:tcPr>
          <w:p>
            <w:pPr>
              <w:ind w:left="100"/>
              <w:spacing w:after="0"/>
              <w:rPr>
                <w:sz w:val="20"/>
                <w:szCs w:val="20"/>
                <w:color w:val="auto"/>
              </w:rPr>
            </w:pPr>
            <w:r>
              <w:rPr>
                <w:rFonts w:ascii="Arial" w:cs="Arial" w:eastAsia="Arial" w:hAnsi="Arial"/>
                <w:sz w:val="17"/>
                <w:szCs w:val="17"/>
                <w:color w:val="auto"/>
              </w:rPr>
              <w:t>Restricted stock units 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2,164,076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9.59</w:t>
            </w:r>
          </w:p>
        </w:tc>
      </w:tr>
      <w:tr>
        <w:trPr>
          <w:trHeight w:val="205"/>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Restricted stock units vested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r>
      <w:tr>
        <w:trPr>
          <w:trHeight w:val="205"/>
        </w:trPr>
        <w:tc>
          <w:tcPr>
            <w:tcW w:w="67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Restricted stock units 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(158,180)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r>
      <w:tr>
        <w:trPr>
          <w:trHeight w:val="19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July 3,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1,580,701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660" w:hanging="614"/>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8" w:lineRule="exact"/>
        <w:rPr>
          <w:sz w:val="20"/>
          <w:szCs w:val="20"/>
          <w:color w:val="auto"/>
        </w:rPr>
      </w:pPr>
    </w:p>
    <w:p>
      <w:pPr>
        <w:jc w:val="both"/>
        <w:ind w:left="40" w:right="59" w:firstLine="307"/>
        <w:spacing w:after="0" w:line="287" w:lineRule="auto"/>
        <w:rPr>
          <w:sz w:val="20"/>
          <w:szCs w:val="20"/>
          <w:color w:val="auto"/>
        </w:rPr>
      </w:pPr>
      <w:r>
        <w:rPr>
          <w:rFonts w:ascii="Arial" w:cs="Arial" w:eastAsia="Arial" w:hAnsi="Arial"/>
          <w:sz w:val="16"/>
          <w:szCs w:val="16"/>
          <w:color w:val="auto"/>
        </w:rPr>
        <w:t>Beginning in fiscal 2022, the Company’s quarterly tax provision is calculated using an estimated annual effective tax rate (“ETR”), adjusted for discrete items arising in the period. In each quarter, this estimated annual ETR is updated, and a year-to-date calculation of the provision is made. Prior to fiscal 2022, the Company’s quarterly tax provision was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jc w:val="both"/>
        <w:ind w:left="40" w:right="59"/>
        <w:spacing w:after="0" w:line="276" w:lineRule="auto"/>
        <w:rPr>
          <w:sz w:val="20"/>
          <w:szCs w:val="20"/>
          <w:color w:val="auto"/>
        </w:rPr>
      </w:pPr>
      <w:r>
        <w:rPr>
          <w:rFonts w:ascii="Arial" w:cs="Arial" w:eastAsia="Arial" w:hAnsi="Arial"/>
          <w:sz w:val="17"/>
          <w:szCs w:val="17"/>
          <w:color w:val="auto"/>
        </w:rPr>
        <w:t xml:space="preserve">calculated using a discrete approach, as allowed by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discrete method was previously applied when it was not possible to reliably estimate the annual effective tax rate.</w:t>
      </w:r>
    </w:p>
    <w:p>
      <w:pPr>
        <w:spacing w:after="0" w:line="164"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All of the Company’s income before income taxes is from the United States. The following table presents the components of the provision for income taxes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9"/>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r>
      <w:tr>
        <w:trPr>
          <w:trHeight w:val="141"/>
        </w:trPr>
        <w:tc>
          <w:tcPr>
            <w:tcW w:w="4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right"/>
              <w:ind w:right="460"/>
              <w:spacing w:after="0" w:line="141"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July 4,</w:t>
            </w:r>
          </w:p>
        </w:tc>
      </w:tr>
      <w:tr>
        <w:trPr>
          <w:trHeight w:val="161"/>
        </w:trPr>
        <w:tc>
          <w:tcPr>
            <w:tcW w:w="47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10,794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5"/>
        </w:trPr>
        <w:tc>
          <w:tcPr>
            <w:tcW w:w="4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1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(4,795)</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(3,296)</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197"/>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1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(44.42)</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79"/>
              </w:rPr>
              <w:t>%</w:t>
            </w: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0"/>
        </w:trPr>
        <w:tc>
          <w:tcPr>
            <w:tcW w:w="4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62"/>
        </w:trPr>
        <w:tc>
          <w:tcPr>
            <w:tcW w:w="4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ind w:right="555"/>
              <w:spacing w:after="0"/>
              <w:rPr>
                <w:sz w:val="20"/>
                <w:szCs w:val="20"/>
                <w:color w:val="auto"/>
              </w:rPr>
            </w:pPr>
            <w:r>
              <w:rPr>
                <w:rFonts w:ascii="Arial" w:cs="Arial" w:eastAsia="Arial" w:hAnsi="Arial"/>
                <w:sz w:val="14"/>
                <w:szCs w:val="14"/>
                <w:b w:val="1"/>
                <w:bCs w:val="1"/>
                <w:color w:val="auto"/>
              </w:rPr>
              <w:t>Six Months Ended</w:t>
            </w:r>
          </w:p>
        </w:tc>
      </w:tr>
      <w:tr>
        <w:trPr>
          <w:trHeight w:val="113"/>
        </w:trPr>
        <w:tc>
          <w:tcPr>
            <w:tcW w:w="4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4"/>
          </w:tcPr>
          <w:p>
            <w:pPr>
              <w:jc w:val="right"/>
              <w:ind w:right="480"/>
              <w:spacing w:after="0" w:line="113" w:lineRule="exact"/>
              <w:rPr>
                <w:sz w:val="20"/>
                <w:szCs w:val="20"/>
                <w:color w:val="auto"/>
              </w:rPr>
            </w:pPr>
            <w:r>
              <w:rPr>
                <w:rFonts w:ascii="Arial" w:cs="Arial" w:eastAsia="Arial" w:hAnsi="Arial"/>
                <w:sz w:val="12"/>
                <w:szCs w:val="12"/>
                <w:b w:val="1"/>
                <w:bCs w:val="1"/>
                <w:color w:val="auto"/>
              </w:rPr>
              <w:t>July 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tcPr>
          <w:p>
            <w:pPr>
              <w:ind w:left="180"/>
              <w:spacing w:after="0" w:line="113" w:lineRule="exact"/>
              <w:rPr>
                <w:sz w:val="20"/>
                <w:szCs w:val="20"/>
                <w:color w:val="auto"/>
              </w:rPr>
            </w:pPr>
            <w:r>
              <w:rPr>
                <w:rFonts w:ascii="Arial" w:cs="Arial" w:eastAsia="Arial" w:hAnsi="Arial"/>
                <w:sz w:val="12"/>
                <w:szCs w:val="12"/>
                <w:b w:val="1"/>
                <w:bCs w:val="1"/>
                <w:color w:val="auto"/>
              </w:rPr>
              <w:t>July 4,</w:t>
            </w:r>
          </w:p>
        </w:tc>
      </w:tr>
      <w:tr>
        <w:trPr>
          <w:trHeight w:val="161"/>
        </w:trPr>
        <w:tc>
          <w:tcPr>
            <w:tcW w:w="47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5"/>
        </w:trPr>
        <w:tc>
          <w:tcPr>
            <w:tcW w:w="4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1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(5,856)</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color w:val="auto"/>
                <w:w w:val="89"/>
              </w:rPr>
              <w:t>(3,459)</w:t>
            </w:r>
          </w:p>
        </w:tc>
        <w:tc>
          <w:tcPr>
            <w:tcW w:w="180" w:type="dxa"/>
            <w:vAlign w:val="bottom"/>
            <w:tcBorders>
              <w:bottom w:val="single" w:sz="8" w:color="CCEEFF"/>
            </w:tcBorders>
          </w:tcPr>
          <w:p>
            <w:pPr>
              <w:spacing w:after="0"/>
              <w:rPr>
                <w:sz w:val="17"/>
                <w:szCs w:val="17"/>
                <w:color w:val="auto"/>
              </w:rPr>
            </w:pPr>
          </w:p>
        </w:tc>
      </w:tr>
      <w:tr>
        <w:trPr>
          <w:trHeight w:val="197"/>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1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7"/>
                <w:szCs w:val="17"/>
                <w:color w:val="auto"/>
                <w:w w:val="89"/>
              </w:rPr>
              <w:t>(33.17)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4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For the three and six months ended July 3, 2022, the Company’s effective tax rate differs from the federal income tax rate of 21% primarily due to state taxes, non-deductible executive compensation, and non-deductible equity-based compensation expenses.</w:t>
      </w:r>
    </w:p>
    <w:p>
      <w:pPr>
        <w:spacing w:after="0" w:line="176"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The Company’s effective tax rate for the three and six months ended July 4, 2021, differs from the federal income tax rate of 21% primarily due to state taxes and non-deductible equity-based compensation expenses.</w:t>
      </w:r>
    </w:p>
    <w:p>
      <w:pPr>
        <w:spacing w:after="0" w:line="276" w:lineRule="exact"/>
        <w:rPr>
          <w:sz w:val="20"/>
          <w:szCs w:val="20"/>
          <w:color w:val="auto"/>
        </w:rPr>
      </w:pPr>
    </w:p>
    <w:p>
      <w:pPr>
        <w:ind w:left="660" w:hanging="614"/>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Significant Shareholders</w:t>
      </w:r>
    </w:p>
    <w:p>
      <w:pPr>
        <w:spacing w:after="0" w:line="12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Transactions with the LP</w:t>
      </w:r>
    </w:p>
    <w:p>
      <w:pPr>
        <w:spacing w:after="0" w:line="21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Certain of the Company’s transactions with the LP are classified as a component within additional paid-in capital in the condensed consolidated statements of redeemable preferred stock, convertible preferred stock and stockholders’ equity (deficit) as there are no defined payments or other terms associated with these transactions. Such transactions included equity-based compensation related to outstanding Class P units of $0.5 million and $0.9 million during the three and six months ended July 4, 2021,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LULU’S FASHION LOUNGE HOLDINGS, INC.</w:t>
      </w:r>
    </w:p>
    <w:p>
      <w:pPr>
        <w:spacing w:after="0" w:line="167"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Series B-1 Redeemable Preferred Stock Issuance</w:t>
      </w:r>
    </w:p>
    <w:p>
      <w:pPr>
        <w:spacing w:after="0" w:line="214" w:lineRule="exact"/>
        <w:rPr>
          <w:sz w:val="20"/>
          <w:szCs w:val="20"/>
          <w:color w:val="auto"/>
        </w:rPr>
      </w:pPr>
    </w:p>
    <w:p>
      <w:pPr>
        <w:ind w:left="40" w:right="59" w:firstLine="307"/>
        <w:spacing w:after="0" w:line="263" w:lineRule="auto"/>
        <w:rPr>
          <w:sz w:val="20"/>
          <w:szCs w:val="20"/>
          <w:color w:val="auto"/>
        </w:rPr>
      </w:pPr>
      <w:r>
        <w:rPr>
          <w:rFonts w:ascii="Arial" w:cs="Arial" w:eastAsia="Arial" w:hAnsi="Arial"/>
          <w:sz w:val="17"/>
          <w:szCs w:val="17"/>
          <w:color w:val="auto"/>
        </w:rPr>
        <w:t>The Series B-1 Preferred Stock shares purchased by current executives were recorded at fair value and the excess of the fair value of $2.02 per share over the consideration paid of $1.00 per share was recorded as equity-based compensation of $0.0 million and $1.5 million in the three and six months ended July 4, 2021, respectively.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8" w:lineRule="exact"/>
        <w:rPr>
          <w:sz w:val="20"/>
          <w:szCs w:val="20"/>
          <w:color w:val="auto"/>
        </w:rPr>
      </w:pPr>
    </w:p>
    <w:p>
      <w:pPr>
        <w:jc w:val="both"/>
        <w:ind w:left="40" w:right="59" w:firstLine="307"/>
        <w:spacing w:after="0" w:line="291"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January 2, 2022, filed with the Securities and Exchange Commission (“SEC”) on March 31, 2022 (the “2021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2021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Lulus is a customer-driven, digitally-native fashion brand primarily serving Millennial and Gen Z women. We focus relentlessly on giving our customers what they want. We do this by using data coupled with human insight to deliver a curated and continuously evolving assortment of on-trend, affordable luxury fashion. Our customer obsession sets the tone for everything we do, from our personalized online shopping experience to our exceptional customer service.</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Initial Public Offering</w:t>
      </w:r>
    </w:p>
    <w:p>
      <w:pPr>
        <w:spacing w:after="0" w:line="218" w:lineRule="exact"/>
        <w:rPr>
          <w:sz w:val="20"/>
          <w:szCs w:val="20"/>
          <w:color w:val="auto"/>
        </w:rPr>
      </w:pPr>
    </w:p>
    <w:p>
      <w:pPr>
        <w:jc w:val="both"/>
        <w:ind w:left="40" w:right="59" w:firstLine="307"/>
        <w:spacing w:after="0" w:line="270" w:lineRule="auto"/>
        <w:rPr>
          <w:sz w:val="20"/>
          <w:szCs w:val="20"/>
          <w:color w:val="auto"/>
        </w:rPr>
      </w:pPr>
      <w:r>
        <w:rPr>
          <w:rFonts w:ascii="Arial" w:cs="Arial" w:eastAsia="Arial" w:hAnsi="Arial"/>
          <w:sz w:val="16"/>
          <w:szCs w:val="16"/>
          <w:color w:val="auto"/>
        </w:rPr>
        <w:t>On November 10, 2021, our registration statement on Form S-1 relating to our initial public offering (“IPO”) was declared effective by the SEC and the shares of our common stock began trading on the Nasdaq Global Market on November 11, 2021. The IPO closed on November 15, 2021, pursuant to which we issued and sold 5,750,000 shares of our common stock at a public offering price of $16.00 per share. On November 15, 2021, we received net proceeds of approximately $82.0 million from the IPO, after deducting underwriting discounts and commissions of approximately $6.1 million and other issuance costs of approximately $3.9 million. Immediately prior to the completion of the IPO, we filed an amended and restated certificate of incorporation, which authorized a total of 250,000,000 shares of common stock at $0.001 par value per share, and 10,000,000 shares of preferred stock, $0.001 par value per share.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Impact of the COVID-19 Pandemic</w:t>
      </w:r>
    </w:p>
    <w:p>
      <w:pPr>
        <w:spacing w:after="0" w:line="218" w:lineRule="exact"/>
        <w:rPr>
          <w:sz w:val="20"/>
          <w:szCs w:val="20"/>
          <w:color w:val="auto"/>
        </w:rPr>
      </w:pPr>
    </w:p>
    <w:p>
      <w:pPr>
        <w:jc w:val="both"/>
        <w:ind w:left="40" w:right="59" w:firstLine="307"/>
        <w:spacing w:after="0" w:line="308" w:lineRule="auto"/>
        <w:rPr>
          <w:sz w:val="20"/>
          <w:szCs w:val="20"/>
          <w:color w:val="auto"/>
        </w:rPr>
      </w:pPr>
      <w:r>
        <w:rPr>
          <w:rFonts w:ascii="Arial" w:cs="Arial" w:eastAsia="Arial" w:hAnsi="Arial"/>
          <w:sz w:val="16"/>
          <w:szCs w:val="16"/>
          <w:color w:val="auto"/>
        </w:rPr>
        <w:t>The COVID-19 pandemic has had a material impact on the global fashion apparel, accessories and footwear industry as a significant portion of in-person social, professional, and formal events were postponed or cancelled in 2020 and 2021.</w:t>
      </w:r>
    </w:p>
    <w:p>
      <w:pPr>
        <w:spacing w:after="0" w:line="142"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Our business rebounded from the initial impact of the pandemic on consumer behavior and, for fiscal 2021, our net revenue grew by 51%, compared to the prior year. During the three and six months ended July 3, 2022, our net revenue grew by 27% and 41%, respectively, compared to the same periods of the prior year.</w:t>
      </w:r>
    </w:p>
    <w:p>
      <w:pPr>
        <w:spacing w:after="0" w:line="176" w:lineRule="exact"/>
        <w:rPr>
          <w:sz w:val="20"/>
          <w:szCs w:val="20"/>
          <w:color w:val="auto"/>
        </w:rPr>
      </w:pPr>
    </w:p>
    <w:p>
      <w:pPr>
        <w:jc w:val="both"/>
        <w:ind w:left="40" w:right="59" w:firstLine="307"/>
        <w:spacing w:after="0" w:line="293" w:lineRule="auto"/>
        <w:rPr>
          <w:sz w:val="20"/>
          <w:szCs w:val="20"/>
          <w:color w:val="auto"/>
        </w:rPr>
      </w:pPr>
      <w:r>
        <w:rPr>
          <w:rFonts w:ascii="Arial" w:cs="Arial" w:eastAsia="Arial" w:hAnsi="Arial"/>
          <w:sz w:val="15"/>
          <w:szCs w:val="15"/>
          <w:color w:val="auto"/>
        </w:rPr>
        <w:t>We expect the effects of the COVID-19 pandemic and related macro-economic trends, such as inflation, supply chain pressures, shipping costs and the emergence of new variants of COVID-19, to have a continued impact on our business, results of operations, our growth and financial condition during fiscal 2022. We continue to take actions to adjust to the changing COVID-19 business environment and related inflationary and supply chain pressures, including placing orders earlier than pre-pandemic times, leveraging our “test, learn and reorder” approach to test small order quantities and then graduate successful styles to our re-order algorithms and diversifying our supply chain network to mitigate rising costs and service delays. Although we continue to face a challenging environment due to the COVID-19 pandemic and related macro-economic trends, we have successfully been able to, and plan to continue to take such proactive measures to mitigate the impact on our business.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For additional discussion of risks related to the COVID-19 pandemic and the impact of the COVID-19 pandemic on our Company, see “Risk Factors—Risks Related to our Business—The COVID-19 pandemic has had and may in the future have an adverse effect on our labor workforce availability, supply chain, business, financial condition, cash flows, and results of operations in ways that remain unpredictable” in the 2021 10-K.</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Operating and Financial Metrics</w:t>
      </w:r>
    </w:p>
    <w:p>
      <w:pPr>
        <w:spacing w:after="0" w:line="218"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We collect and analyze operating and financial data to assess the performance of our business and optimize resource allocation. The following table sets forth our key performance indicators for the periods presented.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Six Months Ended</w:t>
            </w:r>
          </w:p>
        </w:tc>
      </w:tr>
      <w:tr>
        <w:trPr>
          <w:trHeight w:val="113"/>
        </w:trPr>
        <w:tc>
          <w:tcPr>
            <w:tcW w:w="3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23"/>
              <w:spacing w:after="0" w:line="113" w:lineRule="exact"/>
              <w:rPr>
                <w:sz w:val="20"/>
                <w:szCs w:val="20"/>
                <w:color w:val="auto"/>
              </w:rPr>
            </w:pPr>
            <w:r>
              <w:rPr>
                <w:rFonts w:ascii="Arial" w:cs="Arial" w:eastAsia="Arial" w:hAnsi="Arial"/>
                <w:sz w:val="12"/>
                <w:szCs w:val="12"/>
                <w:b w:val="1"/>
                <w:bCs w:val="1"/>
                <w:color w:val="auto"/>
              </w:rPr>
              <w:t>July 3,</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00"/>
              <w:spacing w:after="0" w:line="113" w:lineRule="exact"/>
              <w:rPr>
                <w:sz w:val="20"/>
                <w:szCs w:val="20"/>
                <w:color w:val="auto"/>
              </w:rPr>
            </w:pPr>
            <w:r>
              <w:rPr>
                <w:rFonts w:ascii="Arial" w:cs="Arial" w:eastAsia="Arial" w:hAnsi="Arial"/>
                <w:sz w:val="12"/>
                <w:szCs w:val="12"/>
                <w:b w:val="1"/>
                <w:bCs w:val="1"/>
                <w:color w:val="auto"/>
              </w:rPr>
              <w:t>July 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21"/>
              <w:spacing w:after="0" w:line="113" w:lineRule="exact"/>
              <w:rPr>
                <w:sz w:val="20"/>
                <w:szCs w:val="20"/>
                <w:color w:val="auto"/>
              </w:rPr>
            </w:pPr>
            <w:r>
              <w:rPr>
                <w:rFonts w:ascii="Arial" w:cs="Arial" w:eastAsia="Arial" w:hAnsi="Arial"/>
                <w:sz w:val="12"/>
                <w:szCs w:val="12"/>
                <w:b w:val="1"/>
                <w:bCs w:val="1"/>
                <w:color w:val="auto"/>
              </w:rPr>
              <w:t>July 3,</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right"/>
              <w:ind w:right="220"/>
              <w:spacing w:after="0" w:line="113" w:lineRule="exact"/>
              <w:rPr>
                <w:sz w:val="20"/>
                <w:szCs w:val="20"/>
                <w:color w:val="auto"/>
              </w:rPr>
            </w:pPr>
            <w:r>
              <w:rPr>
                <w:rFonts w:ascii="Arial" w:cs="Arial" w:eastAsia="Arial" w:hAnsi="Arial"/>
                <w:sz w:val="12"/>
                <w:szCs w:val="12"/>
                <w:b w:val="1"/>
                <w:bCs w:val="1"/>
                <w:color w:val="auto"/>
              </w:rPr>
              <w:t>July 4,</w:t>
            </w:r>
          </w:p>
        </w:tc>
      </w:tr>
      <w:tr>
        <w:trPr>
          <w:trHeight w:val="161"/>
        </w:trPr>
        <w:tc>
          <w:tcPr>
            <w:tcW w:w="3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r>
      <w:tr>
        <w:trPr>
          <w:trHeight w:val="121"/>
        </w:trPr>
        <w:tc>
          <w:tcPr>
            <w:tcW w:w="3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40" w:type="dxa"/>
            <w:vAlign w:val="bottom"/>
            <w:gridSpan w:val="7"/>
          </w:tcPr>
          <w:p>
            <w:pPr>
              <w:jc w:val="right"/>
              <w:spacing w:after="0" w:line="121" w:lineRule="exact"/>
              <w:rPr>
                <w:sz w:val="20"/>
                <w:szCs w:val="20"/>
                <w:color w:val="auto"/>
              </w:rPr>
            </w:pPr>
            <w:r>
              <w:rPr>
                <w:rFonts w:ascii="Arial" w:cs="Arial" w:eastAsia="Arial" w:hAnsi="Arial"/>
                <w:sz w:val="12"/>
                <w:szCs w:val="12"/>
                <w:b w:val="1"/>
                <w:bCs w:val="1"/>
                <w:color w:val="auto"/>
              </w:rPr>
              <w:t>(in thousands , except percentages and Average</w:t>
            </w:r>
          </w:p>
        </w:tc>
        <w:tc>
          <w:tcPr>
            <w:tcW w:w="40" w:type="dxa"/>
            <w:vAlign w:val="bottom"/>
          </w:tcPr>
          <w:p>
            <w:pPr>
              <w:spacing w:after="0"/>
              <w:rPr>
                <w:sz w:val="10"/>
                <w:szCs w:val="10"/>
                <w:color w:val="auto"/>
              </w:rPr>
            </w:pPr>
          </w:p>
        </w:tc>
        <w:tc>
          <w:tcPr>
            <w:tcW w:w="100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Order Value)</w:t>
            </w:r>
          </w:p>
        </w:tc>
      </w:tr>
      <w:tr>
        <w:trPr>
          <w:trHeight w:val="205"/>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45.8 %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49.6 %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46.5 %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47.8 %</w:t>
            </w:r>
          </w:p>
        </w:tc>
      </w:tr>
      <w:tr>
        <w:trPr>
          <w:trHeight w:val="205"/>
        </w:trPr>
        <w:tc>
          <w:tcPr>
            <w:tcW w:w="3480" w:type="dxa"/>
            <w:vAlign w:val="bottom"/>
          </w:tcPr>
          <w:p>
            <w:pPr>
              <w:spacing w:after="0"/>
              <w:rPr>
                <w:sz w:val="20"/>
                <w:szCs w:val="20"/>
                <w:color w:val="auto"/>
              </w:rPr>
            </w:pPr>
            <w:r>
              <w:rPr>
                <w:rFonts w:ascii="Arial" w:cs="Arial" w:eastAsia="Arial" w:hAnsi="Arial"/>
                <w:sz w:val="17"/>
                <w:szCs w:val="17"/>
                <w:color w:val="auto"/>
              </w:rPr>
              <w:t>Net income</w:t>
            </w: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23"/>
              <w:spacing w:after="0"/>
              <w:rPr>
                <w:sz w:val="20"/>
                <w:szCs w:val="20"/>
                <w:color w:val="auto"/>
              </w:rPr>
            </w:pPr>
            <w:r>
              <w:rPr>
                <w:rFonts w:ascii="Arial" w:cs="Arial" w:eastAsia="Arial" w:hAnsi="Arial"/>
                <w:sz w:val="17"/>
                <w:szCs w:val="17"/>
                <w:color w:val="auto"/>
              </w:rPr>
              <w:t>5,999</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20"/>
              <w:spacing w:after="0"/>
              <w:rPr>
                <w:sz w:val="20"/>
                <w:szCs w:val="20"/>
                <w:color w:val="auto"/>
              </w:rPr>
            </w:pPr>
            <w:r>
              <w:rPr>
                <w:rFonts w:ascii="Arial" w:cs="Arial" w:eastAsia="Arial" w:hAnsi="Arial"/>
                <w:sz w:val="17"/>
                <w:szCs w:val="17"/>
                <w:color w:val="auto"/>
              </w:rPr>
              <w:t>8,344</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21"/>
              <w:spacing w:after="0"/>
              <w:rPr>
                <w:sz w:val="20"/>
                <w:szCs w:val="20"/>
                <w:color w:val="auto"/>
              </w:rPr>
            </w:pPr>
            <w:r>
              <w:rPr>
                <w:rFonts w:ascii="Arial" w:cs="Arial" w:eastAsia="Arial" w:hAnsi="Arial"/>
                <w:sz w:val="17"/>
                <w:szCs w:val="17"/>
                <w:color w:val="auto"/>
              </w:rPr>
              <w:t>8,042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20"/>
              <w:spacing w:after="0"/>
              <w:rPr>
                <w:sz w:val="20"/>
                <w:szCs w:val="20"/>
                <w:color w:val="auto"/>
              </w:rPr>
            </w:pPr>
            <w:r>
              <w:rPr>
                <w:rFonts w:ascii="Arial" w:cs="Arial" w:eastAsia="Arial" w:hAnsi="Arial"/>
                <w:sz w:val="17"/>
                <w:szCs w:val="17"/>
                <w:color w:val="auto"/>
              </w:rPr>
              <w:t>6,969</w:t>
            </w:r>
          </w:p>
        </w:tc>
      </w:tr>
      <w:tr>
        <w:trPr>
          <w:trHeight w:val="205"/>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 (1)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w w:val="96"/>
              </w:rPr>
              <w:t>14,793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w w:val="96"/>
              </w:rPr>
              <w:t>17,774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w w:val="96"/>
              </w:rPr>
              <w:t>24,704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w w:val="99"/>
              </w:rPr>
              <w:t>23,164</w:t>
            </w:r>
          </w:p>
        </w:tc>
      </w:tr>
      <w:tr>
        <w:trPr>
          <w:trHeight w:val="205"/>
        </w:trPr>
        <w:tc>
          <w:tcPr>
            <w:tcW w:w="3480" w:type="dxa"/>
            <w:vAlign w:val="bottom"/>
          </w:tcPr>
          <w:p>
            <w:pPr>
              <w:spacing w:after="0"/>
              <w:rPr>
                <w:sz w:val="20"/>
                <w:szCs w:val="20"/>
                <w:color w:val="auto"/>
              </w:rPr>
            </w:pPr>
            <w:r>
              <w:rPr>
                <w:rFonts w:ascii="Arial" w:cs="Arial" w:eastAsia="Arial" w:hAnsi="Arial"/>
                <w:sz w:val="17"/>
                <w:szCs w:val="17"/>
                <w:color w:val="auto"/>
              </w:rPr>
              <w:t>Adjusted EBITDA Margin (1)</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3"/>
              <w:spacing w:after="0"/>
              <w:rPr>
                <w:sz w:val="20"/>
                <w:szCs w:val="20"/>
                <w:color w:val="auto"/>
              </w:rPr>
            </w:pPr>
            <w:r>
              <w:rPr>
                <w:rFonts w:ascii="Arial" w:cs="Arial" w:eastAsia="Arial" w:hAnsi="Arial"/>
                <w:sz w:val="17"/>
                <w:szCs w:val="17"/>
                <w:color w:val="auto"/>
              </w:rPr>
              <w:t>11.2 %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17.2 %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10.1 %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7"/>
                <w:szCs w:val="17"/>
                <w:color w:val="auto"/>
              </w:rPr>
              <w:t>13.4 %</w:t>
            </w:r>
          </w:p>
        </w:tc>
      </w:tr>
      <w:tr>
        <w:trPr>
          <w:trHeight w:val="205"/>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Active Customers (2)</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rPr>
              <w:t>3,250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2,130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rPr>
              <w:t>3,250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2,130</w:t>
            </w:r>
          </w:p>
        </w:tc>
      </w:tr>
      <w:tr>
        <w:trPr>
          <w:trHeight w:val="216"/>
        </w:trPr>
        <w:tc>
          <w:tcPr>
            <w:tcW w:w="3480" w:type="dxa"/>
            <w:vAlign w:val="bottom"/>
          </w:tcPr>
          <w:p>
            <w:pPr>
              <w:spacing w:after="0"/>
              <w:rPr>
                <w:sz w:val="20"/>
                <w:szCs w:val="20"/>
                <w:color w:val="auto"/>
              </w:rPr>
            </w:pPr>
            <w:r>
              <w:rPr>
                <w:rFonts w:ascii="Arial" w:cs="Arial" w:eastAsia="Arial" w:hAnsi="Arial"/>
                <w:sz w:val="17"/>
                <w:szCs w:val="17"/>
                <w:color w:val="auto"/>
              </w:rPr>
              <w:t>Average Order Value</w:t>
            </w: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23"/>
              <w:spacing w:after="0"/>
              <w:rPr>
                <w:sz w:val="20"/>
                <w:szCs w:val="20"/>
                <w:color w:val="auto"/>
              </w:rPr>
            </w:pPr>
            <w:r>
              <w:rPr>
                <w:rFonts w:ascii="Arial" w:cs="Arial" w:eastAsia="Arial" w:hAnsi="Arial"/>
                <w:sz w:val="17"/>
                <w:szCs w:val="17"/>
                <w:color w:val="auto"/>
              </w:rPr>
              <w:t>137</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20"/>
              <w:spacing w:after="0"/>
              <w:rPr>
                <w:sz w:val="20"/>
                <w:szCs w:val="20"/>
                <w:color w:val="auto"/>
              </w:rPr>
            </w:pPr>
            <w:r>
              <w:rPr>
                <w:rFonts w:ascii="Arial" w:cs="Arial" w:eastAsia="Arial" w:hAnsi="Arial"/>
                <w:sz w:val="17"/>
                <w:szCs w:val="17"/>
                <w:color w:val="auto"/>
              </w:rPr>
              <w:t>121</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21"/>
              <w:spacing w:after="0"/>
              <w:rPr>
                <w:sz w:val="20"/>
                <w:szCs w:val="20"/>
                <w:color w:val="auto"/>
              </w:rPr>
            </w:pPr>
            <w:r>
              <w:rPr>
                <w:rFonts w:ascii="Arial" w:cs="Arial" w:eastAsia="Arial" w:hAnsi="Arial"/>
                <w:sz w:val="17"/>
                <w:szCs w:val="17"/>
                <w:color w:val="auto"/>
              </w:rPr>
              <w:t>135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20"/>
              <w:spacing w:after="0"/>
              <w:rPr>
                <w:sz w:val="20"/>
                <w:szCs w:val="20"/>
                <w:color w:val="auto"/>
              </w:rPr>
            </w:pPr>
            <w:r>
              <w:rPr>
                <w:rFonts w:ascii="Arial" w:cs="Arial" w:eastAsia="Arial" w:hAnsi="Arial"/>
                <w:sz w:val="17"/>
                <w:szCs w:val="17"/>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49530</wp:posOffset>
            </wp:positionV>
            <wp:extent cx="14135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23" w:lineRule="exact"/>
        <w:rPr>
          <w:sz w:val="20"/>
          <w:szCs w:val="20"/>
          <w:color w:val="auto"/>
        </w:rPr>
      </w:pPr>
    </w:p>
    <w:p>
      <w:pPr>
        <w:ind w:left="360" w:right="179" w:hanging="314"/>
        <w:spacing w:after="0" w:line="255"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2" w:lineRule="exact"/>
        <w:rPr>
          <w:rFonts w:ascii="Arial" w:cs="Arial" w:eastAsia="Arial" w:hAnsi="Arial"/>
          <w:sz w:val="17"/>
          <w:szCs w:val="17"/>
          <w:color w:val="auto"/>
        </w:rPr>
      </w:pPr>
    </w:p>
    <w:p>
      <w:pPr>
        <w:ind w:left="360" w:right="459" w:hanging="314"/>
        <w:spacing w:after="0" w:line="262"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Active Customers count is based on de-duplication logic using customer account and guest checkout name, address, and email information. Active Customer count is as of the last day of the relevant period.</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Active Customers</w:t>
      </w:r>
    </w:p>
    <w:p>
      <w:pPr>
        <w:spacing w:after="0" w:line="21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We define Active Customers as the number of customers who have made at least one purchase across our platform in the prior 12-month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Customers counts are based on de-duplication logic using customer account and guest checkout name, address, and email information.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Average Order Value</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Total Orders Placed</w:t>
      </w:r>
    </w:p>
    <w:p>
      <w:pPr>
        <w:spacing w:after="0" w:line="214" w:lineRule="exact"/>
        <w:rPr>
          <w:sz w:val="20"/>
          <w:szCs w:val="20"/>
          <w:color w:val="auto"/>
        </w:rPr>
      </w:pPr>
    </w:p>
    <w:p>
      <w:pPr>
        <w:jc w:val="both"/>
        <w:ind w:left="40" w:right="59" w:firstLine="307"/>
        <w:spacing w:after="0" w:line="256" w:lineRule="auto"/>
        <w:rPr>
          <w:sz w:val="20"/>
          <w:szCs w:val="20"/>
          <w:color w:val="auto"/>
        </w:rPr>
      </w:pPr>
      <w:r>
        <w:rPr>
          <w:rFonts w:ascii="Arial" w:cs="Arial" w:eastAsia="Arial" w:hAnsi="Arial"/>
          <w:sz w:val="17"/>
          <w:szCs w:val="17"/>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Average Order Value, is an indicator of the net revenue we expect to generate in a particular period.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Gross Margin</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Non-GAAP Financial Measures</w:t>
      </w:r>
    </w:p>
    <w:p>
      <w:pPr>
        <w:spacing w:after="0" w:line="218" w:lineRule="exact"/>
        <w:rPr>
          <w:sz w:val="20"/>
          <w:szCs w:val="20"/>
          <w:color w:val="auto"/>
        </w:rPr>
      </w:pPr>
    </w:p>
    <w:p>
      <w:pPr>
        <w:jc w:val="both"/>
        <w:ind w:left="40" w:right="59" w:firstLine="368"/>
        <w:spacing w:after="0" w:line="275" w:lineRule="auto"/>
        <w:rPr>
          <w:sz w:val="20"/>
          <w:szCs w:val="20"/>
          <w:color w:val="auto"/>
        </w:rPr>
      </w:pPr>
      <w:r>
        <w:rPr>
          <w:rFonts w:ascii="Arial" w:cs="Arial" w:eastAsia="Arial" w:hAnsi="Arial"/>
          <w:sz w:val="16"/>
          <w:szCs w:val="16"/>
          <w:color w:val="auto"/>
        </w:rPr>
        <w:t>We report our financial results in accordance with generally accepted accounting principles in the U.S. (“GAAP”). However, management believes that certain non-GAAP financial measures provide investors of our financial information with additional useful information in evaluating our performance and that excluding certain items that may vary substantially in frequency and magnitude period-to-period from net income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Adjusted EBITDA is a non-GAAP financial measure that we calculate as income before interest expense, income taxes, depreciation and amortization, adjusted to exclude the effects of equity-based compensation expense, and management fees. Adjusted EBITDA is a key measure used by management to evaluate our operating performance, generate future operating plans and make strategic decisions regarding the allocation of capital.</w:t>
      </w:r>
    </w:p>
    <w:p>
      <w:pPr>
        <w:spacing w:after="0" w:line="179" w:lineRule="exact"/>
        <w:rPr>
          <w:sz w:val="20"/>
          <w:szCs w:val="20"/>
          <w:color w:val="auto"/>
        </w:rPr>
      </w:pPr>
    </w:p>
    <w:p>
      <w:pPr>
        <w:jc w:val="both"/>
        <w:ind w:left="40" w:right="59" w:firstLine="368"/>
        <w:spacing w:after="0" w:line="277" w:lineRule="auto"/>
        <w:rPr>
          <w:sz w:val="20"/>
          <w:szCs w:val="20"/>
          <w:color w:val="auto"/>
        </w:rPr>
      </w:pPr>
      <w:r>
        <w:rPr>
          <w:rFonts w:ascii="Arial" w:cs="Arial" w:eastAsia="Arial" w:hAnsi="Arial"/>
          <w:sz w:val="16"/>
          <w:szCs w:val="16"/>
          <w:color w:val="auto"/>
        </w:rPr>
        <w:t>To supplement our condensed consolidated financial statements which are prepared in accordance with GAAP, we use “Adjusted EBITDA” and “Adjusted EBITDA Margin” which are non-GAAP financial measures (collectively referred to as “Adjusted EBITDA”).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66" w:lineRule="exact"/>
        <w:rPr>
          <w:sz w:val="20"/>
          <w:szCs w:val="20"/>
          <w:color w:val="auto"/>
        </w:rPr>
      </w:pPr>
    </w:p>
    <w:p>
      <w:pPr>
        <w:ind w:left="1000" w:right="59" w:hanging="315"/>
        <w:spacing w:after="0" w:line="27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64" w:lineRule="exact"/>
        <w:rPr>
          <w:rFonts w:ascii="Arial" w:cs="Arial" w:eastAsia="Arial" w:hAnsi="Arial"/>
          <w:sz w:val="17"/>
          <w:szCs w:val="17"/>
          <w:color w:val="auto"/>
        </w:rPr>
      </w:pPr>
    </w:p>
    <w:p>
      <w:pPr>
        <w:ind w:left="1000" w:hanging="315"/>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our working capital needs;</w:t>
      </w:r>
    </w:p>
    <w:p>
      <w:pPr>
        <w:spacing w:after="0" w:line="213" w:lineRule="exact"/>
        <w:rPr>
          <w:rFonts w:ascii="Arial" w:cs="Arial" w:eastAsia="Arial" w:hAnsi="Arial"/>
          <w:sz w:val="17"/>
          <w:szCs w:val="17"/>
          <w:color w:val="auto"/>
        </w:rPr>
      </w:pPr>
    </w:p>
    <w:p>
      <w:pPr>
        <w:ind w:left="1000" w:right="59" w:hanging="315"/>
        <w:spacing w:after="0" w:line="27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principal payments on our debt;</w:t>
      </w:r>
    </w:p>
    <w:p>
      <w:pPr>
        <w:spacing w:after="0" w:line="164" w:lineRule="exact"/>
        <w:rPr>
          <w:rFonts w:ascii="Arial" w:cs="Arial" w:eastAsia="Arial" w:hAnsi="Arial"/>
          <w:sz w:val="17"/>
          <w:szCs w:val="17"/>
          <w:color w:val="auto"/>
        </w:rPr>
      </w:pPr>
    </w:p>
    <w:p>
      <w:pPr>
        <w:ind w:left="1000" w:hanging="315"/>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our tax expense or the cash requirements to pay our taxes;</w:t>
      </w:r>
    </w:p>
    <w:p>
      <w:pPr>
        <w:spacing w:after="0" w:line="213" w:lineRule="exact"/>
        <w:rPr>
          <w:rFonts w:ascii="Arial" w:cs="Arial" w:eastAsia="Arial" w:hAnsi="Arial"/>
          <w:sz w:val="17"/>
          <w:szCs w:val="17"/>
          <w:color w:val="auto"/>
        </w:rPr>
      </w:pPr>
    </w:p>
    <w:p>
      <w:pPr>
        <w:ind w:left="1000" w:right="59" w:hanging="315"/>
        <w:spacing w:after="0" w:line="345" w:lineRule="auto"/>
        <w:tabs>
          <w:tab w:leader="none" w:pos="10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such measures do not reflect any cash requirements for such replacements; and</w:t>
      </w:r>
    </w:p>
    <w:p>
      <w:pPr>
        <w:spacing w:after="0" w:line="118" w:lineRule="exact"/>
        <w:rPr>
          <w:rFonts w:ascii="Arial" w:cs="Arial" w:eastAsia="Arial" w:hAnsi="Arial"/>
          <w:sz w:val="15"/>
          <w:szCs w:val="15"/>
          <w:color w:val="auto"/>
        </w:rPr>
      </w:pPr>
    </w:p>
    <w:p>
      <w:pPr>
        <w:ind w:left="1000" w:right="59" w:hanging="315"/>
        <w:spacing w:after="0" w:line="27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 our industry may calculate such measures differently than we do, limiting their usefulness as comparative measures.</w:t>
      </w:r>
    </w:p>
    <w:p>
      <w:pPr>
        <w:spacing w:after="0" w:line="164" w:lineRule="exact"/>
        <w:rPr>
          <w:sz w:val="20"/>
          <w:szCs w:val="20"/>
          <w:color w:val="auto"/>
        </w:rPr>
      </w:pPr>
    </w:p>
    <w:p>
      <w:pPr>
        <w:jc w:val="both"/>
        <w:ind w:left="40" w:right="59" w:firstLine="368"/>
        <w:spacing w:after="0" w:line="272" w:lineRule="auto"/>
        <w:rPr>
          <w:sz w:val="20"/>
          <w:szCs w:val="20"/>
          <w:color w:val="auto"/>
        </w:rPr>
      </w:pPr>
      <w:r>
        <w:rPr>
          <w:rFonts w:ascii="Arial" w:cs="Arial" w:eastAsia="Arial" w:hAnsi="Arial"/>
          <w:sz w:val="16"/>
          <w:szCs w:val="16"/>
          <w:color w:val="auto"/>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management fees and equity-based compensation.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7"/>
          <w:szCs w:val="17"/>
          <w:color w:val="auto"/>
        </w:rPr>
        <w:t>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provides a reconciliation for Adjusted EBITDA and Adjusted EBITDA Margin:</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655"/>
              <w:spacing w:after="0"/>
              <w:rPr>
                <w:sz w:val="20"/>
                <w:szCs w:val="20"/>
                <w:color w:val="auto"/>
              </w:rPr>
            </w:pPr>
            <w:r>
              <w:rPr>
                <w:rFonts w:ascii="Arial" w:cs="Arial" w:eastAsia="Arial" w:hAnsi="Arial"/>
                <w:sz w:val="14"/>
                <w:szCs w:val="14"/>
                <w:b w:val="1"/>
                <w:bCs w:val="1"/>
                <w:color w:val="auto"/>
              </w:rPr>
              <w:t>Six Months Ended</w:t>
            </w:r>
          </w:p>
        </w:tc>
      </w:tr>
      <w:tr>
        <w:trPr>
          <w:trHeight w:val="113"/>
        </w:trPr>
        <w:tc>
          <w:tcPr>
            <w:tcW w:w="2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jc w:val="right"/>
              <w:ind w:right="295"/>
              <w:spacing w:after="0" w:line="113" w:lineRule="exact"/>
              <w:rPr>
                <w:sz w:val="20"/>
                <w:szCs w:val="20"/>
                <w:color w:val="auto"/>
              </w:rPr>
            </w:pPr>
            <w:r>
              <w:rPr>
                <w:rFonts w:ascii="Arial" w:cs="Arial" w:eastAsia="Arial" w:hAnsi="Arial"/>
                <w:sz w:val="12"/>
                <w:szCs w:val="12"/>
                <w:b w:val="1"/>
                <w:bCs w:val="1"/>
                <w:color w:val="auto"/>
              </w:rPr>
              <w:t>July 3,</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2"/>
          </w:tcPr>
          <w:p>
            <w:pPr>
              <w:jc w:val="right"/>
              <w:ind w:right="315"/>
              <w:spacing w:after="0" w:line="113" w:lineRule="exact"/>
              <w:rPr>
                <w:sz w:val="20"/>
                <w:szCs w:val="20"/>
                <w:color w:val="auto"/>
              </w:rPr>
            </w:pPr>
            <w:r>
              <w:rPr>
                <w:rFonts w:ascii="Arial" w:cs="Arial" w:eastAsia="Arial" w:hAnsi="Arial"/>
                <w:sz w:val="12"/>
                <w:szCs w:val="12"/>
                <w:b w:val="1"/>
                <w:bCs w:val="1"/>
                <w:color w:val="auto"/>
              </w:rPr>
              <w:t>July 4,</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jc w:val="right"/>
              <w:ind w:right="295"/>
              <w:spacing w:after="0" w:line="113" w:lineRule="exact"/>
              <w:rPr>
                <w:sz w:val="20"/>
                <w:szCs w:val="20"/>
                <w:color w:val="auto"/>
              </w:rPr>
            </w:pPr>
            <w:r>
              <w:rPr>
                <w:rFonts w:ascii="Arial" w:cs="Arial" w:eastAsia="Arial" w:hAnsi="Arial"/>
                <w:sz w:val="12"/>
                <w:szCs w:val="12"/>
                <w:b w:val="1"/>
                <w:bCs w:val="1"/>
                <w:color w:val="auto"/>
              </w:rPr>
              <w:t>July 3,</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tcPr>
          <w:p>
            <w:pPr>
              <w:jc w:val="right"/>
              <w:ind w:right="335"/>
              <w:spacing w:after="0" w:line="113" w:lineRule="exact"/>
              <w:rPr>
                <w:sz w:val="20"/>
                <w:szCs w:val="20"/>
                <w:color w:val="auto"/>
              </w:rPr>
            </w:pPr>
            <w:r>
              <w:rPr>
                <w:rFonts w:ascii="Arial" w:cs="Arial" w:eastAsia="Arial" w:hAnsi="Arial"/>
                <w:sz w:val="12"/>
                <w:szCs w:val="12"/>
                <w:b w:val="1"/>
                <w:bCs w:val="1"/>
                <w:color w:val="auto"/>
              </w:rPr>
              <w:t>July 4,</w:t>
            </w:r>
          </w:p>
        </w:tc>
      </w:tr>
      <w:tr>
        <w:trPr>
          <w:trHeight w:val="161"/>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r>
      <w:tr>
        <w:trPr>
          <w:trHeight w:val="121"/>
        </w:trPr>
        <w:tc>
          <w:tcPr>
            <w:tcW w:w="2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4"/>
          </w:tcPr>
          <w:p>
            <w:pPr>
              <w:jc w:val="right"/>
              <w:ind w:right="40"/>
              <w:spacing w:after="0" w:line="121" w:lineRule="exact"/>
              <w:rPr>
                <w:sz w:val="20"/>
                <w:szCs w:val="20"/>
                <w:color w:val="auto"/>
              </w:rPr>
            </w:pPr>
            <w:r>
              <w:rPr>
                <w:rFonts w:ascii="Arial" w:cs="Arial" w:eastAsia="Arial" w:hAnsi="Arial"/>
                <w:sz w:val="12"/>
                <w:szCs w:val="12"/>
                <w:b w:val="1"/>
                <w:bCs w:val="1"/>
                <w:color w:val="auto"/>
              </w:rPr>
              <w:t>(in thousands)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4"/>
          </w:tcPr>
          <w:p>
            <w:pPr>
              <w:jc w:val="right"/>
              <w:ind w:right="20"/>
              <w:spacing w:after="0" w:line="121" w:lineRule="exact"/>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205"/>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8,344</w:t>
            </w: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6,969</w:t>
            </w:r>
          </w:p>
        </w:tc>
        <w:tc>
          <w:tcPr>
            <w:tcW w:w="240" w:type="dxa"/>
            <w:vAlign w:val="bottom"/>
            <w:shd w:val="clear" w:color="auto" w:fill="CCEEFF"/>
          </w:tcPr>
          <w:p>
            <w:pPr>
              <w:spacing w:after="0"/>
              <w:rPr>
                <w:sz w:val="17"/>
                <w:szCs w:val="17"/>
                <w:color w:val="auto"/>
              </w:rPr>
            </w:pPr>
          </w:p>
        </w:tc>
      </w:tr>
      <w:tr>
        <w:trPr>
          <w:trHeight w:val="205"/>
        </w:trPr>
        <w:tc>
          <w:tcPr>
            <w:tcW w:w="318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1,421</w:t>
            </w:r>
          </w:p>
        </w:tc>
        <w:tc>
          <w:tcPr>
            <w:tcW w:w="240" w:type="dxa"/>
            <w:vAlign w:val="bottom"/>
          </w:tcPr>
          <w:p>
            <w:pPr>
              <w:spacing w:after="0"/>
              <w:rPr>
                <w:sz w:val="17"/>
                <w:szCs w:val="17"/>
                <w:color w:val="auto"/>
              </w:rPr>
            </w:pPr>
          </w:p>
        </w:tc>
      </w:tr>
      <w:tr>
        <w:trPr>
          <w:trHeight w:val="205"/>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7,424</w:t>
            </w:r>
          </w:p>
        </w:tc>
        <w:tc>
          <w:tcPr>
            <w:tcW w:w="240" w:type="dxa"/>
            <w:vAlign w:val="bottom"/>
            <w:shd w:val="clear" w:color="auto" w:fill="CCEEFF"/>
          </w:tcPr>
          <w:p>
            <w:pPr>
              <w:spacing w:after="0"/>
              <w:rPr>
                <w:sz w:val="17"/>
                <w:szCs w:val="17"/>
                <w:color w:val="auto"/>
              </w:rPr>
            </w:pPr>
          </w:p>
        </w:tc>
      </w:tr>
      <w:tr>
        <w:trPr>
          <w:trHeight w:val="205"/>
        </w:trPr>
        <w:tc>
          <w:tcPr>
            <w:tcW w:w="3180" w:type="dxa"/>
            <w:vAlign w:val="bottom"/>
            <w:gridSpan w:val="2"/>
          </w:tcPr>
          <w:p>
            <w:pPr>
              <w:spacing w:after="0"/>
              <w:rPr>
                <w:sz w:val="20"/>
                <w:szCs w:val="20"/>
                <w:color w:val="auto"/>
              </w:rPr>
            </w:pPr>
            <w:r>
              <w:rPr>
                <w:rFonts w:ascii="Arial" w:cs="Arial" w:eastAsia="Arial" w:hAnsi="Arial"/>
                <w:sz w:val="17"/>
                <w:szCs w:val="17"/>
                <w:color w:val="auto"/>
              </w:rPr>
              <w:t>Income tax provision</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5,856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3,459</w:t>
            </w:r>
          </w:p>
        </w:tc>
        <w:tc>
          <w:tcPr>
            <w:tcW w:w="240" w:type="dxa"/>
            <w:vAlign w:val="bottom"/>
          </w:tcPr>
          <w:p>
            <w:pPr>
              <w:spacing w:after="0"/>
              <w:rPr>
                <w:sz w:val="17"/>
                <w:szCs w:val="17"/>
                <w:color w:val="auto"/>
              </w:rPr>
            </w:pPr>
          </w:p>
        </w:tc>
      </w:tr>
      <w:tr>
        <w:trPr>
          <w:trHeight w:val="205"/>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Management fees (1)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24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Equity-based compensation expense (2)</w:t>
            </w:r>
          </w:p>
        </w:tc>
        <w:tc>
          <w:tcPr>
            <w:tcW w:w="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2,833</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3,574</w:t>
            </w:r>
          </w:p>
        </w:tc>
        <w:tc>
          <w:tcPr>
            <w:tcW w:w="240" w:type="dxa"/>
            <w:vAlign w:val="bottom"/>
            <w:tcBorders>
              <w:bottom w:val="single" w:sz="8" w:color="CCEEFF"/>
            </w:tcBorders>
          </w:tcPr>
          <w:p>
            <w:pPr>
              <w:spacing w:after="0"/>
              <w:rPr>
                <w:sz w:val="17"/>
                <w:szCs w:val="17"/>
                <w:color w:val="auto"/>
              </w:rPr>
            </w:pPr>
          </w:p>
        </w:tc>
      </w:tr>
      <w:tr>
        <w:trPr>
          <w:trHeight w:val="197"/>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5"/>
        </w:trPr>
        <w:tc>
          <w:tcPr>
            <w:tcW w:w="318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14,793</w:t>
            </w:r>
          </w:p>
        </w:tc>
        <w:tc>
          <w:tcPr>
            <w:tcW w:w="180" w:type="dxa"/>
            <w:vAlign w:val="bottom"/>
          </w:tcPr>
          <w:p>
            <w:pPr>
              <w:spacing w:after="0"/>
              <w:rPr>
                <w:sz w:val="21"/>
                <w:szCs w:val="21"/>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17,774</w:t>
            </w:r>
          </w:p>
        </w:tc>
        <w:tc>
          <w:tcPr>
            <w:tcW w:w="240" w:type="dxa"/>
            <w:vAlign w:val="bottom"/>
          </w:tcPr>
          <w:p>
            <w:pPr>
              <w:spacing w:after="0"/>
              <w:rPr>
                <w:sz w:val="21"/>
                <w:szCs w:val="2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24,704</w:t>
            </w:r>
          </w:p>
        </w:tc>
        <w:tc>
          <w:tcPr>
            <w:tcW w:w="180" w:type="dxa"/>
            <w:vAlign w:val="bottom"/>
          </w:tcPr>
          <w:p>
            <w:pPr>
              <w:spacing w:after="0"/>
              <w:rPr>
                <w:sz w:val="21"/>
                <w:szCs w:val="21"/>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23,164</w:t>
            </w:r>
          </w:p>
        </w:tc>
        <w:tc>
          <w:tcPr>
            <w:tcW w:w="240" w:type="dxa"/>
            <w:vAlign w:val="bottom"/>
          </w:tcPr>
          <w:p>
            <w:pPr>
              <w:spacing w:after="0"/>
              <w:rPr>
                <w:sz w:val="21"/>
                <w:szCs w:val="21"/>
                <w:color w:val="auto"/>
              </w:rPr>
            </w:pPr>
          </w:p>
        </w:tc>
      </w:tr>
      <w:tr>
        <w:trPr>
          <w:trHeight w:val="183"/>
        </w:trPr>
        <w:tc>
          <w:tcPr>
            <w:tcW w:w="3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7"/>
                <w:szCs w:val="17"/>
                <w:color w:val="auto"/>
              </w:rPr>
              <w:t>Adjusted EBITDA Margin</w:t>
            </w: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11.2</w:t>
            </w:r>
          </w:p>
        </w:tc>
        <w:tc>
          <w:tcPr>
            <w:tcW w:w="18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79"/>
              </w:rPr>
              <w:t>%</w:t>
            </w: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17.2</w:t>
            </w:r>
          </w:p>
        </w:tc>
        <w:tc>
          <w:tcPr>
            <w:tcW w:w="240" w:type="dxa"/>
            <w:vAlign w:val="bottom"/>
            <w:tcBorders>
              <w:top w:val="single" w:sz="8" w:color="CCEEFF"/>
            </w:tcBorders>
            <w:shd w:val="clear" w:color="auto" w:fill="CCEEFF"/>
          </w:tcPr>
          <w:p>
            <w:pPr>
              <w:jc w:val="right"/>
              <w:ind w:right="15"/>
              <w:spacing w:after="0" w:line="182" w:lineRule="exact"/>
              <w:rPr>
                <w:sz w:val="20"/>
                <w:szCs w:val="20"/>
                <w:color w:val="auto"/>
              </w:rPr>
            </w:pPr>
            <w:r>
              <w:rPr>
                <w:rFonts w:ascii="Arial" w:cs="Arial" w:eastAsia="Arial" w:hAnsi="Arial"/>
                <w:sz w:val="17"/>
                <w:szCs w:val="17"/>
                <w:color w:val="auto"/>
                <w:w w:val="79"/>
              </w:rPr>
              <w:t>%</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10.1</w:t>
            </w:r>
          </w:p>
        </w:tc>
        <w:tc>
          <w:tcPr>
            <w:tcW w:w="18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79"/>
              </w:rPr>
              <w:t>%</w:t>
            </w: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13.4</w:t>
            </w:r>
          </w:p>
        </w:tc>
        <w:tc>
          <w:tcPr>
            <w:tcW w:w="240" w:type="dxa"/>
            <w:vAlign w:val="bottom"/>
            <w:tcBorders>
              <w:top w:val="single" w:sz="8" w:color="CCEEFF"/>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79"/>
              </w:rPr>
              <w:t>%</w:t>
            </w:r>
          </w:p>
        </w:tc>
      </w:tr>
      <w:tr>
        <w:trPr>
          <w:trHeight w:val="90"/>
        </w:trPr>
        <w:tc>
          <w:tcPr>
            <w:tcW w:w="22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52" w:lineRule="exact"/>
        <w:rPr>
          <w:sz w:val="20"/>
          <w:szCs w:val="20"/>
          <w:color w:val="auto"/>
        </w:rPr>
      </w:pPr>
    </w:p>
    <w:p>
      <w:pPr>
        <w:jc w:val="both"/>
        <w:ind w:left="360" w:right="59" w:hanging="314"/>
        <w:spacing w:after="0" w:line="271"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management fees and expenses paid pursuant to the professional services agreement with H.I.G. Capital, LLC and Institutional Venture Partners for consulting and other services. All outstanding management fees were settled and the management agreement was terminated at the time of the Company’s initial public offering in 2021.</w:t>
      </w:r>
    </w:p>
    <w:p>
      <w:pPr>
        <w:spacing w:after="0" w:line="1" w:lineRule="exact"/>
        <w:rPr>
          <w:rFonts w:ascii="Arial" w:cs="Arial" w:eastAsia="Arial" w:hAnsi="Arial"/>
          <w:sz w:val="16"/>
          <w:szCs w:val="16"/>
          <w:color w:val="auto"/>
        </w:rPr>
      </w:pPr>
    </w:p>
    <w:p>
      <w:pPr>
        <w:jc w:val="both"/>
        <w:ind w:left="360" w:right="59" w:hanging="314"/>
        <w:spacing w:after="0" w:line="254" w:lineRule="auto"/>
        <w:tabs>
          <w:tab w:leader="none" w:pos="3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three and six months ended July 3, 2022, include equity-based compensation expense for restricted stock unit awards granted during these periods, as well as equity-based awards granted in prior periods. The three and six months ended July 4, 2021, include equity-based compensation expense for equity-based awards granted in these periods and prior periods, as well as the excess of fair value over the consideration paid for Series B-1 Preferred Stock that was issued to certain employees in March 2021.</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Debt</w:t>
      </w:r>
    </w:p>
    <w:p>
      <w:pPr>
        <w:spacing w:after="0" w:line="214"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222222"/>
        </w:rPr>
        <w:t>Net Debt is a non-GAAP financial measure that we calculate as total debt, which includes the revolving line of credit, less cash and cash equivalents. We consider Net Debt to be an important supplemental measure of our financial position, which is used by management to analyze our leverage, and which we believe is helpful to investors in order to monitor leverage and evaluate the balance sheet. A limitation associated with using Net Debt is that it subtracts cash and cash equivalents and therefore may imply that there is less Company debt than the most comparable GAAP measure indicates. Our non-GAAP financial measures, including Net Debt, should not be considered in isolation from, or as substitutes for, financial information prepared in accordance with GAAP.</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reconciliation to non-GAAP Net Debt from Total Debt as of July 3, 2022 and January 2, 2022, respectively, is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43"/>
              <w:spacing w:after="0" w:line="134" w:lineRule="exact"/>
              <w:rPr>
                <w:sz w:val="20"/>
                <w:szCs w:val="20"/>
                <w:color w:val="auto"/>
              </w:rPr>
            </w:pPr>
            <w:r>
              <w:rPr>
                <w:rFonts w:ascii="Arial" w:cs="Arial" w:eastAsia="Arial" w:hAnsi="Arial"/>
                <w:sz w:val="14"/>
                <w:szCs w:val="14"/>
                <w:b w:val="1"/>
                <w:bCs w:val="1"/>
                <w:color w:val="auto"/>
                <w:w w:val="99"/>
              </w:rPr>
              <w:t>July 3, 2022</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92"/>
              </w:rPr>
              <w:t>January 2, 2022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4"/>
          </w:tcPr>
          <w:p>
            <w:pPr>
              <w:jc w:val="right"/>
              <w:ind w:right="718"/>
              <w:spacing w:after="0" w:line="121" w:lineRule="exact"/>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Revolving line of credit, long term</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197"/>
        </w:trPr>
        <w:tc>
          <w:tcPr>
            <w:tcW w:w="338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w:t>
            </w:r>
          </w:p>
        </w:tc>
        <w:tc>
          <w:tcPr>
            <w:tcW w:w="3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Debt</w:t>
            </w:r>
          </w:p>
        </w:tc>
        <w:tc>
          <w:tcPr>
            <w:tcW w:w="3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00" w:type="dxa"/>
            <w:vAlign w:val="bottom"/>
            <w:vMerge w:val="restart"/>
          </w:tcPr>
          <w:p>
            <w:pPr>
              <w:jc w:val="right"/>
              <w:ind w:right="1855"/>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8"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Factors Affecting Our Performance</w:t>
      </w:r>
    </w:p>
    <w:p>
      <w:pPr>
        <w:spacing w:after="0" w:line="218"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2021 10-K.</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Customer Acquisition</w:t>
      </w:r>
    </w:p>
    <w:p>
      <w:pPr>
        <w:spacing w:after="0" w:line="214"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digital brand, our marketing strategy is primarily focused on brand awareness marketing and digital advertising in channels like search, social, and programmatic - platforms that enable us to engage our customers where they spend their time, and in many cases also quickly track the success of our marketing, which allows us to adjust and optimize our marketing spend.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Customer Retention</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twelve months ended July 3, 2022, we served 3.2 million Active Customers compared to 2.1 million for the trailing twelve months ended July 4, 2021.</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Inventory Management</w:t>
      </w:r>
    </w:p>
    <w:p>
      <w:pPr>
        <w:spacing w:after="0" w:line="214"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Investment in Our Operations and Infrastructure</w:t>
      </w:r>
    </w:p>
    <w:p>
      <w:pPr>
        <w:spacing w:after="0" w:line="214" w:lineRule="exact"/>
        <w:rPr>
          <w:sz w:val="20"/>
          <w:szCs w:val="20"/>
          <w:color w:val="auto"/>
        </w:rPr>
      </w:pPr>
    </w:p>
    <w:p>
      <w:pPr>
        <w:jc w:val="both"/>
        <w:ind w:left="40" w:right="59" w:firstLine="307"/>
        <w:spacing w:after="0" w:line="273" w:lineRule="auto"/>
        <w:rPr>
          <w:sz w:val="20"/>
          <w:szCs w:val="20"/>
          <w:color w:val="auto"/>
        </w:rPr>
      </w:pPr>
      <w:r>
        <w:rPr>
          <w:rFonts w:ascii="Arial" w:cs="Arial" w:eastAsia="Arial" w:hAnsi="Arial"/>
          <w:sz w:val="16"/>
          <w:szCs w:val="16"/>
          <w:color w:val="auto"/>
        </w:rPr>
        <w:t>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in future growth in our customer base. However, we set a high bar for approval of any capital spending initiative. We believe that our disciplined approach to capital spending will enable us to generate positive returns on our investments over the long term.</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Revenue</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Net revenue consists primarily of gross sales, net of merchandise returns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Net revenue is impacted by our number of customers and their spending habits, Average Order Value, product assortment and availability, and marketing and promotional activities. During any given period, we may seek to increase sales by increasing promotional discounts, and in other periods we may instead seek to increase sales by increasing our selling and marketing expenses. We consider both actions together, so increased promotional discounts in a period, which would reduce net revenue accordingly in such period, might also result in lower selling and marketing expenses in such period. Similarly, if we increase selling and marketing expenses in a given period, promotional discounts may be correspondingly reduced, thereby improving net revenue. We expect our net revenue to increase in absolute dollars as we grow our business, although our net revenue growth rate may slow in future periods.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14"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and shipping product to our customers. We expect our cost of revenue to fluctuate as a percentage of net revenue primarily due to how we manage our inventory and merchandise mix.</w:t>
      </w:r>
    </w:p>
    <w:p>
      <w:pPr>
        <w:spacing w:after="0" w:line="183" w:lineRule="exact"/>
        <w:rPr>
          <w:sz w:val="20"/>
          <w:szCs w:val="20"/>
          <w:color w:val="auto"/>
        </w:rPr>
      </w:pPr>
    </w:p>
    <w:p>
      <w:pPr>
        <w:jc w:val="both"/>
        <w:ind w:left="40" w:right="59" w:firstLine="307"/>
        <w:spacing w:after="0" w:line="254" w:lineRule="auto"/>
        <w:rPr>
          <w:sz w:val="20"/>
          <w:szCs w:val="20"/>
          <w:color w:val="auto"/>
        </w:rPr>
      </w:pPr>
      <w:r>
        <w:rPr>
          <w:rFonts w:ascii="Arial" w:cs="Arial" w:eastAsia="Arial" w:hAnsi="Arial"/>
          <w:sz w:val="17"/>
          <w:szCs w:val="17"/>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We expect our Gross Margin to increase modestly over the long term, as we continue to optimize our distribution capabilities and gain more negotiation leverage with suppliers as we scale, although our Gross Margin may fluctuate from period to period depending on the interplay of these factors.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214" w:lineRule="exact"/>
        <w:rPr>
          <w:sz w:val="20"/>
          <w:szCs w:val="20"/>
          <w:color w:val="auto"/>
        </w:rPr>
      </w:pPr>
    </w:p>
    <w:p>
      <w:pPr>
        <w:jc w:val="both"/>
        <w:ind w:left="40" w:right="59" w:firstLine="307"/>
        <w:spacing w:after="0" w:line="296" w:lineRule="auto"/>
        <w:rPr>
          <w:sz w:val="20"/>
          <w:szCs w:val="20"/>
          <w:color w:val="auto"/>
        </w:rPr>
      </w:pPr>
      <w:r>
        <w:rPr>
          <w:rFonts w:ascii="Arial" w:cs="Arial" w:eastAsia="Arial" w:hAnsi="Arial"/>
          <w:sz w:val="15"/>
          <w:szCs w:val="15"/>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 We expect our selling and marketing expenses to increase in absolute dollars as we continue to invest in increasing brand awareness.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1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meeting our obligations as a public company.</w:t>
      </w:r>
    </w:p>
    <w:p>
      <w:pPr>
        <w:spacing w:after="0" w:line="181"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In the near term, we also expect to incur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increase our legal and financial compliance costs and will make some activities more time consuming and costly. We expect our general and administrative expenses to increase in absolute dollars as we continue to grow our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income (expense), net consists primarily of interest expense and other miscellaneous income.</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14" w:lineRule="exact"/>
        <w:rPr>
          <w:sz w:val="20"/>
          <w:szCs w:val="20"/>
          <w:color w:val="auto"/>
        </w:rPr>
      </w:pPr>
    </w:p>
    <w:p>
      <w:pPr>
        <w:jc w:val="both"/>
        <w:ind w:left="40" w:right="59" w:firstLine="307"/>
        <w:spacing w:after="0" w:line="277" w:lineRule="auto"/>
        <w:rPr>
          <w:sz w:val="20"/>
          <w:szCs w:val="20"/>
          <w:color w:val="auto"/>
        </w:rPr>
      </w:pPr>
      <w:r>
        <w:rPr>
          <w:rFonts w:ascii="Arial" w:cs="Arial" w:eastAsia="Arial" w:hAnsi="Arial"/>
          <w:sz w:val="16"/>
          <w:szCs w:val="16"/>
          <w:color w:val="auto"/>
        </w:rPr>
        <w:t>The provision for income taxes represents federal, state, and local income taxes. The effective rate differs from the statutory rate primarily due to state taxes, non-deductible executive compensation, and non-deductible equity-based compensation expenses.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Results of Operations</w:t>
      </w:r>
    </w:p>
    <w:p>
      <w:pPr>
        <w:spacing w:after="0" w:line="218"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The following tables set forth our consolidated results of operations for the periods presented and as a percentage of net revenue: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r>
      <w:tr>
        <w:trPr>
          <w:trHeight w:val="113"/>
        </w:trPr>
        <w:tc>
          <w:tcPr>
            <w:tcW w:w="3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ind w:left="120"/>
              <w:spacing w:after="0" w:line="113" w:lineRule="exact"/>
              <w:rPr>
                <w:sz w:val="20"/>
                <w:szCs w:val="20"/>
                <w:color w:val="auto"/>
              </w:rPr>
            </w:pPr>
            <w:r>
              <w:rPr>
                <w:rFonts w:ascii="Arial" w:cs="Arial" w:eastAsia="Arial" w:hAnsi="Arial"/>
                <w:sz w:val="12"/>
                <w:szCs w:val="12"/>
                <w:b w:val="1"/>
                <w:bCs w:val="1"/>
                <w:color w:val="auto"/>
              </w:rPr>
              <w:t>July 3,</w:t>
            </w: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jc w:val="right"/>
              <w:ind w:right="479"/>
              <w:spacing w:after="0" w:line="113" w:lineRule="exact"/>
              <w:rPr>
                <w:sz w:val="20"/>
                <w:szCs w:val="20"/>
                <w:color w:val="auto"/>
              </w:rPr>
            </w:pPr>
            <w:r>
              <w:rPr>
                <w:rFonts w:ascii="Arial" w:cs="Arial" w:eastAsia="Arial" w:hAnsi="Arial"/>
                <w:sz w:val="12"/>
                <w:szCs w:val="12"/>
                <w:b w:val="1"/>
                <w:bCs w:val="1"/>
                <w:color w:val="auto"/>
              </w:rPr>
              <w:t>July 4,</w:t>
            </w:r>
          </w:p>
        </w:tc>
        <w:tc>
          <w:tcPr>
            <w:tcW w:w="24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620"/>
              <w:spacing w:after="0" w:line="113" w:lineRule="exact"/>
              <w:rPr>
                <w:sz w:val="20"/>
                <w:szCs w:val="20"/>
                <w:color w:val="auto"/>
              </w:rPr>
            </w:pPr>
            <w:r>
              <w:rPr>
                <w:rFonts w:ascii="Arial" w:cs="Arial" w:eastAsia="Arial" w:hAnsi="Arial"/>
                <w:sz w:val="12"/>
                <w:szCs w:val="12"/>
                <w:b w:val="1"/>
                <w:bCs w:val="1"/>
                <w:color w:val="auto"/>
              </w:rPr>
              <w:t>July 3,</w:t>
            </w: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238"/>
              <w:spacing w:after="0" w:line="113" w:lineRule="exact"/>
              <w:rPr>
                <w:sz w:val="20"/>
                <w:szCs w:val="20"/>
                <w:color w:val="auto"/>
              </w:rPr>
            </w:pPr>
            <w:r>
              <w:rPr>
                <w:rFonts w:ascii="Arial" w:cs="Arial" w:eastAsia="Arial" w:hAnsi="Arial"/>
                <w:sz w:val="12"/>
                <w:szCs w:val="12"/>
                <w:b w:val="1"/>
                <w:bCs w:val="1"/>
                <w:color w:val="auto"/>
              </w:rPr>
              <w:t>July 4,</w:t>
            </w:r>
          </w:p>
        </w:tc>
        <w:tc>
          <w:tcPr>
            <w:tcW w:w="260" w:type="dxa"/>
            <w:vAlign w:val="bottom"/>
          </w:tcPr>
          <w:p>
            <w:pPr>
              <w:spacing w:after="0"/>
              <w:rPr>
                <w:sz w:val="9"/>
                <w:szCs w:val="9"/>
                <w:color w:val="auto"/>
              </w:rPr>
            </w:pPr>
          </w:p>
        </w:tc>
      </w:tr>
      <w:tr>
        <w:trPr>
          <w:trHeight w:val="161"/>
        </w:trPr>
        <w:tc>
          <w:tcPr>
            <w:tcW w:w="3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r>
      <w:tr>
        <w:trPr>
          <w:trHeight w:val="121"/>
        </w:trPr>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rPr>
              <w:t>(in thousands)</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131,512</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103,574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243,414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172,541</w:t>
            </w:r>
          </w:p>
        </w:tc>
        <w:tc>
          <w:tcPr>
            <w:tcW w:w="260" w:type="dxa"/>
            <w:vAlign w:val="bottom"/>
            <w:shd w:val="clear" w:color="auto" w:fill="CCEEFF"/>
          </w:tcPr>
          <w:p>
            <w:pPr>
              <w:spacing w:after="0"/>
              <w:rPr>
                <w:sz w:val="17"/>
                <w:szCs w:val="17"/>
                <w:color w:val="auto"/>
              </w:rPr>
            </w:pPr>
          </w:p>
        </w:tc>
      </w:tr>
      <w:tr>
        <w:trPr>
          <w:trHeight w:val="205"/>
        </w:trPr>
        <w:tc>
          <w:tcPr>
            <w:tcW w:w="3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71,345</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52,154</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130,269</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90,008</w:t>
            </w:r>
          </w:p>
        </w:tc>
        <w:tc>
          <w:tcPr>
            <w:tcW w:w="260" w:type="dxa"/>
            <w:vAlign w:val="bottom"/>
            <w:tcBorders>
              <w:bottom w:val="single" w:sz="8" w:color="CCEEFF"/>
            </w:tcBorders>
          </w:tcPr>
          <w:p>
            <w:pPr>
              <w:spacing w:after="0"/>
              <w:rPr>
                <w:sz w:val="17"/>
                <w:szCs w:val="17"/>
                <w:color w:val="auto"/>
              </w:rPr>
            </w:pPr>
          </w:p>
        </w:tc>
      </w:tr>
      <w:tr>
        <w:trPr>
          <w:trHeight w:val="197"/>
        </w:trPr>
        <w:tc>
          <w:tcPr>
            <w:tcW w:w="3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60,167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51,420</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113,145</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82,533</w:t>
            </w:r>
          </w:p>
        </w:tc>
        <w:tc>
          <w:tcPr>
            <w:tcW w:w="260" w:type="dxa"/>
            <w:vAlign w:val="bottom"/>
            <w:shd w:val="clear" w:color="auto" w:fill="CCEEFF"/>
          </w:tcPr>
          <w:p>
            <w:pPr>
              <w:spacing w:after="0"/>
              <w:rPr>
                <w:sz w:val="17"/>
                <w:szCs w:val="17"/>
                <w:color w:val="auto"/>
              </w:rPr>
            </w:pPr>
          </w:p>
        </w:tc>
      </w:tr>
      <w:tr>
        <w:trPr>
          <w:trHeight w:val="197"/>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expenses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28,499</w:t>
            </w:r>
          </w:p>
        </w:tc>
        <w:tc>
          <w:tcPr>
            <w:tcW w:w="260" w:type="dxa"/>
            <w:vAlign w:val="bottom"/>
            <w:shd w:val="clear" w:color="auto" w:fill="CCEEFF"/>
          </w:tcPr>
          <w:p>
            <w:pPr>
              <w:spacing w:after="0"/>
              <w:rPr>
                <w:sz w:val="17"/>
                <w:szCs w:val="17"/>
                <w:color w:val="auto"/>
              </w:rPr>
            </w:pPr>
          </w:p>
        </w:tc>
      </w:tr>
      <w:tr>
        <w:trPr>
          <w:trHeight w:val="205"/>
        </w:trPr>
        <w:tc>
          <w:tcPr>
            <w:tcW w:w="3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23,392</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21,151</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51,226</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36,240</w:t>
            </w:r>
          </w:p>
        </w:tc>
        <w:tc>
          <w:tcPr>
            <w:tcW w:w="260" w:type="dxa"/>
            <w:vAlign w:val="bottom"/>
            <w:tcBorders>
              <w:bottom w:val="single" w:sz="8" w:color="CCEEFF"/>
            </w:tcBorders>
          </w:tcPr>
          <w:p>
            <w:pPr>
              <w:spacing w:after="0"/>
              <w:rPr>
                <w:sz w:val="17"/>
                <w:szCs w:val="17"/>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15,205</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14,182</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17,794</w:t>
            </w:r>
          </w:p>
        </w:tc>
        <w:tc>
          <w:tcPr>
            <w:tcW w:w="260" w:type="dxa"/>
            <w:vAlign w:val="bottom"/>
            <w:shd w:val="clear" w:color="auto" w:fill="CCEEFF"/>
          </w:tcPr>
          <w:p>
            <w:pPr>
              <w:spacing w:after="0"/>
              <w:rPr>
                <w:sz w:val="17"/>
                <w:szCs w:val="17"/>
                <w:color w:val="auto"/>
              </w:rPr>
            </w:pPr>
          </w:p>
        </w:tc>
      </w:tr>
      <w:tr>
        <w:trPr>
          <w:trHeight w:val="197"/>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5"/>
        </w:trPr>
        <w:tc>
          <w:tcPr>
            <w:tcW w:w="316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(157)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(3,617)</w:t>
            </w:r>
          </w:p>
        </w:tc>
        <w:tc>
          <w:tcPr>
            <w:tcW w:w="3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(365)</w:t>
            </w:r>
          </w:p>
        </w:tc>
        <w:tc>
          <w:tcPr>
            <w:tcW w:w="2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(7,424)</w:t>
            </w:r>
          </w:p>
        </w:tc>
      </w:tr>
      <w:tr>
        <w:trPr>
          <w:trHeight w:val="205"/>
        </w:trPr>
        <w:tc>
          <w:tcPr>
            <w:tcW w:w="3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60" w:type="dxa"/>
            <w:vAlign w:val="bottom"/>
            <w:shd w:val="clear" w:color="auto" w:fill="CCEEFF"/>
          </w:tcPr>
          <w:p>
            <w:pPr>
              <w:spacing w:after="0"/>
              <w:rPr>
                <w:sz w:val="17"/>
                <w:szCs w:val="17"/>
                <w:color w:val="auto"/>
              </w:rPr>
            </w:pPr>
          </w:p>
        </w:tc>
      </w:tr>
      <w:tr>
        <w:trPr>
          <w:trHeight w:val="197"/>
        </w:trPr>
        <w:tc>
          <w:tcPr>
            <w:tcW w:w="3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(7,366)</w:t>
            </w:r>
          </w:p>
        </w:tc>
        <w:tc>
          <w:tcPr>
            <w:tcW w:w="260" w:type="dxa"/>
            <w:vAlign w:val="bottom"/>
            <w:tcBorders>
              <w:bottom w:val="single" w:sz="8" w:color="CCEEFF"/>
            </w:tcBorders>
          </w:tcPr>
          <w:p>
            <w:pPr>
              <w:spacing w:after="0"/>
              <w:rPr>
                <w:sz w:val="17"/>
                <w:szCs w:val="17"/>
                <w:color w:val="auto"/>
              </w:rPr>
            </w:pPr>
          </w:p>
        </w:tc>
      </w:tr>
      <w:tr>
        <w:trPr>
          <w:trHeight w:val="197"/>
        </w:trPr>
        <w:tc>
          <w:tcPr>
            <w:tcW w:w="3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5"/>
        </w:trPr>
        <w:tc>
          <w:tcPr>
            <w:tcW w:w="316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10,794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11,640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13,898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10,428</w:t>
            </w:r>
          </w:p>
        </w:tc>
        <w:tc>
          <w:tcPr>
            <w:tcW w:w="260" w:type="dxa"/>
            <w:vAlign w:val="bottom"/>
          </w:tcPr>
          <w:p>
            <w:pPr>
              <w:spacing w:after="0"/>
              <w:rPr>
                <w:sz w:val="17"/>
                <w:szCs w:val="17"/>
                <w:color w:val="auto"/>
              </w:rPr>
            </w:pP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(4,795)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(3,296)</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(5,856)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(3,459)</w:t>
            </w:r>
          </w:p>
        </w:tc>
      </w:tr>
      <w:tr>
        <w:trPr>
          <w:trHeight w:val="197"/>
        </w:trPr>
        <w:tc>
          <w:tcPr>
            <w:tcW w:w="316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8,344</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8,042</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6,969</w:t>
            </w:r>
          </w:p>
        </w:tc>
        <w:tc>
          <w:tcPr>
            <w:tcW w:w="260" w:type="dxa"/>
            <w:vAlign w:val="bottom"/>
          </w:tcPr>
          <w:p>
            <w:pPr>
              <w:spacing w:after="0"/>
              <w:rPr>
                <w:sz w:val="17"/>
                <w:szCs w:val="17"/>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21"/>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195"/>
              <w:spacing w:after="0"/>
              <w:rPr>
                <w:sz w:val="20"/>
                <w:szCs w:val="20"/>
                <w:color w:val="auto"/>
              </w:rPr>
            </w:pPr>
            <w:r>
              <w:rPr>
                <w:rFonts w:ascii="Arial" w:cs="Arial" w:eastAsia="Arial" w:hAnsi="Arial"/>
                <w:sz w:val="17"/>
                <w:szCs w:val="17"/>
                <w:color w:val="auto"/>
              </w:rPr>
              <w:t>34</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31"/>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8"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9"/>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jc w:val="center"/>
              <w:ind w:left="459"/>
              <w:spacing w:after="0"/>
              <w:rPr>
                <w:sz w:val="20"/>
                <w:szCs w:val="20"/>
                <w:color w:val="auto"/>
              </w:rPr>
            </w:pPr>
            <w:r>
              <w:rPr>
                <w:rFonts w:ascii="Arial" w:cs="Arial" w:eastAsia="Arial" w:hAnsi="Arial"/>
                <w:sz w:val="14"/>
                <w:szCs w:val="14"/>
                <w:b w:val="1"/>
                <w:bCs w:val="1"/>
                <w:color w:val="auto"/>
                <w:w w:val="87"/>
              </w:rPr>
              <w:t>Six Months Ended</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top w:val="single" w:sz="8" w:color="auto"/>
            </w:tcBorders>
            <w:gridSpan w:val="3"/>
          </w:tcPr>
          <w:p>
            <w:pPr>
              <w:ind w:left="400"/>
              <w:spacing w:after="0" w:line="113" w:lineRule="exact"/>
              <w:rPr>
                <w:sz w:val="20"/>
                <w:szCs w:val="20"/>
                <w:color w:val="auto"/>
              </w:rPr>
            </w:pPr>
            <w:r>
              <w:rPr>
                <w:rFonts w:ascii="Arial" w:cs="Arial" w:eastAsia="Arial" w:hAnsi="Arial"/>
                <w:sz w:val="12"/>
                <w:szCs w:val="12"/>
                <w:b w:val="1"/>
                <w:bCs w:val="1"/>
                <w:color w:val="auto"/>
              </w:rPr>
              <w:t>July 3,</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55"/>
              <w:spacing w:after="0" w:line="113" w:lineRule="exact"/>
              <w:rPr>
                <w:sz w:val="20"/>
                <w:szCs w:val="20"/>
                <w:color w:val="auto"/>
              </w:rPr>
            </w:pPr>
            <w:r>
              <w:rPr>
                <w:rFonts w:ascii="Arial" w:cs="Arial" w:eastAsia="Arial" w:hAnsi="Arial"/>
                <w:sz w:val="12"/>
                <w:szCs w:val="12"/>
                <w:b w:val="1"/>
                <w:bCs w:val="1"/>
                <w:color w:val="auto"/>
              </w:rPr>
              <w:t>July 4,</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0" w:type="dxa"/>
            <w:vAlign w:val="bottom"/>
            <w:tcBorders>
              <w:top w:val="single" w:sz="8" w:color="auto"/>
            </w:tcBorders>
            <w:gridSpan w:val="5"/>
          </w:tcPr>
          <w:p>
            <w:pPr>
              <w:jc w:val="center"/>
              <w:ind w:right="880"/>
              <w:spacing w:after="0" w:line="113" w:lineRule="exact"/>
              <w:rPr>
                <w:sz w:val="20"/>
                <w:szCs w:val="20"/>
                <w:color w:val="auto"/>
              </w:rPr>
            </w:pPr>
            <w:r>
              <w:rPr>
                <w:rFonts w:ascii="Arial" w:cs="Arial" w:eastAsia="Arial" w:hAnsi="Arial"/>
                <w:sz w:val="12"/>
                <w:szCs w:val="12"/>
                <w:b w:val="1"/>
                <w:bCs w:val="1"/>
                <w:color w:val="auto"/>
              </w:rPr>
              <w:t>July 3,</w:t>
            </w:r>
          </w:p>
        </w:tc>
        <w:tc>
          <w:tcPr>
            <w:tcW w:w="780" w:type="dxa"/>
            <w:vAlign w:val="bottom"/>
            <w:tcBorders>
              <w:top w:val="single" w:sz="8" w:color="auto"/>
            </w:tcBorders>
            <w:gridSpan w:val="2"/>
          </w:tcPr>
          <w:p>
            <w:pPr>
              <w:jc w:val="center"/>
              <w:ind w:right="295"/>
              <w:spacing w:after="0" w:line="113" w:lineRule="exact"/>
              <w:rPr>
                <w:sz w:val="20"/>
                <w:szCs w:val="20"/>
                <w:color w:val="auto"/>
              </w:rPr>
            </w:pPr>
            <w:r>
              <w:rPr>
                <w:rFonts w:ascii="Arial" w:cs="Arial" w:eastAsia="Arial" w:hAnsi="Arial"/>
                <w:sz w:val="12"/>
                <w:szCs w:val="12"/>
                <w:b w:val="1"/>
                <w:bCs w:val="1"/>
                <w:color w:val="auto"/>
              </w:rPr>
              <w:t>July 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100 %</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100 %</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100 %</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w:t>
            </w: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Gross profit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expenses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 expenses</w:t>
            </w: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5"/>
          </w:tcPr>
          <w:p>
            <w:pPr>
              <w:jc w:val="right"/>
              <w:ind w:right="9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income, net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900" w:type="dxa"/>
            <w:vAlign w:val="bottom"/>
            <w:gridSpan w:val="2"/>
          </w:tcPr>
          <w:p>
            <w:pPr>
              <w:spacing w:after="0"/>
              <w:rPr>
                <w:sz w:val="20"/>
                <w:szCs w:val="20"/>
                <w:color w:val="auto"/>
              </w:rPr>
            </w:pPr>
            <w:r>
              <w:rPr>
                <w:rFonts w:ascii="Arial" w:cs="Arial" w:eastAsia="Arial" w:hAnsi="Arial"/>
                <w:sz w:val="17"/>
                <w:szCs w:val="17"/>
                <w:color w:val="auto"/>
              </w:rPr>
              <w:t>Total other expense, net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w w:val="79"/>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w w:val="79"/>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jc w:val="right"/>
              <w:ind w:right="43"/>
              <w:spacing w:after="0"/>
              <w:rPr>
                <w:sz w:val="20"/>
                <w:szCs w:val="20"/>
                <w:color w:val="auto"/>
              </w:rPr>
            </w:pPr>
            <w:r>
              <w:rPr>
                <w:rFonts w:ascii="Arial" w:cs="Arial" w:eastAsia="Arial" w:hAnsi="Arial"/>
                <w:sz w:val="17"/>
                <w:szCs w:val="17"/>
                <w:color w:val="auto"/>
                <w:w w:val="79"/>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3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00" w:type="dxa"/>
            <w:vAlign w:val="bottom"/>
            <w:gridSpan w:val="13"/>
          </w:tcPr>
          <w:p>
            <w:pPr>
              <w:spacing w:after="0"/>
              <w:rPr>
                <w:sz w:val="20"/>
                <w:szCs w:val="20"/>
                <w:color w:val="auto"/>
              </w:rPr>
            </w:pPr>
            <w:r>
              <w:rPr>
                <w:rFonts w:ascii="Arial" w:cs="Arial" w:eastAsia="Arial" w:hAnsi="Arial"/>
                <w:sz w:val="17"/>
                <w:szCs w:val="17"/>
                <w:b w:val="1"/>
                <w:bCs w:val="1"/>
                <w:i w:val="1"/>
                <w:iCs w:val="1"/>
                <w:color w:val="auto"/>
              </w:rPr>
              <w:t>Comparisons for the Three Months Ended July 3, 2022 and July 4, 2021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2880" w:type="dxa"/>
            <w:vAlign w:val="bottom"/>
          </w:tcPr>
          <w:p>
            <w:pPr>
              <w:ind w:left="300"/>
              <w:spacing w:after="0"/>
              <w:rPr>
                <w:sz w:val="20"/>
                <w:szCs w:val="20"/>
                <w:color w:val="auto"/>
              </w:rPr>
            </w:pPr>
            <w:r>
              <w:rPr>
                <w:rFonts w:ascii="Arial" w:cs="Arial" w:eastAsia="Arial" w:hAnsi="Arial"/>
                <w:sz w:val="17"/>
                <w:szCs w:val="17"/>
                <w:i w:val="1"/>
                <w:iCs w:val="1"/>
                <w:color w:val="auto"/>
              </w:rPr>
              <w:t>Net Revenue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9"/>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Change</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3"/>
          </w:tcPr>
          <w:p>
            <w:pPr>
              <w:jc w:val="right"/>
              <w:ind w:right="720"/>
              <w:spacing w:after="0" w:line="113" w:lineRule="exact"/>
              <w:rPr>
                <w:sz w:val="20"/>
                <w:szCs w:val="20"/>
                <w:color w:val="auto"/>
              </w:rPr>
            </w:pPr>
            <w:r>
              <w:rPr>
                <w:rFonts w:ascii="Arial" w:cs="Arial" w:eastAsia="Arial" w:hAnsi="Arial"/>
                <w:sz w:val="12"/>
                <w:szCs w:val="12"/>
                <w:b w:val="1"/>
                <w:bCs w:val="1"/>
                <w:color w:val="auto"/>
              </w:rPr>
              <w:t>July 3,</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center"/>
              <w:ind w:right="120"/>
              <w:spacing w:after="0" w:line="113" w:lineRule="exact"/>
              <w:rPr>
                <w:sz w:val="20"/>
                <w:szCs w:val="20"/>
                <w:color w:val="auto"/>
              </w:rPr>
            </w:pPr>
            <w:r>
              <w:rPr>
                <w:rFonts w:ascii="Arial" w:cs="Arial" w:eastAsia="Arial" w:hAnsi="Arial"/>
                <w:sz w:val="12"/>
                <w:szCs w:val="12"/>
                <w:b w:val="1"/>
                <w:bCs w:val="1"/>
                <w:color w:val="auto"/>
              </w:rPr>
              <w:t>July 4,</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23"/>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gridSpan w:val="2"/>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tcPr>
          <w:p>
            <w:pPr>
              <w:ind w:left="40"/>
              <w:spacing w:after="0" w:line="121" w:lineRule="exact"/>
              <w:rPr>
                <w:sz w:val="20"/>
                <w:szCs w:val="20"/>
                <w:color w:val="auto"/>
              </w:rPr>
            </w:pPr>
            <w:r>
              <w:rPr>
                <w:rFonts w:ascii="Arial" w:cs="Arial" w:eastAsia="Arial" w:hAnsi="Arial"/>
                <w:sz w:val="12"/>
                <w:szCs w:val="12"/>
                <w:b w:val="1"/>
                <w:bCs w:val="1"/>
                <w:color w:val="auto"/>
              </w:rPr>
              <w:t>(in thousands, except</w:t>
            </w:r>
          </w:p>
        </w:tc>
        <w:tc>
          <w:tcPr>
            <w:tcW w:w="118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percentages)</w:t>
            </w:r>
          </w:p>
        </w:tc>
        <w:tc>
          <w:tcPr>
            <w:tcW w:w="28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131,512</w:t>
            </w:r>
          </w:p>
        </w:tc>
        <w:tc>
          <w:tcPr>
            <w:tcW w:w="2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103,574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27,938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Net revenue increased in the three months ended July 3, 2022 by $27.9 million, or 27%, compared to the three months ended July 4, 2021. The increase is primarily due to an increase in the following key revenue drivers: 29% increase in Total Orders Placed and a 13% increase in the Average Order Value, which was partially offset by higher sales returns in the second quarter of 2022. We also experienced slower net revenue growth as a result of macro-economic pressures impacting our customers’ spending. Further, during May 2022, Google made certain changes to its search algorithms that temporarily negatively impacted our rankings in organic searches, which we believe resulted in lost traffic and sales.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Cost of Revenue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13"/>
        </w:trPr>
        <w:tc>
          <w:tcPr>
            <w:tcW w:w="33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center"/>
              <w:ind w:right="540"/>
              <w:spacing w:after="0" w:line="113" w:lineRule="exact"/>
              <w:rPr>
                <w:sz w:val="20"/>
                <w:szCs w:val="20"/>
                <w:color w:val="auto"/>
              </w:rPr>
            </w:pPr>
            <w:r>
              <w:rPr>
                <w:rFonts w:ascii="Arial" w:cs="Arial" w:eastAsia="Arial" w:hAnsi="Arial"/>
                <w:sz w:val="12"/>
                <w:szCs w:val="12"/>
                <w:b w:val="1"/>
                <w:bCs w:val="1"/>
                <w:color w:val="auto"/>
              </w:rPr>
              <w:t>July 3,</w:t>
            </w: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90"/>
              <w:spacing w:after="0" w:line="113" w:lineRule="exact"/>
              <w:rPr>
                <w:sz w:val="20"/>
                <w:szCs w:val="20"/>
                <w:color w:val="auto"/>
              </w:rPr>
            </w:pPr>
            <w:r>
              <w:rPr>
                <w:rFonts w:ascii="Arial" w:cs="Arial" w:eastAsia="Arial" w:hAnsi="Arial"/>
                <w:sz w:val="12"/>
                <w:szCs w:val="12"/>
                <w:b w:val="1"/>
                <w:bCs w:val="1"/>
                <w:color w:val="auto"/>
              </w:rPr>
              <w:t>July 4,</w:t>
            </w:r>
          </w:p>
        </w:tc>
        <w:tc>
          <w:tcPr>
            <w:tcW w:w="2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74"/>
              </w:rPr>
              <w:t>except</w:t>
            </w:r>
          </w:p>
        </w:tc>
        <w:tc>
          <w:tcPr>
            <w:tcW w:w="220" w:type="dxa"/>
            <w:vAlign w:val="bottom"/>
          </w:tcPr>
          <w:p>
            <w:pPr>
              <w:spacing w:after="0"/>
              <w:rPr>
                <w:sz w:val="14"/>
                <w:szCs w:val="14"/>
                <w:color w:val="auto"/>
              </w:rPr>
            </w:pPr>
          </w:p>
        </w:tc>
        <w:tc>
          <w:tcPr>
            <w:tcW w:w="920" w:type="dxa"/>
            <w:vAlign w:val="bottom"/>
          </w:tcPr>
          <w:p>
            <w:pPr>
              <w:jc w:val="right"/>
              <w:ind w:right="223"/>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0"/>
              <w:spacing w:after="0" w:line="121" w:lineRule="exact"/>
              <w:rPr>
                <w:sz w:val="20"/>
                <w:szCs w:val="20"/>
                <w:color w:val="auto"/>
              </w:rPr>
            </w:pPr>
            <w:r>
              <w:rPr>
                <w:rFonts w:ascii="Arial" w:cs="Arial" w:eastAsia="Arial" w:hAnsi="Arial"/>
                <w:sz w:val="12"/>
                <w:szCs w:val="12"/>
                <w:b w:val="1"/>
                <w:bCs w:val="1"/>
                <w:color w:val="auto"/>
              </w:rPr>
              <w:t>(in thousands,</w:t>
            </w:r>
          </w:p>
        </w:tc>
        <w:tc>
          <w:tcPr>
            <w:tcW w:w="280" w:type="dxa"/>
            <w:vAlign w:val="bottom"/>
            <w:vMerge w:val="continue"/>
          </w:tcPr>
          <w:p>
            <w:pPr>
              <w:spacing w:after="0"/>
              <w:rPr>
                <w:sz w:val="10"/>
                <w:szCs w:val="10"/>
                <w:color w:val="auto"/>
              </w:rPr>
            </w:pPr>
          </w:p>
        </w:tc>
        <w:tc>
          <w:tcPr>
            <w:tcW w:w="1140" w:type="dxa"/>
            <w:vAlign w:val="bottom"/>
            <w:tcBorders>
              <w:top w:val="single" w:sz="8" w:color="auto"/>
            </w:tcBorders>
            <w:gridSpan w:val="2"/>
          </w:tcPr>
          <w:p>
            <w:pPr>
              <w:jc w:val="right"/>
              <w:ind w:right="263"/>
              <w:spacing w:after="0" w:line="121" w:lineRule="exact"/>
              <w:rPr>
                <w:sz w:val="20"/>
                <w:szCs w:val="20"/>
                <w:color w:val="auto"/>
              </w:rPr>
            </w:pPr>
            <w:r>
              <w:rPr>
                <w:rFonts w:ascii="Arial" w:cs="Arial" w:eastAsia="Arial" w:hAnsi="Arial"/>
                <w:sz w:val="12"/>
                <w:szCs w:val="12"/>
                <w:b w:val="1"/>
                <w:bCs w:val="1"/>
                <w:color w:val="auto"/>
              </w:rPr>
              <w:t>percentages)</w:t>
            </w:r>
          </w:p>
        </w:tc>
        <w:tc>
          <w:tcPr>
            <w:tcW w:w="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71,345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52,154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19,191</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Cost of revenue increased in the three months ended July 3, 2022 by $19.2 million, or 37%, compared to the same period last year, which was primarily driven by the increase in our net revenue. Additionally, we recognized higher costs associated with returned products as well as an increase in outbound shipping costs related to fuel surcharges in the three months ended July 3, 2022 compared to the same period of the prior year.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Selling and Marketing Expenses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56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3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center"/>
              <w:ind w:right="520"/>
              <w:spacing w:after="0" w:line="113" w:lineRule="exact"/>
              <w:rPr>
                <w:sz w:val="20"/>
                <w:szCs w:val="20"/>
                <w:color w:val="auto"/>
              </w:rPr>
            </w:pPr>
            <w:r>
              <w:rPr>
                <w:rFonts w:ascii="Arial" w:cs="Arial" w:eastAsia="Arial" w:hAnsi="Arial"/>
                <w:sz w:val="12"/>
                <w:szCs w:val="12"/>
                <w:b w:val="1"/>
                <w:bCs w:val="1"/>
                <w:color w:val="auto"/>
              </w:rPr>
              <w:t>July 3,</w:t>
            </w: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90"/>
              <w:spacing w:after="0" w:line="113" w:lineRule="exact"/>
              <w:rPr>
                <w:sz w:val="20"/>
                <w:szCs w:val="20"/>
                <w:color w:val="auto"/>
              </w:rPr>
            </w:pPr>
            <w:r>
              <w:rPr>
                <w:rFonts w:ascii="Arial" w:cs="Arial" w:eastAsia="Arial" w:hAnsi="Arial"/>
                <w:sz w:val="12"/>
                <w:szCs w:val="12"/>
                <w:b w:val="1"/>
                <w:bCs w:val="1"/>
                <w:color w:val="auto"/>
              </w:rPr>
              <w:t>July 4,</w:t>
            </w:r>
          </w:p>
        </w:tc>
        <w:tc>
          <w:tcPr>
            <w:tcW w:w="2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74"/>
              </w:rPr>
              <w:t>except</w:t>
            </w:r>
          </w:p>
        </w:tc>
        <w:tc>
          <w:tcPr>
            <w:tcW w:w="220" w:type="dxa"/>
            <w:vAlign w:val="bottom"/>
          </w:tcPr>
          <w:p>
            <w:pPr>
              <w:spacing w:after="0"/>
              <w:rPr>
                <w:sz w:val="14"/>
                <w:szCs w:val="14"/>
                <w:color w:val="auto"/>
              </w:rPr>
            </w:pPr>
          </w:p>
        </w:tc>
        <w:tc>
          <w:tcPr>
            <w:tcW w:w="15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6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0"/>
              <w:spacing w:after="0" w:line="121" w:lineRule="exact"/>
              <w:rPr>
                <w:sz w:val="20"/>
                <w:szCs w:val="20"/>
                <w:color w:val="auto"/>
              </w:rPr>
            </w:pPr>
            <w:r>
              <w:rPr>
                <w:rFonts w:ascii="Arial" w:cs="Arial" w:eastAsia="Arial" w:hAnsi="Arial"/>
                <w:sz w:val="12"/>
                <w:szCs w:val="12"/>
                <w:b w:val="1"/>
                <w:bCs w:val="1"/>
                <w:color w:val="auto"/>
              </w:rPr>
              <w:t>(in thousands,</w:t>
            </w:r>
          </w:p>
        </w:tc>
        <w:tc>
          <w:tcPr>
            <w:tcW w:w="280" w:type="dxa"/>
            <w:vAlign w:val="bottom"/>
            <w:vMerge w:val="continue"/>
          </w:tcPr>
          <w:p>
            <w:pPr>
              <w:spacing w:after="0"/>
              <w:rPr>
                <w:sz w:val="10"/>
                <w:szCs w:val="10"/>
                <w:color w:val="auto"/>
              </w:rPr>
            </w:pPr>
          </w:p>
        </w:tc>
        <w:tc>
          <w:tcPr>
            <w:tcW w:w="1180" w:type="dxa"/>
            <w:vAlign w:val="bottom"/>
            <w:tcBorders>
              <w:top w:val="single" w:sz="8" w:color="auto"/>
            </w:tcBorders>
            <w:gridSpan w:val="2"/>
          </w:tcPr>
          <w:p>
            <w:pPr>
              <w:jc w:val="right"/>
              <w:ind w:right="326"/>
              <w:spacing w:after="0" w:line="121" w:lineRule="exact"/>
              <w:rPr>
                <w:sz w:val="20"/>
                <w:szCs w:val="20"/>
                <w:color w:val="auto"/>
              </w:rPr>
            </w:pPr>
            <w:r>
              <w:rPr>
                <w:rFonts w:ascii="Arial" w:cs="Arial" w:eastAsia="Arial" w:hAnsi="Arial"/>
                <w:sz w:val="12"/>
                <w:szCs w:val="12"/>
                <w:b w:val="1"/>
                <w:bCs w:val="1"/>
                <w:color w:val="auto"/>
              </w:rPr>
              <w:t>percentages)</w:t>
            </w:r>
          </w:p>
        </w:tc>
        <w:tc>
          <w:tcPr>
            <w:tcW w:w="2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Selling and marketing expenses increased in the three months ended July 3, 2022 by $10.8 million, or 72%, compared to the three months ended July 4, 2021. We increased our online marketing expenses to acquire new customers and retain existing customers by $9.5 million, or 88%, compared to the same period in the prior year. In addition, merchant processing fees increased by $1.0 million in the three months ended July 3, 2022 compared to the same period of the prior year due to the increase in net revenue.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13"/>
        </w:trPr>
        <w:tc>
          <w:tcPr>
            <w:tcW w:w="33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tcPr>
          <w:p>
            <w:pPr>
              <w:jc w:val="center"/>
              <w:ind w:right="520"/>
              <w:spacing w:after="0" w:line="113" w:lineRule="exact"/>
              <w:rPr>
                <w:sz w:val="20"/>
                <w:szCs w:val="20"/>
                <w:color w:val="auto"/>
              </w:rPr>
            </w:pPr>
            <w:r>
              <w:rPr>
                <w:rFonts w:ascii="Arial" w:cs="Arial" w:eastAsia="Arial" w:hAnsi="Arial"/>
                <w:sz w:val="12"/>
                <w:szCs w:val="12"/>
                <w:b w:val="1"/>
                <w:bCs w:val="1"/>
                <w:color w:val="auto"/>
              </w:rPr>
              <w:t>July 3,</w:t>
            </w:r>
          </w:p>
        </w:tc>
        <w:tc>
          <w:tcPr>
            <w:tcW w:w="1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70"/>
              <w:spacing w:after="0" w:line="113" w:lineRule="exact"/>
              <w:rPr>
                <w:sz w:val="20"/>
                <w:szCs w:val="20"/>
                <w:color w:val="auto"/>
              </w:rPr>
            </w:pPr>
            <w:r>
              <w:rPr>
                <w:rFonts w:ascii="Arial" w:cs="Arial" w:eastAsia="Arial" w:hAnsi="Arial"/>
                <w:sz w:val="12"/>
                <w:szCs w:val="12"/>
                <w:b w:val="1"/>
                <w:bCs w:val="1"/>
                <w:color w:val="auto"/>
              </w:rPr>
              <w:t>July 4,</w:t>
            </w:r>
          </w:p>
        </w:tc>
        <w:tc>
          <w:tcPr>
            <w:tcW w:w="2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74"/>
              </w:rPr>
              <w:t>except</w:t>
            </w:r>
          </w:p>
        </w:tc>
        <w:tc>
          <w:tcPr>
            <w:tcW w:w="220" w:type="dxa"/>
            <w:vAlign w:val="bottom"/>
          </w:tcPr>
          <w:p>
            <w:pPr>
              <w:spacing w:after="0"/>
              <w:rPr>
                <w:sz w:val="14"/>
                <w:szCs w:val="14"/>
                <w:color w:val="auto"/>
              </w:rPr>
            </w:pPr>
          </w:p>
        </w:tc>
        <w:tc>
          <w:tcPr>
            <w:tcW w:w="900" w:type="dxa"/>
            <w:vAlign w:val="bottom"/>
          </w:tcPr>
          <w:p>
            <w:pPr>
              <w:jc w:val="right"/>
              <w:ind w:right="223"/>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50"/>
              <w:spacing w:after="0" w:line="121" w:lineRule="exact"/>
              <w:rPr>
                <w:sz w:val="20"/>
                <w:szCs w:val="20"/>
                <w:color w:val="auto"/>
              </w:rPr>
            </w:pPr>
            <w:r>
              <w:rPr>
                <w:rFonts w:ascii="Arial" w:cs="Arial" w:eastAsia="Arial" w:hAnsi="Arial"/>
                <w:sz w:val="12"/>
                <w:szCs w:val="12"/>
                <w:b w:val="1"/>
                <w:bCs w:val="1"/>
                <w:color w:val="auto"/>
              </w:rPr>
              <w:t>(in thousands,</w:t>
            </w:r>
          </w:p>
        </w:tc>
        <w:tc>
          <w:tcPr>
            <w:tcW w:w="280" w:type="dxa"/>
            <w:vAlign w:val="bottom"/>
            <w:vMerge w:val="continue"/>
          </w:tcPr>
          <w:p>
            <w:pPr>
              <w:spacing w:after="0"/>
              <w:rPr>
                <w:sz w:val="10"/>
                <w:szCs w:val="10"/>
                <w:color w:val="auto"/>
              </w:rPr>
            </w:pPr>
          </w:p>
        </w:tc>
        <w:tc>
          <w:tcPr>
            <w:tcW w:w="1120" w:type="dxa"/>
            <w:vAlign w:val="bottom"/>
            <w:tcBorders>
              <w:top w:val="single" w:sz="8" w:color="auto"/>
            </w:tcBorders>
            <w:gridSpan w:val="2"/>
          </w:tcPr>
          <w:p>
            <w:pPr>
              <w:jc w:val="right"/>
              <w:ind w:right="263"/>
              <w:spacing w:after="0" w:line="121" w:lineRule="exact"/>
              <w:rPr>
                <w:sz w:val="20"/>
                <w:szCs w:val="20"/>
                <w:color w:val="auto"/>
              </w:rPr>
            </w:pPr>
            <w:r>
              <w:rPr>
                <w:rFonts w:ascii="Arial" w:cs="Arial" w:eastAsia="Arial" w:hAnsi="Arial"/>
                <w:sz w:val="12"/>
                <w:szCs w:val="12"/>
                <w:b w:val="1"/>
                <w:bCs w:val="1"/>
                <w:color w:val="auto"/>
              </w:rPr>
              <w:t>percentages)</w:t>
            </w:r>
          </w:p>
        </w:tc>
        <w:tc>
          <w:tcPr>
            <w:tcW w:w="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General and administrative expenses increased by $2.2 million in the three months ended July 3, 2022, or 11%, compared to the three months ended July 4, 2021. The increase was primarily due to higher equity-based compensation expense of $1.2 million related to equity-based awards issued through the second quarter of 2022. Our variable (direct) labor costs increased by $1.3 million, an increase of 21% from the same period in the prior year, due to higher sales, partially offset by labor efficiencies. Additionally, there was a $1.2 million increase in insurance costs and professional services, which was primarily driven by a $1.0 million increase in director and officer insurance costs associated with being a public company. These increases were partially offset by a $1.2 million decrease in fixed labor costs driven by lower bonus expense. Fixed labor costs were 6.0% of net revenue for the period, compared to 8.7% in the same period in the prior year.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Interest Expense</w:t>
      </w:r>
    </w:p>
    <w:p>
      <w:pPr>
        <w:spacing w:after="0" w:line="214" w:lineRule="exact"/>
        <w:rPr>
          <w:sz w:val="20"/>
          <w:szCs w:val="20"/>
          <w:color w:val="auto"/>
        </w:rPr>
      </w:pPr>
    </w:p>
    <w:p>
      <w:pPr>
        <w:jc w:val="both"/>
        <w:ind w:left="40" w:right="59" w:firstLine="307"/>
        <w:spacing w:after="0" w:line="280" w:lineRule="auto"/>
        <w:rPr>
          <w:sz w:val="20"/>
          <w:szCs w:val="20"/>
          <w:color w:val="auto"/>
        </w:rPr>
      </w:pPr>
      <w:r>
        <w:rPr>
          <w:rFonts w:ascii="Arial" w:cs="Arial" w:eastAsia="Arial" w:hAnsi="Arial"/>
          <w:sz w:val="16"/>
          <w:szCs w:val="16"/>
          <w:color w:val="auto"/>
        </w:rPr>
        <w:t>Interest expense decreased significantly in the three months ended July 3, 2022 by $3.5 million, or 96%, compared to the three months ended July 4, 2021. The decrease is attributable to the repayment of our Term Loan with the proceeds from our IPO in November 2021, which was partially offset by interest expense and unused fees related to the New Revolving Facility, under which $15.0 million of borrowings remained outstanding as of July 3, 2022.</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Income Tax Provision</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Our income tax provision in the three months ended July 3, 2022 increased by $1.5 million, or 45%, to $4.8 million, compared to the quarter ended July 4, 2021. The increase in the income tax provision was primarily due to an increase in non-deductible equity-based compensation expenses and non-deductible executive compensation expenses.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Comparisons for the Six Months Ended July 3, 2022 and July 4, 2021</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Net Revenue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0"/>
              </w:rPr>
              <w:t>Six Months Ended</w:t>
            </w: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3"/>
        </w:trPr>
        <w:tc>
          <w:tcPr>
            <w:tcW w:w="1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jc w:val="center"/>
              <w:ind w:right="229"/>
              <w:spacing w:after="0" w:line="113" w:lineRule="exact"/>
              <w:rPr>
                <w:sz w:val="20"/>
                <w:szCs w:val="20"/>
                <w:color w:val="auto"/>
              </w:rPr>
            </w:pPr>
            <w:r>
              <w:rPr>
                <w:rFonts w:ascii="Arial" w:cs="Arial" w:eastAsia="Arial" w:hAnsi="Arial"/>
                <w:sz w:val="12"/>
                <w:szCs w:val="12"/>
                <w:b w:val="1"/>
                <w:bCs w:val="1"/>
                <w:color w:val="auto"/>
              </w:rPr>
              <w:t>July 3,</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center"/>
              <w:ind w:right="348"/>
              <w:spacing w:after="0" w:line="113" w:lineRule="exact"/>
              <w:rPr>
                <w:sz w:val="20"/>
                <w:szCs w:val="20"/>
                <w:color w:val="auto"/>
              </w:rPr>
            </w:pPr>
            <w:r>
              <w:rPr>
                <w:rFonts w:ascii="Arial" w:cs="Arial" w:eastAsia="Arial" w:hAnsi="Arial"/>
                <w:sz w:val="12"/>
                <w:szCs w:val="12"/>
                <w:b w:val="1"/>
                <w:bCs w:val="1"/>
                <w:color w:val="auto"/>
              </w:rPr>
              <w:t>July 4,</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61"/>
        </w:trPr>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21"/>
        </w:trPr>
        <w:tc>
          <w:tcPr>
            <w:tcW w:w="1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gridSpan w:val="3"/>
          </w:tcPr>
          <w:p>
            <w:pPr>
              <w:ind w:left="340"/>
              <w:spacing w:after="0" w:line="121" w:lineRule="exact"/>
              <w:rPr>
                <w:sz w:val="20"/>
                <w:szCs w:val="20"/>
                <w:color w:val="auto"/>
              </w:rPr>
            </w:pPr>
            <w:r>
              <w:rPr>
                <w:rFonts w:ascii="Arial" w:cs="Arial" w:eastAsia="Arial" w:hAnsi="Arial"/>
                <w:sz w:val="12"/>
                <w:szCs w:val="12"/>
                <w:b w:val="1"/>
                <w:bCs w:val="1"/>
                <w:color w:val="auto"/>
              </w:rPr>
              <w:t>(in thousands, except</w:t>
            </w:r>
          </w:p>
        </w:tc>
        <w:tc>
          <w:tcPr>
            <w:tcW w:w="136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percentages)</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5"/>
        </w:trPr>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243,414</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172,541</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70,873</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41 %</w:t>
            </w:r>
          </w:p>
        </w:tc>
      </w:tr>
      <w:tr>
        <w:trPr>
          <w:trHeight w:val="843"/>
        </w:trPr>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7"/>
                <w:szCs w:val="17"/>
                <w:color w:val="auto"/>
              </w:rPr>
              <w:t>36</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31"/>
        </w:trPr>
        <w:tc>
          <w:tcPr>
            <w:tcW w:w="1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8"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99" w:firstLine="307"/>
        <w:spacing w:after="0" w:line="314" w:lineRule="auto"/>
        <w:rPr>
          <w:sz w:val="20"/>
          <w:szCs w:val="20"/>
          <w:color w:val="auto"/>
        </w:rPr>
      </w:pPr>
      <w:r>
        <w:rPr>
          <w:rFonts w:ascii="Arial" w:cs="Arial" w:eastAsia="Arial" w:hAnsi="Arial"/>
          <w:sz w:val="15"/>
          <w:szCs w:val="15"/>
          <w:color w:val="auto"/>
        </w:rPr>
        <w:t>Net revenue increased in the six months ended July 3, 2022 by $70.9 million, or 41%, compared to the six months ended July 4, 2021. The increase is primarily due to an increase in the following key revenue drivers: 38% increase in Total Orders Placed and a 16% increase in the Average Order Value which was partially offset by higher sales returns in the second quarter of 2022.</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Cost of Revenue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ind w:left="100"/>
              <w:spacing w:after="0" w:line="113" w:lineRule="exact"/>
              <w:rPr>
                <w:sz w:val="20"/>
                <w:szCs w:val="20"/>
                <w:color w:val="auto"/>
              </w:rPr>
            </w:pPr>
            <w:r>
              <w:rPr>
                <w:rFonts w:ascii="Arial" w:cs="Arial" w:eastAsia="Arial" w:hAnsi="Arial"/>
                <w:sz w:val="12"/>
                <w:szCs w:val="12"/>
                <w:b w:val="1"/>
                <w:bCs w:val="1"/>
                <w:color w:val="auto"/>
              </w:rPr>
              <w:t>July 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center"/>
              <w:ind w:right="128"/>
              <w:spacing w:after="0" w:line="113" w:lineRule="exact"/>
              <w:rPr>
                <w:sz w:val="20"/>
                <w:szCs w:val="20"/>
                <w:color w:val="auto"/>
              </w:rPr>
            </w:pPr>
            <w:r>
              <w:rPr>
                <w:rFonts w:ascii="Arial" w:cs="Arial" w:eastAsia="Arial" w:hAnsi="Arial"/>
                <w:sz w:val="12"/>
                <w:szCs w:val="12"/>
                <w:b w:val="1"/>
                <w:bCs w:val="1"/>
                <w:color w:val="auto"/>
              </w:rPr>
              <w:t>July 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vMerge w:val="restart"/>
          </w:tcPr>
          <w:p>
            <w:pPr>
              <w:spacing w:after="0"/>
              <w:rPr>
                <w:sz w:val="20"/>
                <w:szCs w:val="20"/>
                <w:color w:val="auto"/>
              </w:rPr>
            </w:pPr>
            <w:r>
              <w:rPr>
                <w:rFonts w:ascii="Arial" w:cs="Arial" w:eastAsia="Arial" w:hAnsi="Arial"/>
                <w:sz w:val="8"/>
                <w:szCs w:val="8"/>
                <w:b w:val="1"/>
                <w:bCs w:val="1"/>
                <w:color w:val="auto"/>
                <w:w w:val="78"/>
              </w:rPr>
              <w:t>except</w:t>
            </w:r>
          </w:p>
        </w:tc>
        <w:tc>
          <w:tcPr>
            <w:tcW w:w="18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8"/>
              <w:spacing w:after="0" w:line="121" w:lineRule="exact"/>
              <w:rPr>
                <w:sz w:val="20"/>
                <w:szCs w:val="20"/>
                <w:color w:val="auto"/>
              </w:rPr>
            </w:pPr>
            <w:r>
              <w:rPr>
                <w:rFonts w:ascii="Arial" w:cs="Arial" w:eastAsia="Arial" w:hAnsi="Arial"/>
                <w:sz w:val="12"/>
                <w:szCs w:val="12"/>
                <w:b w:val="1"/>
                <w:bCs w:val="1"/>
                <w:color w:val="auto"/>
                <w:w w:val="99"/>
              </w:rPr>
              <w:t>(in thousands,</w:t>
            </w:r>
          </w:p>
        </w:tc>
        <w:tc>
          <w:tcPr>
            <w:tcW w:w="220" w:type="dxa"/>
            <w:vAlign w:val="bottom"/>
            <w:vMerge w:val="continue"/>
          </w:tcPr>
          <w:p>
            <w:pPr>
              <w:spacing w:after="0"/>
              <w:rPr>
                <w:sz w:val="10"/>
                <w:szCs w:val="10"/>
                <w:color w:val="auto"/>
              </w:rPr>
            </w:pPr>
          </w:p>
        </w:tc>
        <w:tc>
          <w:tcPr>
            <w:tcW w:w="98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9"/>
              </w:rPr>
              <w:t>percentages)</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130,269</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90,008</w:t>
            </w:r>
          </w:p>
        </w:tc>
        <w:tc>
          <w:tcPr>
            <w:tcW w:w="4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40,261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Cost of revenue increased in the six months ended July 3, 2022 by $40.3 million, or 45%, compared to the six months ended July 4, 2021, which was primarily driven by the increase in our net revenue. Additionally, we recognized higher costs associated with returned product as well as an increase in outbound shipping costs related to fuel surcharges in the three months ended July 3, 2022 compared to the same period of the prior year.</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Selling and Marketing Expenses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center"/>
              <w:ind w:right="109"/>
              <w:spacing w:after="0" w:line="113" w:lineRule="exact"/>
              <w:rPr>
                <w:sz w:val="20"/>
                <w:szCs w:val="20"/>
                <w:color w:val="auto"/>
              </w:rPr>
            </w:pPr>
            <w:r>
              <w:rPr>
                <w:rFonts w:ascii="Arial" w:cs="Arial" w:eastAsia="Arial" w:hAnsi="Arial"/>
                <w:sz w:val="12"/>
                <w:szCs w:val="12"/>
                <w:b w:val="1"/>
                <w:bCs w:val="1"/>
                <w:color w:val="auto"/>
              </w:rPr>
              <w:t>July 3,</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center"/>
              <w:ind w:right="108"/>
              <w:spacing w:after="0" w:line="113" w:lineRule="exact"/>
              <w:rPr>
                <w:sz w:val="20"/>
                <w:szCs w:val="20"/>
                <w:color w:val="auto"/>
              </w:rPr>
            </w:pPr>
            <w:r>
              <w:rPr>
                <w:rFonts w:ascii="Arial" w:cs="Arial" w:eastAsia="Arial" w:hAnsi="Arial"/>
                <w:sz w:val="12"/>
                <w:szCs w:val="12"/>
                <w:b w:val="1"/>
                <w:bCs w:val="1"/>
                <w:color w:val="auto"/>
              </w:rPr>
              <w:t>July 4,</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40" w:type="dxa"/>
            <w:vAlign w:val="bottom"/>
            <w:vMerge w:val="restart"/>
          </w:tcPr>
          <w:p>
            <w:pPr>
              <w:spacing w:after="0"/>
              <w:rPr>
                <w:sz w:val="20"/>
                <w:szCs w:val="20"/>
                <w:color w:val="auto"/>
              </w:rPr>
            </w:pPr>
            <w:r>
              <w:rPr>
                <w:rFonts w:ascii="Arial" w:cs="Arial" w:eastAsia="Arial" w:hAnsi="Arial"/>
                <w:sz w:val="9"/>
                <w:szCs w:val="9"/>
                <w:b w:val="1"/>
                <w:bCs w:val="1"/>
                <w:color w:val="auto"/>
                <w:w w:val="76"/>
              </w:rPr>
              <w:t>except</w:t>
            </w:r>
          </w:p>
        </w:tc>
        <w:tc>
          <w:tcPr>
            <w:tcW w:w="16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right"/>
              <w:ind w:right="30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2"/>
                <w:szCs w:val="12"/>
                <w:b w:val="1"/>
                <w:bCs w:val="1"/>
                <w:color w:val="auto"/>
              </w:rPr>
              <w:t>(in thousands,</w:t>
            </w:r>
          </w:p>
        </w:tc>
        <w:tc>
          <w:tcPr>
            <w:tcW w:w="240" w:type="dxa"/>
            <w:vAlign w:val="bottom"/>
            <w:vMerge w:val="continue"/>
          </w:tcPr>
          <w:p>
            <w:pPr>
              <w:spacing w:after="0"/>
              <w:rPr>
                <w:sz w:val="10"/>
                <w:szCs w:val="10"/>
                <w:color w:val="auto"/>
              </w:rPr>
            </w:pPr>
          </w:p>
        </w:tc>
        <w:tc>
          <w:tcPr>
            <w:tcW w:w="94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9"/>
              </w:rPr>
              <w:t>percentages)</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expenses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28,499</w:t>
            </w:r>
          </w:p>
        </w:tc>
        <w:tc>
          <w:tcPr>
            <w:tcW w:w="4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304" w:lineRule="auto"/>
        <w:rPr>
          <w:sz w:val="20"/>
          <w:szCs w:val="20"/>
          <w:color w:val="auto"/>
        </w:rPr>
      </w:pPr>
      <w:r>
        <w:rPr>
          <w:rFonts w:ascii="Arial" w:cs="Arial" w:eastAsia="Arial" w:hAnsi="Arial"/>
          <w:sz w:val="15"/>
          <w:szCs w:val="15"/>
          <w:color w:val="auto"/>
        </w:rPr>
        <w:t>Selling and marketing expenses increased in the six months ended July 3, 2022 by $19.2 million, or 68%, compared to the six months ended July 4, 2021. We increased our online marketing expenses to acquire new customers and retain existing customers by $16.5 million, or 80%, compared to the same period in the prior year. In addition, merchant processing fees increased by $2.2 million in the six months ended July 3, 2022 compared to the same period of the prior year due to the increase in net revenue.</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center"/>
              <w:ind w:right="109"/>
              <w:spacing w:after="0" w:line="113" w:lineRule="exact"/>
              <w:rPr>
                <w:sz w:val="20"/>
                <w:szCs w:val="20"/>
                <w:color w:val="auto"/>
              </w:rPr>
            </w:pPr>
            <w:r>
              <w:rPr>
                <w:rFonts w:ascii="Arial" w:cs="Arial" w:eastAsia="Arial" w:hAnsi="Arial"/>
                <w:sz w:val="12"/>
                <w:szCs w:val="12"/>
                <w:b w:val="1"/>
                <w:bCs w:val="1"/>
                <w:color w:val="auto"/>
              </w:rPr>
              <w:t>July 3,</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center"/>
              <w:ind w:right="108"/>
              <w:spacing w:after="0" w:line="113" w:lineRule="exact"/>
              <w:rPr>
                <w:sz w:val="20"/>
                <w:szCs w:val="20"/>
                <w:color w:val="auto"/>
              </w:rPr>
            </w:pPr>
            <w:r>
              <w:rPr>
                <w:rFonts w:ascii="Arial" w:cs="Arial" w:eastAsia="Arial" w:hAnsi="Arial"/>
                <w:sz w:val="12"/>
                <w:szCs w:val="12"/>
                <w:b w:val="1"/>
                <w:bCs w:val="1"/>
                <w:color w:val="auto"/>
              </w:rPr>
              <w:t>July 4,</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40" w:type="dxa"/>
            <w:vAlign w:val="bottom"/>
            <w:vMerge w:val="restart"/>
          </w:tcPr>
          <w:p>
            <w:pPr>
              <w:spacing w:after="0"/>
              <w:rPr>
                <w:sz w:val="20"/>
                <w:szCs w:val="20"/>
                <w:color w:val="auto"/>
              </w:rPr>
            </w:pPr>
            <w:r>
              <w:rPr>
                <w:rFonts w:ascii="Arial" w:cs="Arial" w:eastAsia="Arial" w:hAnsi="Arial"/>
                <w:sz w:val="9"/>
                <w:szCs w:val="9"/>
                <w:b w:val="1"/>
                <w:bCs w:val="1"/>
                <w:color w:val="auto"/>
                <w:w w:val="76"/>
              </w:rPr>
              <w:t>except</w:t>
            </w:r>
          </w:p>
        </w:tc>
        <w:tc>
          <w:tcPr>
            <w:tcW w:w="16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right"/>
              <w:ind w:right="30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2"/>
                <w:szCs w:val="12"/>
                <w:b w:val="1"/>
                <w:bCs w:val="1"/>
                <w:color w:val="auto"/>
              </w:rPr>
              <w:t>(in thousands,</w:t>
            </w:r>
          </w:p>
        </w:tc>
        <w:tc>
          <w:tcPr>
            <w:tcW w:w="240" w:type="dxa"/>
            <w:vAlign w:val="bottom"/>
            <w:vMerge w:val="continue"/>
          </w:tcPr>
          <w:p>
            <w:pPr>
              <w:spacing w:after="0"/>
              <w:rPr>
                <w:sz w:val="10"/>
                <w:szCs w:val="10"/>
                <w:color w:val="auto"/>
              </w:rPr>
            </w:pPr>
          </w:p>
        </w:tc>
        <w:tc>
          <w:tcPr>
            <w:tcW w:w="94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99"/>
              </w:rPr>
              <w:t>percentages)</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51,226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36,240</w:t>
            </w:r>
          </w:p>
        </w:tc>
        <w:tc>
          <w:tcPr>
            <w:tcW w:w="4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0" w:right="59" w:firstLine="307"/>
        <w:spacing w:after="0" w:line="271" w:lineRule="auto"/>
        <w:rPr>
          <w:sz w:val="20"/>
          <w:szCs w:val="20"/>
          <w:color w:val="auto"/>
        </w:rPr>
      </w:pPr>
      <w:r>
        <w:rPr>
          <w:rFonts w:ascii="Arial" w:cs="Arial" w:eastAsia="Arial" w:hAnsi="Arial"/>
          <w:sz w:val="16"/>
          <w:szCs w:val="16"/>
          <w:color w:val="auto"/>
        </w:rPr>
        <w:t>General and administrative expenses increased by $15.0 million in the six months ended July 3, 2022, or 41%, compared to the six months ended July 4, 2021. The increase was primarily due to higher equity-based compensation expense of $5.0 million related to equity-based awards issued through the second quarter of 2022. Our fixed labor costs increased by $2.2 million, or 15%, driven by higher base wages and benefits expense. Fixed labor costs were 7.0% of net revenue for the period, compared to 8.7% in the same period in the prior year. Our variable (direct) labor costs increased by $3.9 million, an increase of 38% from the same period in the prior year, due to higher sales partially offset by labor efficiencies. Additionally, there was a $3.5 million increase in insurance costs and professional services, which was primarily driven by a $2.0 million increase in director and officer insurance costs due to being a public company. The remaining increases to our general and administrative expenses were due to increases in shipping supplies, hardware, software and travel costs to support our higher sales during the period. These increases were partially offset by a $0.4 million reduction in management fees as our management agreement was terminated at the time of our IPO in 2021.</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Interest Expense</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Interest expense decreased significantly in the six months ended July 3, 2022 by $7.1 million, or 95%, compared to the six months ended July 4, 2021. The decrease is attributable to the repayment of our Term Loan with the proceeds from our IPO in November 2021, which was partially offset by interest expense and unused fees related to the borrowings outstanding under the New Revolving Facility as of July 3, 2022.</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Income Tax Provision</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Our income tax provision in the six months ended July 3, 2022 increased by $2.4 million, or 69%, to $5.9 million, compared to the six months ended July 4, 2021. The increase in the income tax provision was primarily due to an increase in our income before taxes, coupled with an increase in non-deductible equity-based compensation expenses and non-deductible executive compensation expenses.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Quarterly Trends and Seasonality</w:t>
      </w:r>
    </w:p>
    <w:p>
      <w:pPr>
        <w:spacing w:after="0" w:line="214" w:lineRule="exact"/>
        <w:rPr>
          <w:sz w:val="20"/>
          <w:szCs w:val="20"/>
          <w:color w:val="auto"/>
        </w:rPr>
      </w:pPr>
    </w:p>
    <w:p>
      <w:pPr>
        <w:jc w:val="both"/>
        <w:ind w:left="40" w:right="59" w:firstLine="307"/>
        <w:spacing w:after="0" w:line="299" w:lineRule="auto"/>
        <w:rPr>
          <w:sz w:val="20"/>
          <w:szCs w:val="20"/>
          <w:color w:val="auto"/>
        </w:rPr>
      </w:pPr>
      <w:r>
        <w:rPr>
          <w:rFonts w:ascii="Arial" w:cs="Arial" w:eastAsia="Arial" w:hAnsi="Arial"/>
          <w:sz w:val="15"/>
          <w:szCs w:val="15"/>
          <w:color w:val="auto"/>
        </w:rPr>
        <w:t>We experience moderate seasonal fluctuations in aggregate sales volume during the year. Seasonality in our business does not follow that of traditional retailers, such as a typical concentration of revenue in the holiday quarter. Historically, our net revenue is highest in our second and third fiscal quarters compared to the rest of the year due to higher demand for special event dresses and spring and summer fashion. The seasonality of our business has resulted in variability in our total net revenue quarter-to-quarter. We believe that this seasonality has affected and will continue to affect our results of operations.</w:t>
      </w:r>
    </w:p>
    <w:p>
      <w:pPr>
        <w:spacing w:after="0" w:line="15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Our quarterly gross profit fluctuates primarily based on how we manage our inventory and merchandise mix and has typically been in line with fluctuations in net revenue. When quarterly gross profit fluctuations have been unfavorable relative to the fluctuations in sales, these situations have been driven by non-recurring, external factors, as well as the COVID-19 pandemic in fiscal 2020 and fiscal 2021, which led to increased promotional discounts and higher markdowns in order to optimize our inventory mix and quantities.</w:t>
      </w:r>
    </w:p>
    <w:p>
      <w:pPr>
        <w:spacing w:after="0" w:line="181"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General and administrative expenses consist primarily of payroll and benefit costs and vary quarter to quarter due to changes in the number of seasonal workers to meet demand based on our seasonality.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218"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Our primary sources of liquidity and capital resources are cash generated from operating activities and borrowings under our New Revolving Facility. Our primary requirements for liquidity and capital are inventory purchases, payroll and general operating expenses, capital expenditures associated with distribution, network expansion and capitalized software and debt service requirements.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14" w:lineRule="exact"/>
        <w:rPr>
          <w:sz w:val="20"/>
          <w:szCs w:val="20"/>
          <w:color w:val="auto"/>
        </w:rPr>
      </w:pPr>
    </w:p>
    <w:p>
      <w:pPr>
        <w:jc w:val="both"/>
        <w:ind w:left="40" w:right="59" w:firstLine="307"/>
        <w:spacing w:after="0" w:line="287" w:lineRule="auto"/>
        <w:rPr>
          <w:sz w:val="20"/>
          <w:szCs w:val="20"/>
          <w:color w:val="auto"/>
        </w:rPr>
      </w:pPr>
      <w:r>
        <w:rPr>
          <w:rFonts w:ascii="Arial" w:cs="Arial" w:eastAsia="Arial" w:hAnsi="Arial"/>
          <w:sz w:val="16"/>
          <w:szCs w:val="16"/>
          <w:color w:val="auto"/>
        </w:rPr>
        <w:t>On November 15, 2021, we completed our IPO, in which we issued and sold 5,750,000 shares of our common stock at a price to the public of $16.00 per share and raised net proceeds of approximately $82.0 million, after deducting the underwriting discounts and commissions of approximately $6.1 million and other issuance costs of approximately $3.9 million.</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14" w:lineRule="exact"/>
        <w:rPr>
          <w:sz w:val="20"/>
          <w:szCs w:val="20"/>
          <w:color w:val="auto"/>
        </w:rPr>
      </w:pPr>
    </w:p>
    <w:p>
      <w:pPr>
        <w:jc w:val="both"/>
        <w:ind w:left="40" w:right="59" w:firstLine="307"/>
        <w:spacing w:after="0" w:line="308" w:lineRule="auto"/>
        <w:rPr>
          <w:sz w:val="20"/>
          <w:szCs w:val="20"/>
          <w:color w:val="auto"/>
        </w:rPr>
      </w:pPr>
      <w:r>
        <w:rPr>
          <w:rFonts w:ascii="Arial" w:cs="Arial" w:eastAsia="Arial" w:hAnsi="Arial"/>
          <w:sz w:val="16"/>
          <w:szCs w:val="16"/>
          <w:color w:val="auto"/>
        </w:rPr>
        <w:t>During November 2021, we entered into a Credit Agreement with Bank of America to provide a revolving facility that provides for borrowings up to $50.0 million. During the term of the Credit Agreement, we may increase the aggregate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6"/>
          <w:szCs w:val="16"/>
          <w:color w:val="auto"/>
        </w:rPr>
        <w:t>amount of the New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As of July 3, 2022, we had drawn $15.0 million under the New Revolving Facility and utilized $0.3 million under the letter of credit. As of July 3, 2022, we had $34.8 million available for borrowing under the New Revolving Facility and $7.2 million available to issue letters of credit.</w:t>
      </w:r>
    </w:p>
    <w:p>
      <w:pPr>
        <w:spacing w:after="0" w:line="168" w:lineRule="exact"/>
        <w:rPr>
          <w:sz w:val="20"/>
          <w:szCs w:val="20"/>
          <w:color w:val="auto"/>
        </w:rPr>
      </w:pPr>
    </w:p>
    <w:p>
      <w:pPr>
        <w:jc w:val="both"/>
        <w:ind w:left="40" w:right="59" w:firstLine="307"/>
        <w:spacing w:after="0" w:line="296" w:lineRule="auto"/>
        <w:rPr>
          <w:sz w:val="20"/>
          <w:szCs w:val="20"/>
          <w:color w:val="auto"/>
        </w:rPr>
      </w:pPr>
      <w:r>
        <w:rPr>
          <w:rFonts w:ascii="Arial" w:cs="Arial" w:eastAsia="Arial" w:hAnsi="Arial"/>
          <w:sz w:val="15"/>
          <w:szCs w:val="15"/>
          <w:color w:val="auto"/>
        </w:rPr>
        <w:t>The New Revolving Facility matures on November 15, 2024, and borrowings thereunder will accrue interest at a rate equal to, at our option, either (x) the term SOFR rate, plus the applicable SOFR adjustment plus a margin of 1.75% per annum or (y) the base rate plus a margin of 0.75% (with the base rate being the highest of the federal funds rate plus 0.50%, the prime rate and term SOFR for a period of one month plus 1.00%). The New Revolving Facility contains a financial maintenance covenant requiring a maximum total leverage ratio of no more than 2.50:1.00, stepping down to 2.00:1.00 after 18 months. A commitment fee of 37.5 basis points will be assessed on unused commitments under the New Revolving Facility.</w:t>
      </w:r>
    </w:p>
    <w:p>
      <w:pPr>
        <w:spacing w:after="0" w:line="156"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With the net proceeds from the IPO and borrowings from the New Revolving Facility, we repaid our Term Loan of $107.2 million on November 15, 2021, which comprised of $105.8 million in principal and $1.4 million of interest. The Credit Facility was terminated on November 15, 2021 and no prepayment penalties were incurred.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Availability and Use of Cash</w:t>
      </w:r>
    </w:p>
    <w:p>
      <w:pPr>
        <w:spacing w:after="0" w:line="214" w:lineRule="exact"/>
        <w:rPr>
          <w:sz w:val="20"/>
          <w:szCs w:val="20"/>
          <w:color w:val="auto"/>
        </w:rPr>
      </w:pPr>
    </w:p>
    <w:p>
      <w:pPr>
        <w:jc w:val="both"/>
        <w:ind w:left="40" w:right="59" w:firstLine="307"/>
        <w:spacing w:after="0" w:line="294" w:lineRule="auto"/>
        <w:rPr>
          <w:sz w:val="20"/>
          <w:szCs w:val="20"/>
          <w:color w:val="auto"/>
        </w:rPr>
      </w:pPr>
      <w:r>
        <w:rPr>
          <w:rFonts w:ascii="Arial" w:cs="Arial" w:eastAsia="Arial" w:hAnsi="Arial"/>
          <w:sz w:val="15"/>
          <w:szCs w:val="15"/>
          <w:color w:val="auto"/>
        </w:rPr>
        <w:t>As of July 3, 2022, we had cash and cash equivalents of $8.3 million and restricted cash of $0.5 million. We believe that our cash and cash equivalents, cash flows from operations and the available borrowings under our New Revolving Facility, will be sufficient to meet our capital expenditures, working capital needs and debt repayments for at least the next 12 months from the date of this Quarterly Report on Form 10-Q.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in our 2021 10-K.</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Cash Flow Analysis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3"/>
        </w:trPr>
        <w:tc>
          <w:tcPr>
            <w:tcW w:w="5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tcPr>
          <w:p>
            <w:pPr>
              <w:ind w:left="200"/>
              <w:spacing w:after="0" w:line="113" w:lineRule="exact"/>
              <w:rPr>
                <w:sz w:val="20"/>
                <w:szCs w:val="20"/>
                <w:color w:val="auto"/>
              </w:rPr>
            </w:pPr>
            <w:r>
              <w:rPr>
                <w:rFonts w:ascii="Arial" w:cs="Arial" w:eastAsia="Arial" w:hAnsi="Arial"/>
                <w:sz w:val="12"/>
                <w:szCs w:val="12"/>
                <w:b w:val="1"/>
                <w:bCs w:val="1"/>
                <w:color w:val="auto"/>
              </w:rPr>
              <w:t>July 3,</w:t>
            </w: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jc w:val="right"/>
              <w:ind w:right="401"/>
              <w:spacing w:after="0" w:line="113" w:lineRule="exact"/>
              <w:rPr>
                <w:sz w:val="20"/>
                <w:szCs w:val="20"/>
                <w:color w:val="auto"/>
              </w:rPr>
            </w:pPr>
            <w:r>
              <w:rPr>
                <w:rFonts w:ascii="Arial" w:cs="Arial" w:eastAsia="Arial" w:hAnsi="Arial"/>
                <w:sz w:val="12"/>
                <w:szCs w:val="12"/>
                <w:b w:val="1"/>
                <w:bCs w:val="1"/>
                <w:color w:val="auto"/>
              </w:rPr>
              <w:t>July 4,</w:t>
            </w:r>
          </w:p>
        </w:tc>
        <w:tc>
          <w:tcPr>
            <w:tcW w:w="20" w:type="dxa"/>
            <w:vAlign w:val="bottom"/>
          </w:tcPr>
          <w:p>
            <w:pPr>
              <w:spacing w:after="0"/>
              <w:rPr>
                <w:sz w:val="9"/>
                <w:szCs w:val="9"/>
                <w:color w:val="auto"/>
              </w:rPr>
            </w:pPr>
          </w:p>
        </w:tc>
      </w:tr>
      <w:tr>
        <w:trPr>
          <w:trHeight w:val="16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85"/>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596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10,588</w:t>
            </w:r>
          </w:p>
        </w:tc>
        <w:tc>
          <w:tcPr>
            <w:tcW w:w="320" w:type="dxa"/>
            <w:vAlign w:val="bottom"/>
          </w:tcPr>
          <w:p>
            <w:pPr>
              <w:spacing w:after="0"/>
              <w:rPr>
                <w:sz w:val="17"/>
                <w:szCs w:val="17"/>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29,835</w:t>
            </w:r>
          </w:p>
        </w:tc>
        <w:tc>
          <w:tcPr>
            <w:tcW w:w="20" w:type="dxa"/>
            <w:vAlign w:val="bottom"/>
          </w:tcPr>
          <w:p>
            <w:pPr>
              <w:spacing w:after="0"/>
              <w:rPr>
                <w:sz w:val="17"/>
                <w:szCs w:val="17"/>
                <w:color w:val="auto"/>
              </w:rPr>
            </w:pPr>
          </w:p>
        </w:tc>
      </w:tr>
      <w:tr>
        <w:trPr>
          <w:trHeight w:val="205"/>
        </w:trPr>
        <w:tc>
          <w:tcPr>
            <w:tcW w:w="5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(2,738)</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20" w:type="dxa"/>
            <w:vAlign w:val="bottom"/>
          </w:tcPr>
          <w:p>
            <w:pPr>
              <w:spacing w:after="0"/>
              <w:rPr>
                <w:sz w:val="17"/>
                <w:szCs w:val="17"/>
                <w:color w:val="auto"/>
              </w:rPr>
            </w:pPr>
          </w:p>
        </w:tc>
      </w:tr>
      <w:tr>
        <w:trPr>
          <w:trHeight w:val="205"/>
        </w:trPr>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Financing activities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(10,909)</w:t>
            </w: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(12,292)</w:t>
            </w:r>
          </w:p>
        </w:tc>
        <w:tc>
          <w:tcPr>
            <w:tcW w:w="20" w:type="dxa"/>
            <w:vAlign w:val="bottom"/>
          </w:tcPr>
          <w:p>
            <w:pPr>
              <w:spacing w:after="0"/>
              <w:rPr>
                <w:sz w:val="17"/>
                <w:szCs w:val="17"/>
                <w:color w:val="auto"/>
              </w:rPr>
            </w:pPr>
          </w:p>
        </w:tc>
      </w:tr>
      <w:tr>
        <w:trPr>
          <w:trHeight w:val="197"/>
        </w:trPr>
        <w:tc>
          <w:tcPr>
            <w:tcW w:w="5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(3,059)</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16,581</w:t>
            </w:r>
          </w:p>
        </w:tc>
        <w:tc>
          <w:tcPr>
            <w:tcW w:w="2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Operating Activities</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amortization of debt discount and debt issuance costs, interest expense capitalized to principal of debt, equity-based compensation, and the effect of changes in working capital and other activities.</w:t>
      </w:r>
    </w:p>
    <w:p>
      <w:pPr>
        <w:spacing w:after="0" w:line="176" w:lineRule="exact"/>
        <w:rPr>
          <w:sz w:val="20"/>
          <w:szCs w:val="20"/>
          <w:color w:val="auto"/>
        </w:rPr>
      </w:pPr>
    </w:p>
    <w:p>
      <w:pPr>
        <w:jc w:val="both"/>
        <w:ind w:left="40" w:right="59" w:firstLine="307"/>
        <w:spacing w:after="0" w:line="287" w:lineRule="auto"/>
        <w:rPr>
          <w:sz w:val="20"/>
          <w:szCs w:val="20"/>
          <w:color w:val="auto"/>
        </w:rPr>
      </w:pPr>
      <w:r>
        <w:rPr>
          <w:rFonts w:ascii="Arial" w:cs="Arial" w:eastAsia="Arial" w:hAnsi="Arial"/>
          <w:sz w:val="16"/>
          <w:szCs w:val="16"/>
          <w:color w:val="auto"/>
        </w:rPr>
        <w:t>In the six months ended July 3, 2022, net cash provided by operating activities decreased by $19.2 million to $10.6 million from $29.8 million in the same period of the prior year. The decrease in cash provided by operating activities was primarily driven by an increase of $1.0 million in net income to $8.0 million for the six months ended July 3, 2022</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6"/>
          <w:szCs w:val="16"/>
          <w:color w:val="auto"/>
        </w:rPr>
        <w:t>compared to net income of $7.0 million for the six months ended July 4, 2021. In addition, there was an increase of $5.1 million of non-cash items which changed to a net increase of $10.8 million in the six months ended July 3, 2022 from a net increase of $5.7 million in the six months ended July 4, 2021, which was primarily driven by a $5.0 million increase in equity-based compensation expense, a $1.5 million increase in noncash lease expense as a result of the adoption of ASC 842 in 2022, and a reduction of $0.8 million in deferred income tax benefits, offset by a reduction of $1.3 million in amortization of debt discount and debt issuance costs and a $1.4 million reduction in interest capitalized to principal of long-term debt and revolving line of credit, for the six months ended July 3, 2022 from the six months ended July 4. 2021. There was a net decrease in cash of $25.4 million attributed to changes in operating assets and liabilities to an $8.2 million net decrease for the six months ended July 3, 2022 from a $17.2 million net increase for the six months ended July 4, 2021. This was driven primarily by $22.1 million higher inventory balances to support a higher sales volume, a $3.7 million decrease in accrued expenses and other current liabilities, a decrease in operating lease liabilities of $1.0 million and a $3.2 million decrease in income taxes payable; these were partially offset by $1.7 million higher accounts payable and a $2.0 million lower decline in assets for recovery for the six months ended July 3, 2022 compared to the six months ended July 4, 2021.</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Investing Activities</w:t>
      </w:r>
    </w:p>
    <w:p>
      <w:pPr>
        <w:spacing w:after="0" w:line="214"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spacing w:after="0" w:line="179"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In the six months ended July 3, 2022, net cash used in investing activities was $2.7 million, which was a $1.7 million increase from $1.0 million in the six months ended July 4, 2021. This was attributable to capital expenditures related to the opening of our new distribution facility in Ontario, California as well as equipment for our general operations, software and hardware purchases, and internally developed software.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Financing Activities</w:t>
      </w:r>
    </w:p>
    <w:p>
      <w:pPr>
        <w:spacing w:after="0" w:line="214" w:lineRule="exact"/>
        <w:rPr>
          <w:sz w:val="20"/>
          <w:szCs w:val="20"/>
          <w:color w:val="auto"/>
        </w:rPr>
      </w:pPr>
    </w:p>
    <w:p>
      <w:pPr>
        <w:jc w:val="both"/>
        <w:ind w:left="40" w:right="59" w:firstLine="307"/>
        <w:spacing w:after="0" w:line="276" w:lineRule="auto"/>
        <w:rPr>
          <w:sz w:val="20"/>
          <w:szCs w:val="20"/>
          <w:color w:val="auto"/>
        </w:rPr>
      </w:pPr>
      <w:r>
        <w:rPr>
          <w:rFonts w:ascii="Arial" w:cs="Arial" w:eastAsia="Arial" w:hAnsi="Arial"/>
          <w:sz w:val="17"/>
          <w:szCs w:val="17"/>
          <w:color w:val="auto"/>
        </w:rPr>
        <w:t>Financing activities consist primarily of borrowings and repayments related to our Credit Facility and New Revolving Facility and issuance of preferred stock.</w:t>
      </w:r>
    </w:p>
    <w:p>
      <w:pPr>
        <w:spacing w:after="0" w:line="164" w:lineRule="exact"/>
        <w:rPr>
          <w:sz w:val="20"/>
          <w:szCs w:val="20"/>
          <w:color w:val="auto"/>
        </w:rPr>
      </w:pPr>
    </w:p>
    <w:p>
      <w:pPr>
        <w:jc w:val="both"/>
        <w:ind w:left="40" w:right="59" w:firstLine="307"/>
        <w:spacing w:after="0" w:line="257" w:lineRule="auto"/>
        <w:rPr>
          <w:sz w:val="20"/>
          <w:szCs w:val="20"/>
          <w:color w:val="auto"/>
        </w:rPr>
      </w:pPr>
      <w:r>
        <w:rPr>
          <w:rFonts w:ascii="Arial" w:cs="Arial" w:eastAsia="Arial" w:hAnsi="Arial"/>
          <w:sz w:val="17"/>
          <w:szCs w:val="17"/>
          <w:color w:val="auto"/>
        </w:rPr>
        <w:t>In the six months ended July 3, 2022, net cash used in financing activities was $10.9 million, which was a $1.4 million decrease from $12.3 million in the six months ended July 4, 2021. This decrease was attributable primarily to a reduction of $5.1 million in repayments of long-term debt, offset by a $1.4 million increase in net repayments on revolving line of credit, a $0.5 million increase in payments of offering costs related to the IPO, and a reduction of $1.4 million in proceeds from issuance of redeemable preferred stock.</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8"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 xml:space="preserve">Except for the adoption of FASB ASC 842, </w:t>
      </w:r>
      <w:r>
        <w:rPr>
          <w:rFonts w:ascii="Arial" w:cs="Arial" w:eastAsia="Arial" w:hAnsi="Arial"/>
          <w:sz w:val="17"/>
          <w:szCs w:val="17"/>
          <w:i w:val="1"/>
          <w:iCs w:val="1"/>
          <w:color w:val="auto"/>
        </w:rPr>
        <w:t>Leases</w:t>
      </w:r>
      <w:r>
        <w:rPr>
          <w:rFonts w:ascii="Arial" w:cs="Arial" w:eastAsia="Arial" w:hAnsi="Arial"/>
          <w:sz w:val="17"/>
          <w:szCs w:val="17"/>
          <w:color w:val="auto"/>
        </w:rPr>
        <w:t>, on January 3, 2022 and the related lease obligations as a result of such adoption as described in “Note 6 – Leases” in the Notes to the Condensed Consolidated Financial Statements in this Quarterly Report on Form 10-Q, there have been no other material changes to our contractual obligations and commitments as disclosed in our 2021 10-K.</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8" w:lineRule="exact"/>
        <w:rPr>
          <w:sz w:val="20"/>
          <w:szCs w:val="20"/>
          <w:color w:val="auto"/>
        </w:rPr>
      </w:pPr>
    </w:p>
    <w:p>
      <w:pPr>
        <w:jc w:val="both"/>
        <w:ind w:left="40" w:right="59" w:firstLine="307"/>
        <w:spacing w:after="0" w:line="255" w:lineRule="auto"/>
        <w:rPr>
          <w:sz w:val="20"/>
          <w:szCs w:val="20"/>
          <w:color w:val="auto"/>
        </w:rPr>
      </w:pPr>
      <w:r>
        <w:rPr>
          <w:rFonts w:ascii="Arial" w:cs="Arial" w:eastAsia="Arial" w:hAnsi="Arial"/>
          <w:sz w:val="17"/>
          <w:szCs w:val="17"/>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59" w:firstLine="307"/>
        <w:spacing w:after="0" w:line="272"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Operations-Critical Accounting Policies and Estimates” in our 2021 10-K and the notes to the audited consolidated financial statements appearing elsewhere in our 2021 10-K. Except for the change in accounting principle related to our accounting for leases upon the adoption of FASB ASC 842, Leases, there have been no significant changes to our critical accounting policies and estimates as disclosed in our 2021 10-K. Refer to “Note 2 - Significant Accounting Policies: Leases,” “Note 2 - Significant Accounting Policies: Recently Adopted Accounting Pronouncements,” and “Note 6 – Leases” in the Notes to the Condensed Consolidated Financial Statements included elsewhere in this Quarterly Report on Form 10-Q for more information on the change in our accounting for leases</w:t>
      </w:r>
      <w:r>
        <w:rPr>
          <w:rFonts w:ascii="Arial" w:cs="Arial" w:eastAsia="Arial" w:hAnsi="Arial"/>
          <w:sz w:val="19"/>
          <w:szCs w:val="19"/>
          <w:color w:val="auto"/>
        </w:rPr>
        <w: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Accounting Pronouncements</w:t>
      </w:r>
    </w:p>
    <w:p>
      <w:pPr>
        <w:spacing w:after="0" w:line="218" w:lineRule="exact"/>
        <w:rPr>
          <w:sz w:val="20"/>
          <w:szCs w:val="20"/>
          <w:color w:val="auto"/>
        </w:rPr>
      </w:pPr>
    </w:p>
    <w:p>
      <w:pPr>
        <w:jc w:val="both"/>
        <w:ind w:left="40" w:right="59" w:firstLine="307"/>
        <w:spacing w:after="0" w:line="259" w:lineRule="auto"/>
        <w:rPr>
          <w:sz w:val="20"/>
          <w:szCs w:val="20"/>
          <w:color w:val="auto"/>
        </w:rPr>
      </w:pPr>
      <w:r>
        <w:rPr>
          <w:rFonts w:ascii="Arial" w:cs="Arial" w:eastAsia="Arial" w:hAnsi="Arial"/>
          <w:sz w:val="17"/>
          <w:szCs w:val="17"/>
          <w:color w:val="auto"/>
        </w:rPr>
        <w:t>See Note 2, “Significant Accounting Policies-Recently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JOBS Act Accounting Election</w:t>
      </w:r>
    </w:p>
    <w:p>
      <w:pPr>
        <w:spacing w:after="0" w:line="218"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There has been no material change in our exposure to market risk from that discussed in our 2021 10-K.</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Controls and Procedures.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18" w:lineRule="exact"/>
        <w:rPr>
          <w:sz w:val="20"/>
          <w:szCs w:val="20"/>
          <w:color w:val="auto"/>
        </w:rPr>
      </w:pPr>
    </w:p>
    <w:p>
      <w:pPr>
        <w:jc w:val="both"/>
        <w:ind w:left="40" w:right="59" w:firstLine="307"/>
        <w:spacing w:after="0" w:line="304"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8" w:lineRule="exact"/>
        <w:rPr>
          <w:sz w:val="20"/>
          <w:szCs w:val="20"/>
          <w:color w:val="auto"/>
        </w:rPr>
      </w:pPr>
    </w:p>
    <w:p>
      <w:pPr>
        <w:jc w:val="both"/>
        <w:ind w:left="40" w:right="59" w:firstLine="307"/>
        <w:spacing w:after="0" w:line="28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July 3, 2022, our disclosure controls and procedures were effective.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8"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during the quarter ended July 3,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Legal Proceedings.</w:t>
      </w:r>
    </w:p>
    <w:p>
      <w:pPr>
        <w:spacing w:after="0" w:line="218" w:lineRule="exact"/>
        <w:rPr>
          <w:sz w:val="20"/>
          <w:szCs w:val="20"/>
          <w:color w:val="auto"/>
        </w:rPr>
      </w:pPr>
    </w:p>
    <w:p>
      <w:pPr>
        <w:jc w:val="both"/>
        <w:ind w:left="40" w:right="59" w:firstLine="307"/>
        <w:spacing w:after="0" w:line="275" w:lineRule="auto"/>
        <w:rPr>
          <w:sz w:val="20"/>
          <w:szCs w:val="20"/>
          <w:color w:val="auto"/>
        </w:rPr>
      </w:pPr>
      <w:r>
        <w:rPr>
          <w:rFonts w:ascii="Arial" w:cs="Arial" w:eastAsia="Arial" w:hAnsi="Arial"/>
          <w:sz w:val="16"/>
          <w:szCs w:val="16"/>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218" w:lineRule="exact"/>
        <w:rPr>
          <w:sz w:val="20"/>
          <w:szCs w:val="20"/>
          <w:color w:val="auto"/>
        </w:rPr>
      </w:pPr>
    </w:p>
    <w:p>
      <w:pPr>
        <w:jc w:val="both"/>
        <w:ind w:left="40" w:right="59" w:firstLine="362"/>
        <w:spacing w:after="0" w:line="263" w:lineRule="auto"/>
        <w:rPr>
          <w:sz w:val="20"/>
          <w:szCs w:val="20"/>
          <w:color w:val="auto"/>
        </w:rPr>
      </w:pPr>
      <w:r>
        <w:rPr>
          <w:rFonts w:ascii="Arial" w:cs="Arial" w:eastAsia="Arial" w:hAnsi="Arial"/>
          <w:sz w:val="17"/>
          <w:szCs w:val="17"/>
          <w:color w:val="auto"/>
        </w:rPr>
        <w:t>For detailed information about certain risk factors that could materially affect our business, financial condition or future results see “Risk Factors” in Part I, Item 1A of our 2021 10-K. There have been no material changes to the risk factors previously disclosed in our 2021 10-K.</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Sales of Unregistered Securities; Purchases of Equity Securities by the Issuer or Affiliated Purchaser</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Mine Safety Disclosures.</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5. Other Information.</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Crystal Landsem and Mark Vos Employment Agreements.</w:t>
      </w:r>
    </w:p>
    <w:p>
      <w:pPr>
        <w:spacing w:after="0" w:line="214"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On May 12, 2022, the Company and LFL entered into employment agreements with Crystal Landsem, our Co-President and Chief Financial Officer, and Mark Vos, our Co-President and Chief Information Officer, setting forth the terms of their continued employment in such roles. The employment agreements have the following material terms:</w:t>
      </w:r>
    </w:p>
    <w:p>
      <w:pPr>
        <w:spacing w:after="0" w:line="176" w:lineRule="exact"/>
        <w:rPr>
          <w:sz w:val="20"/>
          <w:szCs w:val="20"/>
          <w:color w:val="auto"/>
        </w:rPr>
      </w:pPr>
    </w:p>
    <w:p>
      <w:pPr>
        <w:jc w:val="both"/>
        <w:ind w:left="680" w:right="59" w:hanging="302"/>
        <w:spacing w:after="0" w:line="255"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Subject to earlier termination, the initial term of each agreement ends on December 31, 2023 and automatically renews for additional one year periods at the end of the then-current term unless either party elects not to renew the agreement with 60 days’ prior written notice.</w:t>
      </w:r>
    </w:p>
    <w:p>
      <w:pPr>
        <w:spacing w:after="0" w:line="2" w:lineRule="exact"/>
        <w:rPr>
          <w:rFonts w:ascii="Arial" w:cs="Arial" w:eastAsia="Arial" w:hAnsi="Arial"/>
          <w:sz w:val="17"/>
          <w:szCs w:val="17"/>
          <w:color w:val="auto"/>
        </w:rPr>
      </w:pPr>
    </w:p>
    <w:p>
      <w:pPr>
        <w:ind w:left="680" w:right="59" w:hanging="302"/>
        <w:spacing w:after="0" w:line="251"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executive is entitled to receive an annual base salary of $470,000, subject to increase from time to time in the discretion of the Company’s compensation committee.</w:t>
      </w:r>
    </w:p>
    <w:p>
      <w:pPr>
        <w:jc w:val="both"/>
        <w:ind w:left="680" w:right="59" w:hanging="302"/>
        <w:spacing w:after="0" w:line="251"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executive is entitled to participate in LFL’s annual incentive plan and eligible to earn a cash bonus thereunder for each fiscal year of the Company ending during the term of the agreement, with a target amount equal to 60% of the executive’s annual base salary.</w:t>
      </w:r>
    </w:p>
    <w:p>
      <w:pPr>
        <w:jc w:val="both"/>
        <w:ind w:left="680" w:right="59" w:hanging="302"/>
        <w:spacing w:after="0" w:line="27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of the termination of the executive’s employment by the Company without “cause” or by the executive for “good reason” (each as defined in the employment agreements), the executive will be eligible to receive the following severance benefits: (i) continued payment of the executive’s then-current base salary for a period of 12 months following the termination date, subject to reduction if the executive commences other employment or service during such 12-month period; (ii) a prorated annual bonus for the year of termination, paid at the same time annual bonuses are paid to LFL’s other executives; (iii) reimbursements for up to 12 months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80" w:right="59"/>
        <w:spacing w:after="0" w:line="258" w:lineRule="auto"/>
        <w:rPr>
          <w:sz w:val="20"/>
          <w:szCs w:val="20"/>
          <w:color w:val="auto"/>
        </w:rPr>
      </w:pPr>
      <w:r>
        <w:rPr>
          <w:rFonts w:ascii="Arial" w:cs="Arial" w:eastAsia="Arial" w:hAnsi="Arial"/>
          <w:sz w:val="17"/>
          <w:szCs w:val="17"/>
          <w:color w:val="auto"/>
        </w:rPr>
        <w:t>of healthcare continuation coverage premiums; and (iv) 100% vesting acceleration of any unvested equity awards that were held by the executive as of the date the employment agreement is entered into.</w:t>
      </w:r>
    </w:p>
    <w:p>
      <w:pPr>
        <w:jc w:val="both"/>
        <w:ind w:left="680" w:right="59" w:hanging="302"/>
        <w:spacing w:after="0" w:line="251" w:lineRule="auto"/>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Company elects not to renew the term of the employment agreement without cause, the executive will be eligible to receive the following severance benefits: (i) continued payment of the executive’s then-current base salary for 12 months following the termination date, subject to reduction if the executive commences other employment or service during such 12-month period; and (ii) reimbursements for up to 12 months of healthcare continuation coverage premiums.</w:t>
      </w:r>
    </w:p>
    <w:p>
      <w:pPr>
        <w:spacing w:after="0" w:line="1" w:lineRule="exact"/>
        <w:rPr>
          <w:rFonts w:ascii="Arial" w:cs="Arial" w:eastAsia="Arial" w:hAnsi="Arial"/>
          <w:sz w:val="17"/>
          <w:szCs w:val="17"/>
          <w:color w:val="auto"/>
        </w:rPr>
      </w:pPr>
    </w:p>
    <w:p>
      <w:pPr>
        <w:jc w:val="both"/>
        <w:ind w:left="680" w:right="59" w:hanging="302"/>
        <w:spacing w:after="0" w:line="280"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executive’s receipt of the foregoing severance benefits is conditioned on the executive’s execution and non-revocation of a general release of claims in favor of the Company and its affiliates, and continued compliance with the employee and contractor non-solicitation and other restrictive covenants set forth in the employment agreements.</w:t>
      </w:r>
    </w:p>
    <w:p>
      <w:pPr>
        <w:spacing w:after="0" w:line="163" w:lineRule="exact"/>
        <w:rPr>
          <w:sz w:val="20"/>
          <w:szCs w:val="20"/>
          <w:color w:val="auto"/>
        </w:rPr>
      </w:pPr>
    </w:p>
    <w:p>
      <w:pPr>
        <w:jc w:val="both"/>
        <w:ind w:left="40" w:right="59" w:firstLine="307"/>
        <w:spacing w:after="0" w:line="263" w:lineRule="auto"/>
        <w:rPr>
          <w:sz w:val="20"/>
          <w:szCs w:val="20"/>
          <w:color w:val="auto"/>
        </w:rPr>
      </w:pPr>
      <w:r>
        <w:rPr>
          <w:rFonts w:ascii="Arial" w:cs="Arial" w:eastAsia="Arial" w:hAnsi="Arial"/>
          <w:sz w:val="17"/>
          <w:szCs w:val="17"/>
          <w:color w:val="auto"/>
        </w:rPr>
        <w:t>The foregoing summary of the employment agreements does not purport to be complete and is subject to and qualified in its entirety by the terms of each employment agreement, copies of which are filed as Exhibits 10.1 and 10.2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r>
      <w:tr>
        <w:trPr>
          <w:trHeight w:val="181"/>
        </w:trPr>
        <w:tc>
          <w:tcPr>
            <w:tcW w:w="1180" w:type="dxa"/>
            <w:vAlign w:val="bottom"/>
            <w:tcBorders>
              <w:top w:val="single" w:sz="8" w:color="auto"/>
            </w:tcBorders>
          </w:tcPr>
          <w:p>
            <w:pPr>
              <w:ind w:left="320"/>
              <w:spacing w:after="0" w:line="181" w:lineRule="exact"/>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96"/>
              </w:rPr>
              <w:t>Filing</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89"/>
              </w:rPr>
              <w:t>Furnished</w:t>
            </w:r>
          </w:p>
        </w:tc>
      </w:tr>
      <w:tr>
        <w:trPr>
          <w:trHeight w:val="221"/>
        </w:trPr>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15"/>
          </w:tcPr>
          <w:p>
            <w:pPr>
              <w:ind w:left="580"/>
              <w:spacing w:after="0"/>
              <w:rPr>
                <w:sz w:val="20"/>
                <w:szCs w:val="20"/>
                <w:color w:val="auto"/>
              </w:rPr>
            </w:pPr>
            <w:r>
              <w:rPr>
                <w:rFonts w:ascii="Arial" w:cs="Arial" w:eastAsia="Arial" w:hAnsi="Arial"/>
                <w:sz w:val="17"/>
                <w:szCs w:val="17"/>
                <w:b w:val="1"/>
                <w:bCs w:val="1"/>
                <w:color w:val="auto"/>
              </w:rPr>
              <w:t>Exhibit Description</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Form</w:t>
            </w:r>
          </w:p>
        </w:tc>
        <w:tc>
          <w:tcPr>
            <w:tcW w:w="100" w:type="dxa"/>
            <w:vAlign w:val="bottom"/>
          </w:tcPr>
          <w:p>
            <w:pPr>
              <w:spacing w:after="0"/>
              <w:rPr>
                <w:sz w:val="19"/>
                <w:szCs w:val="19"/>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File No.</w:t>
            </w: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Exhibit</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Herewith</w:t>
            </w:r>
          </w:p>
        </w:tc>
      </w:tr>
      <w:tr>
        <w:trPr>
          <w:trHeight w:val="390"/>
        </w:trPr>
        <w:tc>
          <w:tcPr>
            <w:tcW w:w="1180" w:type="dxa"/>
            <w:vAlign w:val="bottom"/>
          </w:tcPr>
          <w:p>
            <w:pPr>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3180" w:type="dxa"/>
            <w:vAlign w:val="bottom"/>
            <w:tcBorders>
              <w:bottom w:val="single" w:sz="8" w:color="0000EE"/>
            </w:tcBorders>
            <w:gridSpan w:val="14"/>
          </w:tcPr>
          <w:p>
            <w:pPr>
              <w:spacing w:after="0"/>
              <w:rPr>
                <w:rFonts w:ascii="Arial" w:cs="Arial" w:eastAsia="Arial" w:hAnsi="Arial"/>
                <w:sz w:val="17"/>
                <w:szCs w:val="17"/>
                <w:color w:val="0000EE"/>
                <w:w w:val="91"/>
              </w:rPr>
            </w:pPr>
            <w:hyperlink r:id="rId54">
              <w:r>
                <w:rPr>
                  <w:rFonts w:ascii="Arial" w:cs="Arial" w:eastAsia="Arial" w:hAnsi="Arial"/>
                  <w:sz w:val="17"/>
                  <w:szCs w:val="17"/>
                  <w:color w:val="0000EE"/>
                  <w:w w:val="91"/>
                </w:rPr>
                <w:t>Employment Agreement by and among Lulu’s</w:t>
              </w:r>
            </w:hyperlink>
          </w:p>
        </w:tc>
        <w:tc>
          <w:tcPr>
            <w:tcW w:w="60" w:type="dxa"/>
            <w:vAlign w:val="bottom"/>
            <w:gridSpan w:val="2"/>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Arial" w:cs="Arial" w:eastAsia="Arial" w:hAnsi="Arial"/>
                <w:sz w:val="17"/>
                <w:szCs w:val="17"/>
                <w:color w:val="auto"/>
              </w:rPr>
              <w:t>10-Q</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001-41059</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5/17/2022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0000EE"/>
            </w:tcBorders>
            <w:gridSpan w:val="15"/>
          </w:tcPr>
          <w:p>
            <w:pPr>
              <w:spacing w:after="0" w:line="185" w:lineRule="exact"/>
              <w:rPr>
                <w:rFonts w:ascii="Arial" w:cs="Arial" w:eastAsia="Arial" w:hAnsi="Arial"/>
                <w:sz w:val="17"/>
                <w:szCs w:val="17"/>
                <w:color w:val="0000EE"/>
                <w:w w:val="92"/>
              </w:rPr>
            </w:pPr>
            <w:hyperlink r:id="rId54">
              <w:r>
                <w:rPr>
                  <w:rFonts w:ascii="Arial" w:cs="Arial" w:eastAsia="Arial" w:hAnsi="Arial"/>
                  <w:sz w:val="17"/>
                  <w:szCs w:val="17"/>
                  <w:color w:val="0000EE"/>
                  <w:w w:val="92"/>
                </w:rPr>
                <w:t>Fashion Lounge, LLC, Lulu’s Fashion Lounge</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0000EE"/>
            </w:tcBorders>
            <w:gridSpan w:val="11"/>
          </w:tcPr>
          <w:p>
            <w:pPr>
              <w:spacing w:after="0" w:line="185" w:lineRule="exact"/>
              <w:rPr>
                <w:rFonts w:ascii="Arial" w:cs="Arial" w:eastAsia="Arial" w:hAnsi="Arial"/>
                <w:sz w:val="17"/>
                <w:szCs w:val="17"/>
                <w:color w:val="0000EE"/>
                <w:w w:val="91"/>
              </w:rPr>
            </w:pPr>
            <w:hyperlink r:id="rId54">
              <w:r>
                <w:rPr>
                  <w:rFonts w:ascii="Arial" w:cs="Arial" w:eastAsia="Arial" w:hAnsi="Arial"/>
                  <w:sz w:val="17"/>
                  <w:szCs w:val="17"/>
                  <w:color w:val="0000EE"/>
                  <w:w w:val="91"/>
                </w:rPr>
                <w:t>Holdings, Inc., and Crystal Landsem, dated</w:t>
              </w:r>
            </w:hyperlink>
          </w:p>
        </w:tc>
        <w:tc>
          <w:tcPr>
            <w:tcW w:w="260" w:type="dxa"/>
            <w:vAlign w:val="bottom"/>
            <w:gridSpan w:val="5"/>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0000EE"/>
            </w:tcBorders>
            <w:gridSpan w:val="3"/>
          </w:tcPr>
          <w:p>
            <w:pPr>
              <w:spacing w:after="0" w:line="185" w:lineRule="exact"/>
              <w:rPr>
                <w:rFonts w:ascii="Arial" w:cs="Arial" w:eastAsia="Arial" w:hAnsi="Arial"/>
                <w:sz w:val="17"/>
                <w:szCs w:val="17"/>
                <w:color w:val="0000EE"/>
                <w:w w:val="93"/>
              </w:rPr>
            </w:pPr>
            <w:hyperlink r:id="rId54">
              <w:r>
                <w:rPr>
                  <w:rFonts w:ascii="Arial" w:cs="Arial" w:eastAsia="Arial" w:hAnsi="Arial"/>
                  <w:sz w:val="17"/>
                  <w:szCs w:val="17"/>
                  <w:color w:val="0000EE"/>
                  <w:w w:val="93"/>
                </w:rPr>
                <w:t>May 12, 2022</w:t>
              </w:r>
            </w:hyperlink>
          </w:p>
        </w:tc>
        <w:tc>
          <w:tcPr>
            <w:tcW w:w="226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6"/>
                <w:szCs w:val="16"/>
                <w:color w:val="auto"/>
              </w:rPr>
            </w:pPr>
          </w:p>
        </w:tc>
        <w:tc>
          <w:tcPr>
            <w:tcW w:w="3180" w:type="dxa"/>
            <w:vAlign w:val="bottom"/>
            <w:tcBorders>
              <w:bottom w:val="single" w:sz="8" w:color="0000EE"/>
            </w:tcBorders>
            <w:gridSpan w:val="14"/>
          </w:tcPr>
          <w:p>
            <w:pPr>
              <w:spacing w:after="0" w:line="185" w:lineRule="exact"/>
              <w:rPr>
                <w:rFonts w:ascii="Arial" w:cs="Arial" w:eastAsia="Arial" w:hAnsi="Arial"/>
                <w:sz w:val="17"/>
                <w:szCs w:val="17"/>
                <w:color w:val="0000EE"/>
                <w:w w:val="91"/>
              </w:rPr>
            </w:pPr>
            <w:hyperlink r:id="rId55">
              <w:r>
                <w:rPr>
                  <w:rFonts w:ascii="Arial" w:cs="Arial" w:eastAsia="Arial" w:hAnsi="Arial"/>
                  <w:sz w:val="17"/>
                  <w:szCs w:val="17"/>
                  <w:color w:val="0000EE"/>
                  <w:w w:val="91"/>
                </w:rPr>
                <w:t>Employment Agreement by and among Lulu’s</w:t>
              </w:r>
            </w:hyperlink>
          </w:p>
        </w:tc>
        <w:tc>
          <w:tcPr>
            <w:tcW w:w="60" w:type="dxa"/>
            <w:vAlign w:val="bottom"/>
            <w:gridSpan w:val="2"/>
          </w:tcPr>
          <w:p>
            <w:pPr>
              <w:spacing w:after="0"/>
              <w:rPr>
                <w:sz w:val="16"/>
                <w:szCs w:val="16"/>
                <w:color w:val="auto"/>
              </w:rPr>
            </w:pPr>
          </w:p>
        </w:tc>
        <w:tc>
          <w:tcPr>
            <w:tcW w:w="660" w:type="dxa"/>
            <w:vAlign w:val="bottom"/>
            <w:gridSpan w:val="3"/>
          </w:tcPr>
          <w:p>
            <w:pPr>
              <w:ind w:left="100"/>
              <w:spacing w:after="0" w:line="185" w:lineRule="exact"/>
              <w:rPr>
                <w:sz w:val="20"/>
                <w:szCs w:val="20"/>
                <w:color w:val="auto"/>
              </w:rPr>
            </w:pPr>
            <w:r>
              <w:rPr>
                <w:rFonts w:ascii="Arial" w:cs="Arial" w:eastAsia="Arial" w:hAnsi="Arial"/>
                <w:sz w:val="17"/>
                <w:szCs w:val="17"/>
                <w:color w:val="auto"/>
              </w:rPr>
              <w:t>10-Q</w:t>
            </w:r>
          </w:p>
        </w:tc>
        <w:tc>
          <w:tcPr>
            <w:tcW w:w="780" w:type="dxa"/>
            <w:vAlign w:val="bottom"/>
          </w:tcPr>
          <w:p>
            <w:pPr>
              <w:jc w:val="center"/>
              <w:spacing w:after="0" w:line="185" w:lineRule="exact"/>
              <w:rPr>
                <w:sz w:val="20"/>
                <w:szCs w:val="20"/>
                <w:color w:val="auto"/>
              </w:rPr>
            </w:pPr>
            <w:r>
              <w:rPr>
                <w:rFonts w:ascii="Arial" w:cs="Arial" w:eastAsia="Arial" w:hAnsi="Arial"/>
                <w:sz w:val="17"/>
                <w:szCs w:val="17"/>
                <w:color w:val="auto"/>
                <w:w w:val="90"/>
              </w:rPr>
              <w:t>001-41059</w:t>
            </w:r>
          </w:p>
        </w:tc>
        <w:tc>
          <w:tcPr>
            <w:tcW w:w="100" w:type="dxa"/>
            <w:vAlign w:val="bottom"/>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Arial" w:cs="Arial" w:eastAsia="Arial" w:hAnsi="Arial"/>
                <w:sz w:val="17"/>
                <w:szCs w:val="17"/>
                <w:color w:val="auto"/>
                <w:w w:val="89"/>
              </w:rPr>
              <w:t>5/17/2022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0000EE"/>
            </w:tcBorders>
            <w:gridSpan w:val="15"/>
          </w:tcPr>
          <w:p>
            <w:pPr>
              <w:spacing w:after="0" w:line="185" w:lineRule="exact"/>
              <w:rPr>
                <w:rFonts w:ascii="Arial" w:cs="Arial" w:eastAsia="Arial" w:hAnsi="Arial"/>
                <w:sz w:val="17"/>
                <w:szCs w:val="17"/>
                <w:color w:val="0000EE"/>
                <w:w w:val="92"/>
              </w:rPr>
            </w:pPr>
            <w:hyperlink r:id="rId55">
              <w:r>
                <w:rPr>
                  <w:rFonts w:ascii="Arial" w:cs="Arial" w:eastAsia="Arial" w:hAnsi="Arial"/>
                  <w:sz w:val="17"/>
                  <w:szCs w:val="17"/>
                  <w:color w:val="0000EE"/>
                  <w:w w:val="92"/>
                </w:rPr>
                <w:t>Fashion Lounge, LLC, Lulu’s Fashion Lounge</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0000EE"/>
            </w:tcBorders>
            <w:gridSpan w:val="13"/>
          </w:tcPr>
          <w:p>
            <w:pPr>
              <w:spacing w:after="0" w:line="185" w:lineRule="exact"/>
              <w:rPr>
                <w:rFonts w:ascii="Arial" w:cs="Arial" w:eastAsia="Arial" w:hAnsi="Arial"/>
                <w:sz w:val="17"/>
                <w:szCs w:val="17"/>
                <w:color w:val="0000EE"/>
                <w:w w:val="91"/>
              </w:rPr>
            </w:pPr>
            <w:hyperlink r:id="rId55">
              <w:r>
                <w:rPr>
                  <w:rFonts w:ascii="Arial" w:cs="Arial" w:eastAsia="Arial" w:hAnsi="Arial"/>
                  <w:sz w:val="17"/>
                  <w:szCs w:val="17"/>
                  <w:color w:val="0000EE"/>
                  <w:w w:val="91"/>
                </w:rPr>
                <w:t>Holdings, Inc., and Mark Vos, dated May 12,</w:t>
              </w:r>
            </w:hyperlink>
          </w:p>
        </w:tc>
        <w:tc>
          <w:tcPr>
            <w:tcW w:w="16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tcPr>
          <w:p>
            <w:pPr>
              <w:spacing w:after="0" w:line="185" w:lineRule="exact"/>
              <w:rPr>
                <w:rFonts w:ascii="Arial" w:cs="Arial" w:eastAsia="Arial" w:hAnsi="Arial"/>
                <w:sz w:val="17"/>
                <w:szCs w:val="17"/>
                <w:color w:val="0000EE"/>
                <w:w w:val="84"/>
              </w:rPr>
            </w:pPr>
            <w:hyperlink r:id="rId55">
              <w:r>
                <w:rPr>
                  <w:rFonts w:ascii="Arial" w:cs="Arial" w:eastAsia="Arial" w:hAnsi="Arial"/>
                  <w:sz w:val="17"/>
                  <w:szCs w:val="17"/>
                  <w:color w:val="0000EE"/>
                  <w:w w:val="84"/>
                </w:rPr>
                <w:t>2022</w:t>
              </w:r>
            </w:hyperlink>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10.5</w:t>
            </w:r>
          </w:p>
        </w:tc>
        <w:tc>
          <w:tcPr>
            <w:tcW w:w="100" w:type="dxa"/>
            <w:vAlign w:val="bottom"/>
          </w:tcPr>
          <w:p>
            <w:pPr>
              <w:spacing w:after="0"/>
              <w:rPr>
                <w:sz w:val="16"/>
                <w:szCs w:val="16"/>
                <w:color w:val="auto"/>
              </w:rPr>
            </w:pPr>
          </w:p>
        </w:tc>
        <w:tc>
          <w:tcPr>
            <w:tcW w:w="2520" w:type="dxa"/>
            <w:vAlign w:val="bottom"/>
            <w:tcBorders>
              <w:bottom w:val="single" w:sz="8" w:color="0000EE"/>
            </w:tcBorders>
            <w:gridSpan w:val="6"/>
          </w:tcPr>
          <w:p>
            <w:pPr>
              <w:spacing w:after="0" w:line="185" w:lineRule="exact"/>
              <w:rPr>
                <w:sz w:val="20"/>
                <w:szCs w:val="20"/>
                <w:color w:val="auto"/>
              </w:rPr>
            </w:pPr>
            <w:r>
              <w:rPr>
                <w:rFonts w:ascii="Arial" w:cs="Arial" w:eastAsia="Arial" w:hAnsi="Arial"/>
                <w:sz w:val="17"/>
                <w:szCs w:val="17"/>
                <w:color w:val="0000EE"/>
                <w:w w:val="90"/>
              </w:rPr>
              <w:t>Addendum to the Commercial Lease</w:t>
            </w:r>
          </w:p>
        </w:tc>
        <w:tc>
          <w:tcPr>
            <w:tcW w:w="720" w:type="dxa"/>
            <w:vAlign w:val="bottom"/>
            <w:gridSpan w:val="10"/>
          </w:tcPr>
          <w:p>
            <w:pPr>
              <w:spacing w:after="0"/>
              <w:rPr>
                <w:sz w:val="16"/>
                <w:szCs w:val="16"/>
                <w:color w:val="auto"/>
              </w:rPr>
            </w:pPr>
          </w:p>
        </w:tc>
        <w:tc>
          <w:tcPr>
            <w:tcW w:w="660" w:type="dxa"/>
            <w:vAlign w:val="bottom"/>
            <w:gridSpan w:val="3"/>
          </w:tcPr>
          <w:p>
            <w:pPr>
              <w:ind w:left="100"/>
              <w:spacing w:after="0" w:line="185" w:lineRule="exact"/>
              <w:rPr>
                <w:sz w:val="20"/>
                <w:szCs w:val="20"/>
                <w:color w:val="auto"/>
              </w:rPr>
            </w:pPr>
            <w:r>
              <w:rPr>
                <w:rFonts w:ascii="Arial" w:cs="Arial" w:eastAsia="Arial" w:hAnsi="Arial"/>
                <w:sz w:val="17"/>
                <w:szCs w:val="17"/>
                <w:color w:val="auto"/>
              </w:rPr>
              <w:t>S-1</w:t>
            </w:r>
          </w:p>
        </w:tc>
        <w:tc>
          <w:tcPr>
            <w:tcW w:w="780" w:type="dxa"/>
            <w:vAlign w:val="bottom"/>
          </w:tcPr>
          <w:p>
            <w:pPr>
              <w:jc w:val="center"/>
              <w:spacing w:after="0" w:line="185" w:lineRule="exact"/>
              <w:rPr>
                <w:sz w:val="20"/>
                <w:szCs w:val="20"/>
                <w:color w:val="auto"/>
              </w:rPr>
            </w:pPr>
            <w:r>
              <w:rPr>
                <w:rFonts w:ascii="Arial" w:cs="Arial" w:eastAsia="Arial" w:hAnsi="Arial"/>
                <w:sz w:val="17"/>
                <w:szCs w:val="17"/>
                <w:color w:val="auto"/>
                <w:w w:val="93"/>
              </w:rPr>
              <w:t>333-</w:t>
            </w:r>
          </w:p>
        </w:tc>
        <w:tc>
          <w:tcPr>
            <w:tcW w:w="100" w:type="dxa"/>
            <w:vAlign w:val="bottom"/>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9"/>
              </w:rPr>
              <w:t>10.15</w:t>
            </w:r>
          </w:p>
        </w:tc>
        <w:tc>
          <w:tcPr>
            <w:tcW w:w="10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Arial" w:cs="Arial" w:eastAsia="Arial" w:hAnsi="Arial"/>
                <w:sz w:val="17"/>
                <w:szCs w:val="17"/>
                <w:color w:val="auto"/>
                <w:w w:val="89"/>
              </w:rPr>
              <w:t>10/12/2021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0000EE"/>
            </w:tcBorders>
            <w:gridSpan w:val="10"/>
          </w:tcPr>
          <w:p>
            <w:pPr>
              <w:spacing w:after="0" w:line="185" w:lineRule="exact"/>
              <w:rPr>
                <w:sz w:val="20"/>
                <w:szCs w:val="20"/>
                <w:color w:val="auto"/>
              </w:rPr>
            </w:pPr>
            <w:r>
              <w:rPr>
                <w:rFonts w:ascii="Arial" w:cs="Arial" w:eastAsia="Arial" w:hAnsi="Arial"/>
                <w:sz w:val="17"/>
                <w:szCs w:val="17"/>
                <w:color w:val="0000EE"/>
                <w:w w:val="88"/>
              </w:rPr>
              <w:t>Agreement, dated as of September 6, 2019,</w:t>
            </w:r>
          </w:p>
        </w:tc>
        <w:tc>
          <w:tcPr>
            <w:tcW w:w="28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85" w:lineRule="exact"/>
              <w:rPr>
                <w:sz w:val="20"/>
                <w:szCs w:val="20"/>
                <w:color w:val="auto"/>
              </w:rPr>
            </w:pPr>
            <w:r>
              <w:rPr>
                <w:rFonts w:ascii="Arial" w:cs="Arial" w:eastAsia="Arial" w:hAnsi="Arial"/>
                <w:sz w:val="17"/>
                <w:szCs w:val="17"/>
                <w:color w:val="auto"/>
                <w:w w:val="91"/>
              </w:rPr>
              <w:t>260194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16"/>
          </w:tcPr>
          <w:p>
            <w:pPr>
              <w:spacing w:after="0" w:line="185" w:lineRule="exact"/>
              <w:rPr>
                <w:sz w:val="20"/>
                <w:szCs w:val="20"/>
                <w:color w:val="auto"/>
              </w:rPr>
            </w:pPr>
            <w:r>
              <w:rPr>
                <w:rFonts w:ascii="Arial" w:cs="Arial" w:eastAsia="Arial" w:hAnsi="Arial"/>
                <w:sz w:val="17"/>
                <w:szCs w:val="17"/>
                <w:color w:val="0000EE"/>
                <w:w w:val="95"/>
              </w:rPr>
              <w:t>between Hegan Lane Partnership and Lulu’s</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top w:val="single" w:sz="8" w:color="0000EE"/>
            </w:tcBorders>
            <w:gridSpan w:val="12"/>
          </w:tcPr>
          <w:p>
            <w:pPr>
              <w:spacing w:after="0" w:line="185" w:lineRule="exact"/>
              <w:rPr>
                <w:sz w:val="20"/>
                <w:szCs w:val="20"/>
                <w:color w:val="auto"/>
              </w:rPr>
            </w:pPr>
            <w:r>
              <w:rPr>
                <w:rFonts w:ascii="Arial" w:cs="Arial" w:eastAsia="Arial" w:hAnsi="Arial"/>
                <w:sz w:val="17"/>
                <w:szCs w:val="17"/>
                <w:color w:val="0000EE"/>
              </w:rPr>
              <w:t>Fashion Lounge, Inc</w:t>
            </w:r>
            <w:r>
              <w:rPr>
                <w:rFonts w:ascii="Arial" w:cs="Arial" w:eastAsia="Arial" w:hAnsi="Arial"/>
                <w:sz w:val="17"/>
                <w:szCs w:val="17"/>
                <w:color w:val="000000"/>
              </w:rPr>
              <w:t>.</w:t>
            </w:r>
          </w:p>
        </w:tc>
        <w:tc>
          <w:tcPr>
            <w:tcW w:w="22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10.6</w:t>
            </w:r>
          </w:p>
        </w:tc>
        <w:tc>
          <w:tcPr>
            <w:tcW w:w="100" w:type="dxa"/>
            <w:vAlign w:val="bottom"/>
          </w:tcPr>
          <w:p>
            <w:pPr>
              <w:spacing w:after="0"/>
              <w:rPr>
                <w:sz w:val="16"/>
                <w:szCs w:val="16"/>
                <w:color w:val="auto"/>
              </w:rPr>
            </w:pPr>
          </w:p>
        </w:tc>
        <w:tc>
          <w:tcPr>
            <w:tcW w:w="3200" w:type="dxa"/>
            <w:vAlign w:val="bottom"/>
            <w:tcBorders>
              <w:bottom w:val="single" w:sz="8" w:color="0000EE"/>
            </w:tcBorders>
            <w:gridSpan w:val="15"/>
          </w:tcPr>
          <w:p>
            <w:pPr>
              <w:spacing w:after="0" w:line="185" w:lineRule="exact"/>
              <w:rPr>
                <w:sz w:val="20"/>
                <w:szCs w:val="20"/>
                <w:color w:val="auto"/>
              </w:rPr>
            </w:pPr>
            <w:r>
              <w:rPr>
                <w:rFonts w:ascii="Arial" w:cs="Arial" w:eastAsia="Arial" w:hAnsi="Arial"/>
                <w:sz w:val="17"/>
                <w:szCs w:val="17"/>
                <w:color w:val="0000EE"/>
                <w:w w:val="88"/>
              </w:rPr>
              <w:t>Lease Agreement, dated as of January 7, 2019,</w:t>
            </w:r>
          </w:p>
        </w:tc>
        <w:tc>
          <w:tcPr>
            <w:tcW w:w="40" w:type="dxa"/>
            <w:vAlign w:val="bottom"/>
          </w:tcPr>
          <w:p>
            <w:pPr>
              <w:spacing w:after="0"/>
              <w:rPr>
                <w:sz w:val="16"/>
                <w:szCs w:val="16"/>
                <w:color w:val="auto"/>
              </w:rPr>
            </w:pPr>
          </w:p>
        </w:tc>
        <w:tc>
          <w:tcPr>
            <w:tcW w:w="660" w:type="dxa"/>
            <w:vAlign w:val="bottom"/>
            <w:gridSpan w:val="3"/>
          </w:tcPr>
          <w:p>
            <w:pPr>
              <w:ind w:left="100"/>
              <w:spacing w:after="0" w:line="185" w:lineRule="exact"/>
              <w:rPr>
                <w:sz w:val="20"/>
                <w:szCs w:val="20"/>
                <w:color w:val="auto"/>
              </w:rPr>
            </w:pPr>
            <w:r>
              <w:rPr>
                <w:rFonts w:ascii="Arial" w:cs="Arial" w:eastAsia="Arial" w:hAnsi="Arial"/>
                <w:sz w:val="17"/>
                <w:szCs w:val="17"/>
                <w:color w:val="auto"/>
              </w:rPr>
              <w:t>S-1</w:t>
            </w:r>
          </w:p>
        </w:tc>
        <w:tc>
          <w:tcPr>
            <w:tcW w:w="780" w:type="dxa"/>
            <w:vAlign w:val="bottom"/>
          </w:tcPr>
          <w:p>
            <w:pPr>
              <w:jc w:val="center"/>
              <w:spacing w:after="0" w:line="185" w:lineRule="exact"/>
              <w:rPr>
                <w:sz w:val="20"/>
                <w:szCs w:val="20"/>
                <w:color w:val="auto"/>
              </w:rPr>
            </w:pPr>
            <w:r>
              <w:rPr>
                <w:rFonts w:ascii="Arial" w:cs="Arial" w:eastAsia="Arial" w:hAnsi="Arial"/>
                <w:sz w:val="17"/>
                <w:szCs w:val="17"/>
                <w:color w:val="auto"/>
                <w:w w:val="93"/>
              </w:rPr>
              <w:t>333-</w:t>
            </w:r>
          </w:p>
        </w:tc>
        <w:tc>
          <w:tcPr>
            <w:tcW w:w="100" w:type="dxa"/>
            <w:vAlign w:val="bottom"/>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9"/>
              </w:rPr>
              <w:t>10.17</w:t>
            </w:r>
          </w:p>
        </w:tc>
        <w:tc>
          <w:tcPr>
            <w:tcW w:w="10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Arial" w:cs="Arial" w:eastAsia="Arial" w:hAnsi="Arial"/>
                <w:sz w:val="17"/>
                <w:szCs w:val="17"/>
                <w:color w:val="auto"/>
                <w:w w:val="89"/>
              </w:rPr>
              <w:t>10/12/2021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16"/>
          </w:tcPr>
          <w:p>
            <w:pPr>
              <w:spacing w:after="0" w:line="185" w:lineRule="exact"/>
              <w:rPr>
                <w:sz w:val="20"/>
                <w:szCs w:val="20"/>
                <w:color w:val="auto"/>
              </w:rPr>
            </w:pPr>
            <w:r>
              <w:rPr>
                <w:rFonts w:ascii="Arial" w:cs="Arial" w:eastAsia="Arial" w:hAnsi="Arial"/>
                <w:sz w:val="17"/>
                <w:szCs w:val="17"/>
                <w:color w:val="0000EE"/>
                <w:w w:val="92"/>
              </w:rPr>
              <w:t>between Chrin-Carson Development, LLC and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85" w:lineRule="exact"/>
              <w:rPr>
                <w:sz w:val="20"/>
                <w:szCs w:val="20"/>
                <w:color w:val="auto"/>
              </w:rPr>
            </w:pPr>
            <w:r>
              <w:rPr>
                <w:rFonts w:ascii="Arial" w:cs="Arial" w:eastAsia="Arial" w:hAnsi="Arial"/>
                <w:sz w:val="17"/>
                <w:szCs w:val="17"/>
                <w:color w:val="auto"/>
                <w:w w:val="91"/>
              </w:rPr>
              <w:t>260194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top w:val="single" w:sz="8" w:color="0000EE"/>
            </w:tcBorders>
            <w:gridSpan w:val="15"/>
          </w:tcPr>
          <w:p>
            <w:pPr>
              <w:spacing w:after="0" w:line="185" w:lineRule="exact"/>
              <w:rPr>
                <w:sz w:val="20"/>
                <w:szCs w:val="20"/>
                <w:color w:val="auto"/>
              </w:rPr>
            </w:pPr>
            <w:r>
              <w:rPr>
                <w:rFonts w:ascii="Arial" w:cs="Arial" w:eastAsia="Arial" w:hAnsi="Arial"/>
                <w:sz w:val="17"/>
                <w:szCs w:val="17"/>
                <w:color w:val="0000EE"/>
              </w:rPr>
              <w:t>the Registrant</w:t>
            </w:r>
            <w:r>
              <w:rPr>
                <w:rFonts w:ascii="Arial" w:cs="Arial" w:eastAsia="Arial" w:hAnsi="Arial"/>
                <w:sz w:val="17"/>
                <w:szCs w:val="17"/>
                <w:color w:val="000000"/>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31.1</w:t>
            </w:r>
          </w:p>
        </w:tc>
        <w:tc>
          <w:tcPr>
            <w:tcW w:w="100" w:type="dxa"/>
            <w:vAlign w:val="bottom"/>
          </w:tcPr>
          <w:p>
            <w:pPr>
              <w:spacing w:after="0"/>
              <w:rPr>
                <w:sz w:val="16"/>
                <w:szCs w:val="16"/>
                <w:color w:val="auto"/>
              </w:rPr>
            </w:pPr>
          </w:p>
        </w:tc>
        <w:tc>
          <w:tcPr>
            <w:tcW w:w="3240" w:type="dxa"/>
            <w:vAlign w:val="bottom"/>
            <w:gridSpan w:val="16"/>
          </w:tcPr>
          <w:p>
            <w:pPr>
              <w:spacing w:after="0" w:line="185" w:lineRule="exact"/>
              <w:rPr>
                <w:sz w:val="20"/>
                <w:szCs w:val="20"/>
                <w:color w:val="auto"/>
              </w:rPr>
            </w:pPr>
            <w:r>
              <w:rPr>
                <w:rFonts w:ascii="Arial" w:cs="Arial" w:eastAsia="Arial" w:hAnsi="Arial"/>
                <w:sz w:val="17"/>
                <w:szCs w:val="17"/>
                <w:color w:val="0000EE"/>
              </w:rPr>
              <w:t>Certification of Chief Executive Officer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top w:val="single" w:sz="8" w:color="0000EE"/>
              <w:bottom w:val="single" w:sz="8" w:color="0000EE"/>
            </w:tcBorders>
            <w:gridSpan w:val="7"/>
          </w:tcPr>
          <w:p>
            <w:pPr>
              <w:spacing w:after="0" w:line="185" w:lineRule="exact"/>
              <w:rPr>
                <w:sz w:val="20"/>
                <w:szCs w:val="20"/>
                <w:color w:val="auto"/>
              </w:rPr>
            </w:pPr>
            <w:r>
              <w:rPr>
                <w:rFonts w:ascii="Arial" w:cs="Arial" w:eastAsia="Arial" w:hAnsi="Arial"/>
                <w:sz w:val="17"/>
                <w:szCs w:val="17"/>
                <w:color w:val="0000EE"/>
                <w:w w:val="90"/>
              </w:rPr>
              <w:t>pursuant to Rule 13a-14(a)/15d-14(a).</w:t>
            </w:r>
          </w:p>
        </w:tc>
        <w:tc>
          <w:tcPr>
            <w:tcW w:w="120" w:type="dxa"/>
            <w:vAlign w:val="bottom"/>
            <w:tcBorders>
              <w:top w:val="single" w:sz="8" w:color="0000EE"/>
            </w:tcBorders>
            <w:gridSpan w:val="2"/>
          </w:tcPr>
          <w:p>
            <w:pPr>
              <w:spacing w:after="0"/>
              <w:rPr>
                <w:sz w:val="16"/>
                <w:szCs w:val="16"/>
                <w:color w:val="auto"/>
              </w:rPr>
            </w:pPr>
          </w:p>
        </w:tc>
        <w:tc>
          <w:tcPr>
            <w:tcW w:w="52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31.2</w:t>
            </w:r>
          </w:p>
        </w:tc>
        <w:tc>
          <w:tcPr>
            <w:tcW w:w="100" w:type="dxa"/>
            <w:vAlign w:val="bottom"/>
          </w:tcPr>
          <w:p>
            <w:pPr>
              <w:spacing w:after="0"/>
              <w:rPr>
                <w:sz w:val="16"/>
                <w:szCs w:val="16"/>
                <w:color w:val="auto"/>
              </w:rPr>
            </w:pPr>
          </w:p>
        </w:tc>
        <w:tc>
          <w:tcPr>
            <w:tcW w:w="3240" w:type="dxa"/>
            <w:vAlign w:val="bottom"/>
            <w:gridSpan w:val="16"/>
          </w:tcPr>
          <w:p>
            <w:pPr>
              <w:spacing w:after="0" w:line="185" w:lineRule="exact"/>
              <w:rPr>
                <w:sz w:val="20"/>
                <w:szCs w:val="20"/>
                <w:color w:val="auto"/>
              </w:rPr>
            </w:pPr>
            <w:r>
              <w:rPr>
                <w:rFonts w:ascii="Arial" w:cs="Arial" w:eastAsia="Arial" w:hAnsi="Arial"/>
                <w:sz w:val="17"/>
                <w:szCs w:val="17"/>
                <w:color w:val="0000EE"/>
              </w:rPr>
              <w:t>Certification of Chief Financial Officer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top w:val="single" w:sz="8" w:color="0000EE"/>
              <w:bottom w:val="single" w:sz="8" w:color="0000EE"/>
            </w:tcBorders>
            <w:gridSpan w:val="7"/>
          </w:tcPr>
          <w:p>
            <w:pPr>
              <w:spacing w:after="0" w:line="185" w:lineRule="exact"/>
              <w:rPr>
                <w:sz w:val="20"/>
                <w:szCs w:val="20"/>
                <w:color w:val="auto"/>
              </w:rPr>
            </w:pPr>
            <w:r>
              <w:rPr>
                <w:rFonts w:ascii="Arial" w:cs="Arial" w:eastAsia="Arial" w:hAnsi="Arial"/>
                <w:sz w:val="17"/>
                <w:szCs w:val="17"/>
                <w:color w:val="0000EE"/>
                <w:w w:val="90"/>
              </w:rPr>
              <w:t>pursuant to Rule 13a-14(a)/15d-14(a).</w:t>
            </w:r>
          </w:p>
        </w:tc>
        <w:tc>
          <w:tcPr>
            <w:tcW w:w="80" w:type="dxa"/>
            <w:vAlign w:val="bottom"/>
            <w:tcBorders>
              <w:top w:val="single" w:sz="8" w:color="0000EE"/>
            </w:tcBorders>
          </w:tcPr>
          <w:p>
            <w:pPr>
              <w:spacing w:after="0"/>
              <w:rPr>
                <w:sz w:val="16"/>
                <w:szCs w:val="16"/>
                <w:color w:val="auto"/>
              </w:rPr>
            </w:pPr>
          </w:p>
        </w:tc>
        <w:tc>
          <w:tcPr>
            <w:tcW w:w="560" w:type="dxa"/>
            <w:vAlign w:val="bottom"/>
            <w:gridSpan w:val="8"/>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32.1</w:t>
            </w:r>
          </w:p>
        </w:tc>
        <w:tc>
          <w:tcPr>
            <w:tcW w:w="100" w:type="dxa"/>
            <w:vAlign w:val="bottom"/>
          </w:tcPr>
          <w:p>
            <w:pPr>
              <w:spacing w:after="0"/>
              <w:rPr>
                <w:sz w:val="16"/>
                <w:szCs w:val="16"/>
                <w:color w:val="auto"/>
              </w:rPr>
            </w:pPr>
          </w:p>
        </w:tc>
        <w:tc>
          <w:tcPr>
            <w:tcW w:w="3240" w:type="dxa"/>
            <w:vAlign w:val="bottom"/>
            <w:gridSpan w:val="16"/>
          </w:tcPr>
          <w:p>
            <w:pPr>
              <w:spacing w:after="0" w:line="185" w:lineRule="exact"/>
              <w:rPr>
                <w:sz w:val="20"/>
                <w:szCs w:val="20"/>
                <w:color w:val="auto"/>
              </w:rPr>
            </w:pPr>
            <w:r>
              <w:rPr>
                <w:rFonts w:ascii="Arial" w:cs="Arial" w:eastAsia="Arial" w:hAnsi="Arial"/>
                <w:sz w:val="17"/>
                <w:szCs w:val="17"/>
                <w:color w:val="0000EE"/>
              </w:rPr>
              <w:t>Certification of Chief Executive Officer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top w:val="single" w:sz="8" w:color="0000EE"/>
            </w:tcBorders>
            <w:gridSpan w:val="9"/>
          </w:tcPr>
          <w:p>
            <w:pPr>
              <w:spacing w:after="0" w:line="185" w:lineRule="exact"/>
              <w:rPr>
                <w:sz w:val="20"/>
                <w:szCs w:val="20"/>
                <w:color w:val="auto"/>
              </w:rPr>
            </w:pPr>
            <w:r>
              <w:rPr>
                <w:rFonts w:ascii="Arial" w:cs="Arial" w:eastAsia="Arial" w:hAnsi="Arial"/>
                <w:sz w:val="17"/>
                <w:szCs w:val="17"/>
                <w:color w:val="0000EE"/>
                <w:w w:val="99"/>
              </w:rPr>
              <w:t>pursuant to 18 U.S.C. Section 1350.</w:t>
            </w:r>
          </w:p>
        </w:tc>
        <w:tc>
          <w:tcPr>
            <w:tcW w:w="52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1180" w:type="dxa"/>
            <w:vAlign w:val="bottom"/>
          </w:tcPr>
          <w:p>
            <w:pPr>
              <w:spacing w:after="0" w:line="185" w:lineRule="exact"/>
              <w:rPr>
                <w:sz w:val="20"/>
                <w:szCs w:val="20"/>
                <w:color w:val="auto"/>
              </w:rPr>
            </w:pPr>
            <w:r>
              <w:rPr>
                <w:rFonts w:ascii="Arial" w:cs="Arial" w:eastAsia="Arial" w:hAnsi="Arial"/>
                <w:sz w:val="17"/>
                <w:szCs w:val="17"/>
                <w:color w:val="auto"/>
              </w:rPr>
              <w:t>32.2</w:t>
            </w:r>
          </w:p>
        </w:tc>
        <w:tc>
          <w:tcPr>
            <w:tcW w:w="100" w:type="dxa"/>
            <w:vAlign w:val="bottom"/>
          </w:tcPr>
          <w:p>
            <w:pPr>
              <w:spacing w:after="0"/>
              <w:rPr>
                <w:sz w:val="16"/>
                <w:szCs w:val="16"/>
                <w:color w:val="auto"/>
              </w:rPr>
            </w:pPr>
          </w:p>
        </w:tc>
        <w:tc>
          <w:tcPr>
            <w:tcW w:w="3240" w:type="dxa"/>
            <w:vAlign w:val="bottom"/>
            <w:gridSpan w:val="16"/>
          </w:tcPr>
          <w:p>
            <w:pPr>
              <w:spacing w:after="0" w:line="185" w:lineRule="exact"/>
              <w:rPr>
                <w:sz w:val="20"/>
                <w:szCs w:val="20"/>
                <w:color w:val="auto"/>
              </w:rPr>
            </w:pPr>
            <w:r>
              <w:rPr>
                <w:rFonts w:ascii="Arial" w:cs="Arial" w:eastAsia="Arial" w:hAnsi="Arial"/>
                <w:sz w:val="17"/>
                <w:szCs w:val="17"/>
                <w:color w:val="0000EE"/>
              </w:rPr>
              <w:t>Certification of Chief Financial Officer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top w:val="single" w:sz="8" w:color="0000EE"/>
            </w:tcBorders>
            <w:gridSpan w:val="8"/>
          </w:tcPr>
          <w:p>
            <w:pPr>
              <w:spacing w:after="0" w:line="185" w:lineRule="exact"/>
              <w:rPr>
                <w:sz w:val="20"/>
                <w:szCs w:val="20"/>
                <w:color w:val="auto"/>
              </w:rPr>
            </w:pPr>
            <w:r>
              <w:rPr>
                <w:rFonts w:ascii="Arial" w:cs="Arial" w:eastAsia="Arial" w:hAnsi="Arial"/>
                <w:sz w:val="17"/>
                <w:szCs w:val="17"/>
                <w:color w:val="0000EE"/>
                <w:w w:val="97"/>
              </w:rPr>
              <w:t>pursuant to 18 U.S.C. Section 1350.</w:t>
            </w:r>
          </w:p>
        </w:tc>
        <w:tc>
          <w:tcPr>
            <w:tcW w:w="560" w:type="dxa"/>
            <w:vAlign w:val="bottom"/>
            <w:gridSpan w:val="8"/>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1"/>
        </w:trPr>
        <w:tc>
          <w:tcPr>
            <w:tcW w:w="1180" w:type="dxa"/>
            <w:vAlign w:val="bottom"/>
          </w:tcPr>
          <w:p>
            <w:pPr>
              <w:spacing w:after="0"/>
              <w:rPr>
                <w:sz w:val="20"/>
                <w:szCs w:val="20"/>
                <w:color w:val="auto"/>
              </w:rPr>
            </w:pPr>
            <w:r>
              <w:rPr>
                <w:rFonts w:ascii="Arial" w:cs="Arial" w:eastAsia="Arial" w:hAnsi="Arial"/>
                <w:sz w:val="17"/>
                <w:szCs w:val="17"/>
                <w:color w:val="auto"/>
              </w:rPr>
              <w:t>101.INS</w:t>
            </w:r>
          </w:p>
        </w:tc>
        <w:tc>
          <w:tcPr>
            <w:tcW w:w="100" w:type="dxa"/>
            <w:vAlign w:val="bottom"/>
          </w:tcPr>
          <w:p>
            <w:pPr>
              <w:spacing w:after="0"/>
              <w:rPr>
                <w:sz w:val="18"/>
                <w:szCs w:val="18"/>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2"/>
              </w:rPr>
              <w:t>Inline XBRL Instance Document - the instance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7"/>
              </w:rPr>
              <w:t>document does not appear in the Interactive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1"/>
              </w:rPr>
              <w:t>Data file because its XBRL tags are embedded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within the Inline XBRL document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7"/>
                <w:szCs w:val="17"/>
                <w:color w:val="auto"/>
              </w:rPr>
              <w:t>101.SCH</w:t>
            </w: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Inline XBRL Taxonomy Extension Schema</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7"/>
                <w:szCs w:val="17"/>
                <w:color w:val="auto"/>
              </w:rPr>
              <w:t>101.CAL</w:t>
            </w: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4"/>
              </w:rPr>
              <w:t>Inline XBRL Taxonomy Extension Calculation</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Linkbase Document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7"/>
                <w:szCs w:val="17"/>
                <w:color w:val="auto"/>
              </w:rPr>
              <w:t>101.DEF</w:t>
            </w: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7"/>
              </w:rPr>
              <w:t>Inline XBRL Taxonomy Extension Definition</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Linkbase Document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7"/>
                <w:szCs w:val="17"/>
                <w:color w:val="auto"/>
              </w:rPr>
              <w:t>101.LAB</w:t>
            </w: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Inline XBRL Taxonomy Extension Label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Linkbase Document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7"/>
                <w:szCs w:val="17"/>
                <w:color w:val="auto"/>
              </w:rPr>
              <w:t>101.PRE</w:t>
            </w: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Inline XBRL Taxonomy Extension</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rPr>
              <w:t>Presentation Linkbase Document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7"/>
                <w:szCs w:val="17"/>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1"/>
              </w:rPr>
              <w:t>Cover Page Interactive Data File (as formatted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16"/>
          </w:tcPr>
          <w:p>
            <w:pPr>
              <w:spacing w:after="0"/>
              <w:rPr>
                <w:sz w:val="20"/>
                <w:szCs w:val="20"/>
                <w:color w:val="auto"/>
              </w:rPr>
            </w:pPr>
            <w:r>
              <w:rPr>
                <w:rFonts w:ascii="Arial" w:cs="Arial" w:eastAsia="Arial" w:hAnsi="Arial"/>
                <w:sz w:val="17"/>
                <w:szCs w:val="17"/>
                <w:color w:val="auto"/>
                <w:w w:val="95"/>
              </w:rPr>
              <w:t>as Inline XBRL and contained in Exhibit 101)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57785</wp:posOffset>
            </wp:positionV>
            <wp:extent cx="14135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26" w:lineRule="exact"/>
        <w:rPr>
          <w:sz w:val="20"/>
          <w:szCs w:val="20"/>
          <w:color w:val="auto"/>
        </w:rPr>
      </w:pPr>
    </w:p>
    <w:p>
      <w:pPr>
        <w:ind w:left="660" w:hanging="614"/>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17"/>
          <w:szCs w:val="17"/>
          <w:color w:val="auto"/>
        </w:rPr>
        <w:t>Filed herewith</w:t>
      </w:r>
      <w:r>
        <w:rPr>
          <w:rFonts w:ascii="Arial" w:cs="Arial" w:eastAsia="Arial" w:hAnsi="Arial"/>
          <w:sz w:val="20"/>
          <w:szCs w:val="20"/>
          <w:color w:val="auto"/>
        </w:rPr>
        <w:t>.</w:t>
      </w:r>
    </w:p>
    <w:p>
      <w:pPr>
        <w:spacing w:after="0" w:line="18" w:lineRule="exact"/>
        <w:rPr>
          <w:sz w:val="20"/>
          <w:szCs w:val="20"/>
          <w:color w:val="auto"/>
        </w:rPr>
      </w:pPr>
    </w:p>
    <w:p>
      <w:pPr>
        <w:ind w:left="660" w:hanging="614"/>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17"/>
          <w:szCs w:val="17"/>
          <w:color w:val="auto"/>
        </w:rPr>
        <w:t>Furnished herewith</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left="40" w:right="79"/>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5900" w:type="dxa"/>
            <w:vAlign w:val="bottom"/>
            <w:gridSpan w:val="2"/>
          </w:tcPr>
          <w:p>
            <w:pPr>
              <w:ind w:left="1460"/>
              <w:spacing w:after="0"/>
              <w:rPr>
                <w:sz w:val="20"/>
                <w:szCs w:val="20"/>
                <w:color w:val="auto"/>
              </w:rPr>
            </w:pPr>
            <w:r>
              <w:rPr>
                <w:rFonts w:ascii="Arial" w:cs="Arial" w:eastAsia="Arial" w:hAnsi="Arial"/>
                <w:sz w:val="17"/>
                <w:szCs w:val="17"/>
                <w:b w:val="1"/>
                <w:bCs w:val="1"/>
                <w:color w:val="auto"/>
              </w:rPr>
              <w:t>LULU’S FASHION LOUNGE HOLDINGS, INC.</w:t>
            </w:r>
          </w:p>
        </w:tc>
      </w:tr>
      <w:tr>
        <w:trPr>
          <w:trHeight w:val="435"/>
        </w:trPr>
        <w:tc>
          <w:tcPr>
            <w:tcW w:w="3020" w:type="dxa"/>
            <w:vAlign w:val="bottom"/>
          </w:tcPr>
          <w:p>
            <w:pPr>
              <w:spacing w:after="0"/>
              <w:rPr>
                <w:sz w:val="20"/>
                <w:szCs w:val="20"/>
                <w:color w:val="auto"/>
              </w:rPr>
            </w:pPr>
            <w:r>
              <w:rPr>
                <w:rFonts w:ascii="Arial" w:cs="Arial" w:eastAsia="Arial" w:hAnsi="Arial"/>
                <w:sz w:val="17"/>
                <w:szCs w:val="17"/>
                <w:color w:val="auto"/>
              </w:rPr>
              <w:t>Date: August 16, 2022</w:t>
            </w:r>
          </w:p>
        </w:tc>
        <w:tc>
          <w:tcPr>
            <w:tcW w:w="1740" w:type="dxa"/>
            <w:vAlign w:val="bottom"/>
          </w:tcPr>
          <w:p>
            <w:pPr>
              <w:ind w:left="1460"/>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David McCreight</w:t>
            </w:r>
          </w:p>
        </w:tc>
      </w:tr>
      <w:tr>
        <w:trPr>
          <w:trHeight w:val="207"/>
        </w:trPr>
        <w:tc>
          <w:tcPr>
            <w:tcW w:w="3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b w:val="1"/>
                <w:bCs w:val="1"/>
                <w:color w:val="auto"/>
                <w:w w:val="95"/>
              </w:rPr>
              <w:t>David McCreight</w:t>
            </w:r>
          </w:p>
        </w:tc>
      </w:tr>
      <w:tr>
        <w:trPr>
          <w:trHeight w:val="220"/>
        </w:trPr>
        <w:tc>
          <w:tcPr>
            <w:tcW w:w="30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7"/>
                <w:szCs w:val="17"/>
                <w:b w:val="1"/>
                <w:bCs w:val="1"/>
                <w:color w:val="auto"/>
                <w:w w:val="92"/>
              </w:rPr>
              <w:t>Chief Executive Officer</w:t>
            </w:r>
          </w:p>
        </w:tc>
      </w:tr>
      <w:tr>
        <w:trPr>
          <w:trHeight w:val="217"/>
        </w:trPr>
        <w:tc>
          <w:tcPr>
            <w:tcW w:w="3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i w:val="1"/>
                <w:iCs w:val="1"/>
                <w:color w:val="auto"/>
                <w:w w:val="94"/>
              </w:rPr>
              <w:t>(Principal Executive Officer)</w:t>
            </w:r>
          </w:p>
        </w:tc>
      </w:tr>
      <w:tr>
        <w:trPr>
          <w:trHeight w:val="653"/>
        </w:trPr>
        <w:tc>
          <w:tcPr>
            <w:tcW w:w="3020" w:type="dxa"/>
            <w:vAlign w:val="bottom"/>
          </w:tcPr>
          <w:p>
            <w:pPr>
              <w:spacing w:after="0"/>
              <w:rPr>
                <w:sz w:val="20"/>
                <w:szCs w:val="20"/>
                <w:color w:val="auto"/>
              </w:rPr>
            </w:pPr>
            <w:r>
              <w:rPr>
                <w:rFonts w:ascii="Arial" w:cs="Arial" w:eastAsia="Arial" w:hAnsi="Arial"/>
                <w:sz w:val="17"/>
                <w:szCs w:val="17"/>
                <w:color w:val="auto"/>
              </w:rPr>
              <w:t>Date: August 16, 2022</w:t>
            </w:r>
          </w:p>
        </w:tc>
        <w:tc>
          <w:tcPr>
            <w:tcW w:w="1740" w:type="dxa"/>
            <w:vAlign w:val="bottom"/>
          </w:tcPr>
          <w:p>
            <w:pPr>
              <w:ind w:left="1460"/>
              <w:spacing w:after="0"/>
              <w:rPr>
                <w:sz w:val="20"/>
                <w:szCs w:val="20"/>
                <w:color w:val="auto"/>
              </w:rPr>
            </w:pPr>
            <w:r>
              <w:rPr>
                <w:rFonts w:ascii="Arial" w:cs="Arial" w:eastAsia="Arial" w:hAnsi="Arial"/>
                <w:sz w:val="17"/>
                <w:szCs w:val="17"/>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Crystal Landsem</w:t>
            </w:r>
          </w:p>
        </w:tc>
      </w:tr>
      <w:tr>
        <w:trPr>
          <w:trHeight w:val="213"/>
        </w:trPr>
        <w:tc>
          <w:tcPr>
            <w:tcW w:w="3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b w:val="1"/>
                <w:bCs w:val="1"/>
                <w:color w:val="auto"/>
                <w:w w:val="91"/>
              </w:rPr>
              <w:t>Crystal Landsem</w:t>
            </w:r>
          </w:p>
        </w:tc>
      </w:tr>
    </w:tbl>
    <w:p>
      <w:pPr>
        <w:jc w:val="center"/>
        <w:ind w:left="4740"/>
        <w:spacing w:after="0"/>
        <w:rPr>
          <w:sz w:val="20"/>
          <w:szCs w:val="20"/>
          <w:color w:val="auto"/>
        </w:rPr>
      </w:pPr>
      <w:r>
        <w:rPr>
          <w:rFonts w:ascii="Arial" w:cs="Arial" w:eastAsia="Arial" w:hAnsi="Arial"/>
          <w:sz w:val="17"/>
          <w:szCs w:val="17"/>
          <w:b w:val="1"/>
          <w:bCs w:val="1"/>
          <w:color w:val="auto"/>
        </w:rPr>
        <w:t>Chief Financial Officer</w:t>
      </w:r>
    </w:p>
    <w:p>
      <w:pPr>
        <w:spacing w:after="0" w:line="20" w:lineRule="exact"/>
        <w:rPr>
          <w:sz w:val="20"/>
          <w:szCs w:val="20"/>
          <w:color w:val="auto"/>
        </w:rPr>
      </w:pPr>
    </w:p>
    <w:p>
      <w:pPr>
        <w:jc w:val="center"/>
        <w:ind w:left="474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9226550</wp:posOffset>
            </wp:positionV>
            <wp:extent cx="676592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161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887845" cy="916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 David McCreight, certify that:</w:t>
      </w:r>
    </w:p>
    <w:p>
      <w:pPr>
        <w:spacing w:after="0" w:line="214" w:lineRule="exact"/>
        <w:rPr>
          <w:sz w:val="20"/>
          <w:szCs w:val="20"/>
          <w:color w:val="auto"/>
        </w:rPr>
      </w:pPr>
    </w:p>
    <w:p>
      <w:pPr>
        <w:ind w:left="420" w:hanging="417"/>
        <w:spacing w:after="0"/>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Lulu’s Fashion Lounge Holdings, Inc.;</w:t>
      </w:r>
    </w:p>
    <w:p>
      <w:pPr>
        <w:spacing w:after="0" w:line="213" w:lineRule="exact"/>
        <w:rPr>
          <w:rFonts w:ascii="Arial" w:cs="Arial" w:eastAsia="Arial" w:hAnsi="Arial"/>
          <w:sz w:val="17"/>
          <w:szCs w:val="17"/>
          <w:color w:val="auto"/>
        </w:rPr>
      </w:pPr>
    </w:p>
    <w:p>
      <w:pPr>
        <w:ind w:left="420" w:right="40" w:hanging="417"/>
        <w:spacing w:after="0" w:line="263"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420" w:right="300" w:hanging="417"/>
        <w:spacing w:after="0" w:line="345" w:lineRule="auto"/>
        <w:tabs>
          <w:tab w:leader="none" w:pos="4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5"/>
          <w:szCs w:val="15"/>
          <w:color w:val="auto"/>
        </w:rPr>
      </w:pPr>
    </w:p>
    <w:p>
      <w:pPr>
        <w:ind w:left="420" w:right="320" w:hanging="417"/>
        <w:spacing w:after="0" w:line="276"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4" w:lineRule="exact"/>
        <w:rPr>
          <w:rFonts w:ascii="Arial" w:cs="Arial" w:eastAsia="Arial" w:hAnsi="Arial"/>
          <w:sz w:val="17"/>
          <w:szCs w:val="17"/>
          <w:color w:val="auto"/>
        </w:rPr>
      </w:pPr>
    </w:p>
    <w:p>
      <w:pPr>
        <w:ind w:left="820" w:right="20" w:hanging="407"/>
        <w:spacing w:after="0" w:line="287" w:lineRule="auto"/>
        <w:tabs>
          <w:tab w:leader="none" w:pos="8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6"/>
          <w:szCs w:val="16"/>
          <w:color w:val="auto"/>
        </w:rPr>
      </w:pPr>
    </w:p>
    <w:p>
      <w:pPr>
        <w:ind w:left="820" w:hanging="407"/>
        <w:spacing w:after="0"/>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[Omitted];</w:t>
      </w:r>
    </w:p>
    <w:p>
      <w:pPr>
        <w:spacing w:after="0" w:line="213" w:lineRule="exact"/>
        <w:rPr>
          <w:rFonts w:ascii="Arial" w:cs="Arial" w:eastAsia="Arial" w:hAnsi="Arial"/>
          <w:sz w:val="17"/>
          <w:szCs w:val="17"/>
          <w:color w:val="auto"/>
        </w:rPr>
      </w:pPr>
    </w:p>
    <w:p>
      <w:pPr>
        <w:ind w:left="820" w:right="160" w:hanging="407"/>
        <w:spacing w:after="0" w:line="263"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ind w:left="820" w:right="260" w:hanging="407"/>
        <w:spacing w:after="0" w:line="287" w:lineRule="auto"/>
        <w:tabs>
          <w:tab w:leader="none" w:pos="8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left="420" w:right="220" w:hanging="417"/>
        <w:spacing w:after="0" w:line="263"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820" w:right="120" w:hanging="407"/>
        <w:spacing w:after="0" w:line="345" w:lineRule="auto"/>
        <w:tabs>
          <w:tab w:leader="none" w:pos="8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5"/>
          <w:szCs w:val="15"/>
          <w:color w:val="auto"/>
        </w:rPr>
      </w:pPr>
    </w:p>
    <w:p>
      <w:pPr>
        <w:ind w:left="820" w:right="380" w:hanging="407"/>
        <w:spacing w:after="0" w:line="276"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5640" w:val="left"/>
          <w:tab w:leader="none" w:pos="7220" w:val="left"/>
        </w:tabs>
        <w:rPr>
          <w:sz w:val="20"/>
          <w:szCs w:val="20"/>
          <w:color w:val="auto"/>
        </w:rPr>
      </w:pPr>
      <w:r>
        <w:rPr>
          <w:rFonts w:ascii="Arial" w:cs="Arial" w:eastAsia="Arial" w:hAnsi="Arial"/>
          <w:sz w:val="17"/>
          <w:szCs w:val="17"/>
          <w:color w:val="auto"/>
        </w:rPr>
        <w:t>Date: August 16,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McCreight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13970</wp:posOffset>
            </wp:positionV>
            <wp:extent cx="25177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11" w:lineRule="exact"/>
        <w:rPr>
          <w:sz w:val="20"/>
          <w:szCs w:val="20"/>
          <w:color w:val="auto"/>
        </w:rPr>
      </w:pPr>
    </w:p>
    <w:p>
      <w:pPr>
        <w:jc w:val="center"/>
        <w:ind w:left="5920"/>
        <w:spacing w:after="0"/>
        <w:rPr>
          <w:sz w:val="20"/>
          <w:szCs w:val="20"/>
          <w:color w:val="auto"/>
        </w:rPr>
      </w:pPr>
      <w:r>
        <w:rPr>
          <w:rFonts w:ascii="Arial" w:cs="Arial" w:eastAsia="Arial" w:hAnsi="Arial"/>
          <w:sz w:val="17"/>
          <w:szCs w:val="17"/>
          <w:b w:val="1"/>
          <w:bCs w:val="1"/>
          <w:color w:val="auto"/>
        </w:rPr>
        <w:t>David McCreight</w:t>
      </w:r>
    </w:p>
    <w:p>
      <w:pPr>
        <w:spacing w:after="0" w:line="24" w:lineRule="exact"/>
        <w:rPr>
          <w:sz w:val="20"/>
          <w:szCs w:val="20"/>
          <w:color w:val="auto"/>
        </w:rPr>
      </w:pPr>
    </w:p>
    <w:p>
      <w:pPr>
        <w:jc w:val="center"/>
        <w:ind w:left="592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jc w:val="center"/>
        <w:ind w:left="592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6294755"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29475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 Crystal Landsem, certify that:</w:t>
      </w:r>
    </w:p>
    <w:p>
      <w:pPr>
        <w:spacing w:after="0" w:line="214" w:lineRule="exact"/>
        <w:rPr>
          <w:sz w:val="20"/>
          <w:szCs w:val="20"/>
          <w:color w:val="auto"/>
        </w:rPr>
      </w:pPr>
    </w:p>
    <w:p>
      <w:pPr>
        <w:ind w:left="420" w:hanging="417"/>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Lulu’s Fashion Lounge Holdings, Inc.;</w:t>
      </w:r>
    </w:p>
    <w:p>
      <w:pPr>
        <w:spacing w:after="0" w:line="213" w:lineRule="exact"/>
        <w:rPr>
          <w:rFonts w:ascii="Arial" w:cs="Arial" w:eastAsia="Arial" w:hAnsi="Arial"/>
          <w:sz w:val="17"/>
          <w:szCs w:val="17"/>
          <w:color w:val="auto"/>
        </w:rPr>
      </w:pPr>
    </w:p>
    <w:p>
      <w:pPr>
        <w:ind w:left="420" w:right="40" w:hanging="417"/>
        <w:spacing w:after="0" w:line="263"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420" w:right="300" w:hanging="417"/>
        <w:spacing w:after="0" w:line="345" w:lineRule="auto"/>
        <w:tabs>
          <w:tab w:leader="none" w:pos="4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5"/>
          <w:szCs w:val="15"/>
          <w:color w:val="auto"/>
        </w:rPr>
      </w:pPr>
    </w:p>
    <w:p>
      <w:pPr>
        <w:ind w:left="420" w:right="320" w:hanging="417"/>
        <w:spacing w:after="0" w:line="276"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4" w:lineRule="exact"/>
        <w:rPr>
          <w:rFonts w:ascii="Arial" w:cs="Arial" w:eastAsia="Arial" w:hAnsi="Arial"/>
          <w:sz w:val="17"/>
          <w:szCs w:val="17"/>
          <w:color w:val="auto"/>
        </w:rPr>
      </w:pPr>
    </w:p>
    <w:p>
      <w:pPr>
        <w:ind w:left="820" w:right="20" w:hanging="407"/>
        <w:spacing w:after="0" w:line="287" w:lineRule="auto"/>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6"/>
          <w:szCs w:val="16"/>
          <w:color w:val="auto"/>
        </w:rPr>
      </w:pPr>
    </w:p>
    <w:p>
      <w:pPr>
        <w:ind w:left="820" w:hanging="407"/>
        <w:spacing w:after="0"/>
        <w:tabs>
          <w:tab w:leader="none" w:pos="8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[Omitted];</w:t>
      </w:r>
    </w:p>
    <w:p>
      <w:pPr>
        <w:spacing w:after="0" w:line="213" w:lineRule="exact"/>
        <w:rPr>
          <w:rFonts w:ascii="Arial" w:cs="Arial" w:eastAsia="Arial" w:hAnsi="Arial"/>
          <w:sz w:val="17"/>
          <w:szCs w:val="17"/>
          <w:color w:val="auto"/>
        </w:rPr>
      </w:pPr>
    </w:p>
    <w:p>
      <w:pPr>
        <w:ind w:left="820" w:right="160" w:hanging="407"/>
        <w:spacing w:after="0" w:line="263" w:lineRule="auto"/>
        <w:tabs>
          <w:tab w:leader="none" w:pos="8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ind w:left="820" w:right="260" w:hanging="407"/>
        <w:spacing w:after="0" w:line="287" w:lineRule="auto"/>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left="420" w:right="220" w:hanging="417"/>
        <w:spacing w:after="0" w:line="263"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820" w:right="120" w:hanging="407"/>
        <w:spacing w:after="0" w:line="345" w:lineRule="auto"/>
        <w:tabs>
          <w:tab w:leader="none" w:pos="8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5"/>
          <w:szCs w:val="15"/>
          <w:color w:val="auto"/>
        </w:rPr>
      </w:pPr>
    </w:p>
    <w:p>
      <w:pPr>
        <w:ind w:left="820" w:right="380" w:hanging="407"/>
        <w:spacing w:after="0" w:line="276" w:lineRule="auto"/>
        <w:tabs>
          <w:tab w:leader="none" w:pos="8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5640" w:val="left"/>
          <w:tab w:leader="none" w:pos="7220" w:val="left"/>
        </w:tabs>
        <w:rPr>
          <w:sz w:val="20"/>
          <w:szCs w:val="20"/>
          <w:color w:val="auto"/>
        </w:rPr>
      </w:pPr>
      <w:r>
        <w:rPr>
          <w:rFonts w:ascii="Arial" w:cs="Arial" w:eastAsia="Arial" w:hAnsi="Arial"/>
          <w:sz w:val="17"/>
          <w:szCs w:val="17"/>
          <w:color w:val="auto"/>
        </w:rPr>
        <w:t>Date: August 16,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13970</wp:posOffset>
            </wp:positionV>
            <wp:extent cx="25177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11" w:lineRule="exact"/>
        <w:rPr>
          <w:sz w:val="20"/>
          <w:szCs w:val="20"/>
          <w:color w:val="auto"/>
        </w:rPr>
      </w:pPr>
    </w:p>
    <w:p>
      <w:pPr>
        <w:jc w:val="center"/>
        <w:ind w:left="5900"/>
        <w:spacing w:after="0"/>
        <w:rPr>
          <w:sz w:val="20"/>
          <w:szCs w:val="20"/>
          <w:color w:val="auto"/>
        </w:rPr>
      </w:pPr>
      <w:r>
        <w:rPr>
          <w:rFonts w:ascii="Arial" w:cs="Arial" w:eastAsia="Arial" w:hAnsi="Arial"/>
          <w:sz w:val="17"/>
          <w:szCs w:val="17"/>
          <w:b w:val="1"/>
          <w:bCs w:val="1"/>
          <w:color w:val="auto"/>
        </w:rPr>
        <w:t>Crystal Landsem</w:t>
      </w:r>
    </w:p>
    <w:p>
      <w:pPr>
        <w:spacing w:after="0" w:line="24" w:lineRule="exact"/>
        <w:rPr>
          <w:sz w:val="20"/>
          <w:szCs w:val="20"/>
          <w:color w:val="auto"/>
        </w:rPr>
      </w:pPr>
    </w:p>
    <w:p>
      <w:pPr>
        <w:jc w:val="center"/>
        <w:ind w:left="5900"/>
        <w:spacing w:after="0"/>
        <w:rPr>
          <w:sz w:val="20"/>
          <w:szCs w:val="20"/>
          <w:color w:val="auto"/>
        </w:rPr>
      </w:pPr>
      <w:r>
        <w:rPr>
          <w:rFonts w:ascii="Arial" w:cs="Arial" w:eastAsia="Arial" w:hAnsi="Arial"/>
          <w:sz w:val="17"/>
          <w:szCs w:val="17"/>
          <w:b w:val="1"/>
          <w:bCs w:val="1"/>
          <w:color w:val="auto"/>
        </w:rPr>
        <w:t>Chief Financial Officer</w:t>
      </w:r>
    </w:p>
    <w:p>
      <w:pPr>
        <w:spacing w:after="0" w:line="24" w:lineRule="exact"/>
        <w:rPr>
          <w:sz w:val="20"/>
          <w:szCs w:val="20"/>
          <w:color w:val="auto"/>
        </w:rPr>
      </w:pPr>
    </w:p>
    <w:p>
      <w:pPr>
        <w:jc w:val="center"/>
        <w:ind w:left="59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6294755"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29475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ind w:right="60" w:firstLine="418"/>
        <w:spacing w:after="0" w:line="263" w:lineRule="auto"/>
        <w:rPr>
          <w:sz w:val="20"/>
          <w:szCs w:val="20"/>
          <w:color w:val="auto"/>
        </w:rPr>
      </w:pPr>
      <w:r>
        <w:rPr>
          <w:rFonts w:ascii="Arial" w:cs="Arial" w:eastAsia="Arial" w:hAnsi="Arial"/>
          <w:sz w:val="17"/>
          <w:szCs w:val="17"/>
          <w:color w:val="auto"/>
        </w:rPr>
        <w:t>In connection with the Quarterly Report on Form 10-Q of Lulu’s Fashion Lounge Holdings, Inc. (the “Company”) for the period ended July 3,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3" w:lineRule="exact"/>
        <w:rPr>
          <w:rFonts w:ascii="Arial" w:cs="Arial" w:eastAsia="Arial" w:hAnsi="Arial"/>
          <w:sz w:val="17"/>
          <w:szCs w:val="17"/>
          <w:color w:val="auto"/>
        </w:rPr>
      </w:pPr>
    </w:p>
    <w:p>
      <w:pPr>
        <w:ind w:left="820" w:right="200" w:hanging="407"/>
        <w:spacing w:after="0" w:line="276"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5640" w:val="left"/>
          <w:tab w:leader="none" w:pos="7220" w:val="left"/>
        </w:tabs>
        <w:rPr>
          <w:sz w:val="20"/>
          <w:szCs w:val="20"/>
          <w:color w:val="auto"/>
        </w:rPr>
      </w:pPr>
      <w:r>
        <w:rPr>
          <w:rFonts w:ascii="Arial" w:cs="Arial" w:eastAsia="Arial" w:hAnsi="Arial"/>
          <w:sz w:val="17"/>
          <w:szCs w:val="17"/>
          <w:color w:val="auto"/>
        </w:rPr>
        <w:t>Date: August 16,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McCreight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13970</wp:posOffset>
            </wp:positionV>
            <wp:extent cx="25177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11" w:lineRule="exact"/>
        <w:rPr>
          <w:sz w:val="20"/>
          <w:szCs w:val="20"/>
          <w:color w:val="auto"/>
        </w:rPr>
      </w:pPr>
    </w:p>
    <w:p>
      <w:pPr>
        <w:jc w:val="center"/>
        <w:ind w:left="5920"/>
        <w:spacing w:after="0"/>
        <w:rPr>
          <w:sz w:val="20"/>
          <w:szCs w:val="20"/>
          <w:color w:val="auto"/>
        </w:rPr>
      </w:pPr>
      <w:r>
        <w:rPr>
          <w:rFonts w:ascii="Arial" w:cs="Arial" w:eastAsia="Arial" w:hAnsi="Arial"/>
          <w:sz w:val="17"/>
          <w:szCs w:val="17"/>
          <w:b w:val="1"/>
          <w:bCs w:val="1"/>
          <w:color w:val="auto"/>
        </w:rPr>
        <w:t>David McCreight</w:t>
      </w:r>
    </w:p>
    <w:p>
      <w:pPr>
        <w:spacing w:after="0" w:line="24" w:lineRule="exact"/>
        <w:rPr>
          <w:sz w:val="20"/>
          <w:szCs w:val="20"/>
          <w:color w:val="auto"/>
        </w:rPr>
      </w:pPr>
    </w:p>
    <w:p>
      <w:pPr>
        <w:jc w:val="center"/>
        <w:ind w:left="592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jc w:val="center"/>
        <w:ind w:left="592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6294755"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29475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ind w:right="60" w:firstLine="418"/>
        <w:spacing w:after="0" w:line="263" w:lineRule="auto"/>
        <w:rPr>
          <w:sz w:val="20"/>
          <w:szCs w:val="20"/>
          <w:color w:val="auto"/>
        </w:rPr>
      </w:pPr>
      <w:r>
        <w:rPr>
          <w:rFonts w:ascii="Arial" w:cs="Arial" w:eastAsia="Arial" w:hAnsi="Arial"/>
          <w:sz w:val="17"/>
          <w:szCs w:val="17"/>
          <w:color w:val="auto"/>
        </w:rPr>
        <w:t>In connection with the Quarterly Report on Form 10-Q of Lulu’s Fashion Lounge Holdings, Inc. (the “Company”) for the period ended July 3,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3" w:lineRule="exact"/>
        <w:rPr>
          <w:rFonts w:ascii="Arial" w:cs="Arial" w:eastAsia="Arial" w:hAnsi="Arial"/>
          <w:sz w:val="17"/>
          <w:szCs w:val="17"/>
          <w:color w:val="auto"/>
        </w:rPr>
      </w:pPr>
    </w:p>
    <w:p>
      <w:pPr>
        <w:ind w:left="820" w:right="200" w:hanging="407"/>
        <w:spacing w:after="0" w:line="276"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5640" w:val="left"/>
          <w:tab w:leader="none" w:pos="7220" w:val="left"/>
        </w:tabs>
        <w:rPr>
          <w:sz w:val="20"/>
          <w:szCs w:val="20"/>
          <w:color w:val="auto"/>
        </w:rPr>
      </w:pPr>
      <w:r>
        <w:rPr>
          <w:rFonts w:ascii="Arial" w:cs="Arial" w:eastAsia="Arial" w:hAnsi="Arial"/>
          <w:sz w:val="17"/>
          <w:szCs w:val="17"/>
          <w:color w:val="auto"/>
        </w:rPr>
        <w:t>Date: August 16,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13970</wp:posOffset>
            </wp:positionV>
            <wp:extent cx="2517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11" w:lineRule="exact"/>
        <w:rPr>
          <w:sz w:val="20"/>
          <w:szCs w:val="20"/>
          <w:color w:val="auto"/>
        </w:rPr>
      </w:pPr>
    </w:p>
    <w:p>
      <w:pPr>
        <w:jc w:val="center"/>
        <w:ind w:left="5920"/>
        <w:spacing w:after="0"/>
        <w:rPr>
          <w:sz w:val="20"/>
          <w:szCs w:val="20"/>
          <w:color w:val="auto"/>
        </w:rPr>
      </w:pPr>
      <w:r>
        <w:rPr>
          <w:rFonts w:ascii="Arial" w:cs="Arial" w:eastAsia="Arial" w:hAnsi="Arial"/>
          <w:sz w:val="17"/>
          <w:szCs w:val="17"/>
          <w:b w:val="1"/>
          <w:bCs w:val="1"/>
          <w:color w:val="auto"/>
        </w:rPr>
        <w:t>Crystal Landsem</w:t>
      </w:r>
    </w:p>
    <w:p>
      <w:pPr>
        <w:spacing w:after="0" w:line="24" w:lineRule="exact"/>
        <w:rPr>
          <w:sz w:val="20"/>
          <w:szCs w:val="20"/>
          <w:color w:val="auto"/>
        </w:rPr>
      </w:pPr>
    </w:p>
    <w:p>
      <w:pPr>
        <w:jc w:val="center"/>
        <w:ind w:left="5920"/>
        <w:spacing w:after="0"/>
        <w:rPr>
          <w:sz w:val="20"/>
          <w:szCs w:val="20"/>
          <w:color w:val="auto"/>
        </w:rPr>
      </w:pPr>
      <w:r>
        <w:rPr>
          <w:rFonts w:ascii="Arial" w:cs="Arial" w:eastAsia="Arial" w:hAnsi="Arial"/>
          <w:sz w:val="17"/>
          <w:szCs w:val="17"/>
          <w:b w:val="1"/>
          <w:bCs w:val="1"/>
          <w:color w:val="auto"/>
        </w:rPr>
        <w:t>Chief Financial Officer</w:t>
      </w:r>
    </w:p>
    <w:p>
      <w:pPr>
        <w:spacing w:after="0" w:line="24" w:lineRule="exact"/>
        <w:rPr>
          <w:sz w:val="20"/>
          <w:szCs w:val="20"/>
          <w:color w:val="auto"/>
        </w:rPr>
      </w:pPr>
    </w:p>
    <w:p>
      <w:pPr>
        <w:jc w:val="center"/>
        <w:ind w:left="59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6294755"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4755" cy="24130"/>
                    </a:xfrm>
                    <a:prstGeom prst="rect">
                      <a:avLst/>
                    </a:prstGeom>
                    <a:noFill/>
                  </pic:spPr>
                </pic:pic>
              </a:graphicData>
            </a:graphic>
          </wp:anchor>
        </w:drawing>
      </w:r>
    </w:p>
    <w:sectPr>
      <w:pgSz w:w="11900" w:h="16838" w:orient="portrait"/>
      <w:cols w:equalWidth="0" w:num="1">
        <w:col w:w="9920"/>
      </w:cols>
      <w:pgMar w:left="98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decimal"/>
      <w:start w:val="1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54" Type="http://schemas.openxmlformats.org/officeDocument/2006/relationships/hyperlink" Target="https://www.sec.gov/Archives/edgar/data/1780201/000155837022009114/tmb-20220403xex10d1.htm" TargetMode="External"/><Relationship Id="rId55" Type="http://schemas.openxmlformats.org/officeDocument/2006/relationships/hyperlink" Target="https://www.sec.gov/Archives/edgar/data/1780201/000155837022009114/tmb-20220403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2022-08-16T15:22:11Z</dcterms:created>
  <dcterms:modified xsi:type="dcterms:W3CDTF">2022-08-16T15:22:11Z</dcterms:modified>
</cp:coreProperties>
</file>